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8DBFB9A"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A960C82" w14:textId="77777777" w:rsidR="00801E41" w:rsidRPr="00DC0173" w:rsidRDefault="00801E41" w:rsidP="00C60D72">
            <w:pPr>
              <w:pStyle w:val="TableTextWhite"/>
              <w:rPr>
                <w:b/>
              </w:rPr>
            </w:pPr>
            <w:bookmarkStart w:id="0" w:name="_GoBack"/>
            <w:bookmarkEnd w:id="0"/>
            <w:r>
              <w:rPr>
                <w:b/>
              </w:rPr>
              <w:t>Cluster</w:t>
            </w:r>
          </w:p>
        </w:tc>
        <w:tc>
          <w:tcPr>
            <w:tcW w:w="6831" w:type="dxa"/>
          </w:tcPr>
          <w:p w14:paraId="096A94D2" w14:textId="77777777" w:rsidR="00801E41" w:rsidRPr="00DC0173" w:rsidRDefault="00801E41" w:rsidP="00C60D72">
            <w:pPr>
              <w:pStyle w:val="TableTextWhite"/>
            </w:pPr>
            <w:r>
              <w:t>Premier and Cabinet</w:t>
            </w:r>
          </w:p>
        </w:tc>
      </w:tr>
      <w:tr w:rsidR="00801E41" w:rsidRPr="00DC0173" w14:paraId="3D6F8A77" w14:textId="77777777" w:rsidTr="00C60D72">
        <w:tc>
          <w:tcPr>
            <w:tcW w:w="4026" w:type="dxa"/>
          </w:tcPr>
          <w:p w14:paraId="0A502F72" w14:textId="77777777" w:rsidR="00801E41" w:rsidRDefault="00801E41" w:rsidP="00C60D72">
            <w:pPr>
              <w:pStyle w:val="TableTextWhite"/>
              <w:rPr>
                <w:b/>
              </w:rPr>
            </w:pPr>
            <w:r>
              <w:rPr>
                <w:b/>
              </w:rPr>
              <w:t>Agency</w:t>
            </w:r>
          </w:p>
        </w:tc>
        <w:tc>
          <w:tcPr>
            <w:tcW w:w="6831" w:type="dxa"/>
          </w:tcPr>
          <w:p w14:paraId="4138DC7D" w14:textId="77777777" w:rsidR="00801E41" w:rsidRDefault="00801E41" w:rsidP="00C60D72">
            <w:pPr>
              <w:pStyle w:val="TableTextWhite"/>
            </w:pPr>
            <w:r>
              <w:t>Public Service Commission</w:t>
            </w:r>
          </w:p>
        </w:tc>
      </w:tr>
      <w:tr w:rsidR="00801E41" w:rsidRPr="00DC0173" w14:paraId="43BF4ACA" w14:textId="77777777" w:rsidTr="00C60D72">
        <w:tc>
          <w:tcPr>
            <w:tcW w:w="4026" w:type="dxa"/>
          </w:tcPr>
          <w:p w14:paraId="7B1FD603" w14:textId="77777777" w:rsidR="00801E41" w:rsidRDefault="00801E41" w:rsidP="00C60D72">
            <w:pPr>
              <w:pStyle w:val="TableTextWhite"/>
              <w:rPr>
                <w:b/>
              </w:rPr>
            </w:pPr>
            <w:r w:rsidRPr="00FC13A3">
              <w:rPr>
                <w:b/>
              </w:rPr>
              <w:t>Division/Branch/Unit</w:t>
            </w:r>
          </w:p>
        </w:tc>
        <w:tc>
          <w:tcPr>
            <w:tcW w:w="6831" w:type="dxa"/>
          </w:tcPr>
          <w:p w14:paraId="0F6228AE" w14:textId="77777777" w:rsidR="00801E41" w:rsidRDefault="00801E41" w:rsidP="00C60D72">
            <w:pPr>
              <w:pStyle w:val="TableTextWhite"/>
            </w:pPr>
            <w:r>
              <w:t>Corporate Services Branch/TBC</w:t>
            </w:r>
          </w:p>
        </w:tc>
      </w:tr>
      <w:tr w:rsidR="00801E41" w:rsidRPr="00DC0173" w14:paraId="0DF2FA7F" w14:textId="77777777" w:rsidTr="00C60D72">
        <w:tc>
          <w:tcPr>
            <w:tcW w:w="4026" w:type="dxa"/>
          </w:tcPr>
          <w:p w14:paraId="1CA50E56" w14:textId="77777777" w:rsidR="00801E41" w:rsidRDefault="00801E41" w:rsidP="00C60D72">
            <w:pPr>
              <w:pStyle w:val="TableTextWhite"/>
              <w:rPr>
                <w:b/>
              </w:rPr>
            </w:pPr>
            <w:r w:rsidRPr="00FC13A3">
              <w:rPr>
                <w:b/>
              </w:rPr>
              <w:t>Role number</w:t>
            </w:r>
          </w:p>
        </w:tc>
        <w:tc>
          <w:tcPr>
            <w:tcW w:w="6831" w:type="dxa"/>
          </w:tcPr>
          <w:p w14:paraId="0323C2C0" w14:textId="77777777" w:rsidR="00801E41" w:rsidRDefault="00801E41" w:rsidP="00C60D72">
            <w:pPr>
              <w:pStyle w:val="TableTextWhite"/>
            </w:pPr>
            <w:r>
              <w:t>TBC</w:t>
            </w:r>
          </w:p>
        </w:tc>
      </w:tr>
      <w:tr w:rsidR="00801E41" w:rsidRPr="00DC0173" w14:paraId="5E1C27B2" w14:textId="77777777" w:rsidTr="00C60D72">
        <w:tc>
          <w:tcPr>
            <w:tcW w:w="4026" w:type="dxa"/>
          </w:tcPr>
          <w:p w14:paraId="3D809D33" w14:textId="77777777" w:rsidR="00801E41" w:rsidRDefault="00801E41" w:rsidP="00C60D72">
            <w:pPr>
              <w:pStyle w:val="TableTextWhite"/>
              <w:rPr>
                <w:b/>
              </w:rPr>
            </w:pPr>
            <w:r w:rsidRPr="00FC13A3">
              <w:rPr>
                <w:b/>
              </w:rPr>
              <w:t>Classification/Grade/Band</w:t>
            </w:r>
          </w:p>
        </w:tc>
        <w:tc>
          <w:tcPr>
            <w:tcW w:w="6831" w:type="dxa"/>
          </w:tcPr>
          <w:p w14:paraId="0A1B8DD0" w14:textId="77777777" w:rsidR="00801E41" w:rsidRDefault="00801E41" w:rsidP="00C60D72">
            <w:pPr>
              <w:pStyle w:val="TableTextWhite"/>
            </w:pPr>
            <w:r>
              <w:t>Clerk Grade 7/8</w:t>
            </w:r>
          </w:p>
        </w:tc>
      </w:tr>
      <w:tr w:rsidR="006F1E5D" w:rsidRPr="00DC0173" w14:paraId="5053DA63" w14:textId="77777777" w:rsidTr="00C60D72">
        <w:tc>
          <w:tcPr>
            <w:tcW w:w="4026" w:type="dxa"/>
          </w:tcPr>
          <w:p w14:paraId="4D0A2E60" w14:textId="0297329E" w:rsidR="006F1E5D" w:rsidRPr="00FC13A3" w:rsidRDefault="006F1E5D" w:rsidP="00C60D72">
            <w:pPr>
              <w:pStyle w:val="TableTextWhite"/>
              <w:rPr>
                <w:b/>
              </w:rPr>
            </w:pPr>
            <w:r w:rsidRPr="006F1E5D">
              <w:rPr>
                <w:b/>
              </w:rPr>
              <w:t>Senior executive work level standards</w:t>
            </w:r>
          </w:p>
        </w:tc>
        <w:tc>
          <w:tcPr>
            <w:tcW w:w="6831" w:type="dxa"/>
          </w:tcPr>
          <w:p w14:paraId="1AA1E827" w14:textId="72235705" w:rsidR="006F1E5D" w:rsidRPr="00FC13A3" w:rsidRDefault="006F1E5D" w:rsidP="00C60D72">
            <w:pPr>
              <w:pStyle w:val="TableTextWhite"/>
            </w:pPr>
            <w:r>
              <w:t>Not Applicable</w:t>
            </w:r>
          </w:p>
        </w:tc>
      </w:tr>
      <w:tr w:rsidR="00801E41" w:rsidRPr="00DC0173" w14:paraId="190CFE54" w14:textId="77777777" w:rsidTr="00C60D72">
        <w:tc>
          <w:tcPr>
            <w:tcW w:w="4026" w:type="dxa"/>
          </w:tcPr>
          <w:p w14:paraId="792BCE46" w14:textId="77777777" w:rsidR="00801E41" w:rsidRDefault="00801E41" w:rsidP="00C60D72">
            <w:pPr>
              <w:pStyle w:val="TableTextWhite"/>
              <w:rPr>
                <w:b/>
              </w:rPr>
            </w:pPr>
            <w:r w:rsidRPr="00FC13A3">
              <w:rPr>
                <w:b/>
              </w:rPr>
              <w:t>ANZSCO Code</w:t>
            </w:r>
          </w:p>
        </w:tc>
        <w:tc>
          <w:tcPr>
            <w:tcW w:w="6831" w:type="dxa"/>
          </w:tcPr>
          <w:p w14:paraId="209541E0" w14:textId="77777777" w:rsidR="00801E41" w:rsidRDefault="00801E41" w:rsidP="00C60D72">
            <w:pPr>
              <w:pStyle w:val="TableTextWhite"/>
            </w:pPr>
            <w:r>
              <w:t>224411</w:t>
            </w:r>
          </w:p>
        </w:tc>
      </w:tr>
      <w:tr w:rsidR="00801E41" w:rsidRPr="00DC0173" w14:paraId="27D501E9" w14:textId="77777777" w:rsidTr="00C60D72">
        <w:tc>
          <w:tcPr>
            <w:tcW w:w="4026" w:type="dxa"/>
          </w:tcPr>
          <w:p w14:paraId="228588BA" w14:textId="77777777" w:rsidR="00801E41" w:rsidRDefault="00801E41" w:rsidP="00C60D72">
            <w:pPr>
              <w:pStyle w:val="TableTextWhite"/>
              <w:rPr>
                <w:b/>
              </w:rPr>
            </w:pPr>
            <w:r w:rsidRPr="00FC13A3">
              <w:rPr>
                <w:b/>
              </w:rPr>
              <w:t>PCAT Code</w:t>
            </w:r>
          </w:p>
        </w:tc>
        <w:tc>
          <w:tcPr>
            <w:tcW w:w="6831" w:type="dxa"/>
          </w:tcPr>
          <w:p w14:paraId="77DB017D" w14:textId="77777777" w:rsidR="00801E41" w:rsidRDefault="00801E41" w:rsidP="00C60D72">
            <w:pPr>
              <w:pStyle w:val="TableTextWhite"/>
            </w:pPr>
            <w:r>
              <w:t>1119192</w:t>
            </w:r>
          </w:p>
        </w:tc>
      </w:tr>
      <w:tr w:rsidR="00801E41" w:rsidRPr="00DC0173" w14:paraId="56A5713A" w14:textId="77777777" w:rsidTr="00C60D72">
        <w:tc>
          <w:tcPr>
            <w:tcW w:w="4026" w:type="dxa"/>
          </w:tcPr>
          <w:p w14:paraId="31B717E5" w14:textId="77777777" w:rsidR="00801E41" w:rsidRDefault="00801E41" w:rsidP="00C60D72">
            <w:pPr>
              <w:pStyle w:val="TableTextWhite"/>
              <w:rPr>
                <w:b/>
              </w:rPr>
            </w:pPr>
            <w:r w:rsidRPr="00FC13A3">
              <w:rPr>
                <w:b/>
              </w:rPr>
              <w:t>Date of Approval</w:t>
            </w:r>
          </w:p>
        </w:tc>
        <w:tc>
          <w:tcPr>
            <w:tcW w:w="6831" w:type="dxa"/>
          </w:tcPr>
          <w:p w14:paraId="581C7445" w14:textId="77777777" w:rsidR="00801E41" w:rsidRDefault="00801E41" w:rsidP="00C60D72">
            <w:pPr>
              <w:pStyle w:val="TableTextWhite"/>
            </w:pPr>
            <w:r>
              <w:t>17 November 2020</w:t>
            </w:r>
          </w:p>
        </w:tc>
      </w:tr>
      <w:tr w:rsidR="00801E41" w:rsidRPr="00DC0173" w14:paraId="6BA390C6" w14:textId="77777777" w:rsidTr="00C60D72">
        <w:tc>
          <w:tcPr>
            <w:tcW w:w="4026" w:type="dxa"/>
          </w:tcPr>
          <w:p w14:paraId="23F5A912" w14:textId="77777777" w:rsidR="00801E41" w:rsidRDefault="00801E41" w:rsidP="00C60D72">
            <w:pPr>
              <w:pStyle w:val="TableTextWhite"/>
              <w:rPr>
                <w:b/>
              </w:rPr>
            </w:pPr>
            <w:r w:rsidRPr="00FC13A3">
              <w:rPr>
                <w:b/>
              </w:rPr>
              <w:t>Agency Website</w:t>
            </w:r>
          </w:p>
        </w:tc>
        <w:tc>
          <w:tcPr>
            <w:tcW w:w="6831" w:type="dxa"/>
          </w:tcPr>
          <w:p w14:paraId="2263D9B4" w14:textId="77777777" w:rsidR="00801E41" w:rsidRDefault="00801E41" w:rsidP="00C60D72">
            <w:pPr>
              <w:pStyle w:val="TableTextWhite"/>
            </w:pPr>
            <w:r>
              <w:t>psc.nsw.gov.au</w:t>
            </w:r>
          </w:p>
        </w:tc>
      </w:tr>
    </w:tbl>
    <w:p w14:paraId="7CF5F995" w14:textId="77777777" w:rsidR="00477EB1" w:rsidRPr="00E55704" w:rsidRDefault="00477EB1" w:rsidP="00477EB1">
      <w:pPr>
        <w:tabs>
          <w:tab w:val="left" w:pos="2925"/>
        </w:tabs>
        <w:rPr>
          <w:rFonts w:cs="Arial"/>
        </w:rPr>
      </w:pPr>
    </w:p>
    <w:p w14:paraId="0374BA80" w14:textId="77777777" w:rsidR="003927AE" w:rsidRPr="00614552" w:rsidRDefault="003927AE" w:rsidP="003927AE">
      <w:pPr>
        <w:tabs>
          <w:tab w:val="left" w:pos="2925"/>
        </w:tabs>
        <w:rPr>
          <w:rStyle w:val="Heading1Char"/>
        </w:rPr>
      </w:pPr>
      <w:r w:rsidRPr="00614552">
        <w:rPr>
          <w:rStyle w:val="Heading1Char"/>
        </w:rPr>
        <w:t>Agency overview</w:t>
      </w:r>
    </w:p>
    <w:p w14:paraId="6FDC0CD9" w14:textId="77777777" w:rsidR="0062515F" w:rsidRDefault="003927AE" w:rsidP="003927AE">
      <w:pPr>
        <w:tabs>
          <w:tab w:val="left" w:pos="2925"/>
        </w:tabs>
      </w:pPr>
      <w:r>
        <w:t>The Public Service Commission (PSC) is headed by an independent Public Service Commissioner and is a separate agency under the Government Sector Employment Act 2013 (GSE Act) that supports the Commissioner in the exercise of his/her functions and powers.</w:t>
      </w:r>
    </w:p>
    <w:p w14:paraId="45C32033" w14:textId="0DB12AC4" w:rsidR="001C51A2" w:rsidRPr="009E00FD" w:rsidRDefault="001C51A2" w:rsidP="0062515F">
      <w:pPr>
        <w:tabs>
          <w:tab w:val="left" w:pos="2925"/>
        </w:tabs>
      </w:pPr>
      <w:r>
        <w:t xml:space="preserve">The PSC leads the design, development and implementation of the full range of workforce management strategies - including workforce capability, recruitment and assessment and strategic workforce planning - to enhance the effectiveness and efficiency of </w:t>
      </w:r>
      <w:r w:rsidRPr="009E00FD">
        <w:t>the NSW public sector workforce.</w:t>
      </w:r>
    </w:p>
    <w:p w14:paraId="5A225B21" w14:textId="5EE657CC" w:rsidR="003927AE" w:rsidRPr="009E00FD" w:rsidRDefault="003927AE" w:rsidP="0062515F">
      <w:pPr>
        <w:tabs>
          <w:tab w:val="left" w:pos="2925"/>
        </w:tabs>
        <w:rPr>
          <w:rStyle w:val="Heading1Char"/>
        </w:rPr>
      </w:pPr>
      <w:r w:rsidRPr="009E00FD">
        <w:rPr>
          <w:rStyle w:val="Heading1Char"/>
        </w:rPr>
        <w:t>Primary purpose of the role</w:t>
      </w:r>
    </w:p>
    <w:p w14:paraId="730EF400" w14:textId="77777777" w:rsidR="003927AE" w:rsidRPr="009E00FD" w:rsidRDefault="003927AE" w:rsidP="0062515F">
      <w:pPr>
        <w:tabs>
          <w:tab w:val="left" w:pos="2925"/>
        </w:tabs>
        <w:rPr>
          <w:rFonts w:ascii="Georgia" w:hAnsi="Georgia"/>
        </w:rPr>
      </w:pPr>
      <w:r w:rsidRPr="009E00FD">
        <w:t>The Analyst collects and validates data to conduct data analysis and produces reports to support and inform the development of public sector workforce programs, initiatives, projects and policy, and contributes to the preparation of advice for the Commissioner and other stakeholders.</w:t>
      </w:r>
    </w:p>
    <w:p w14:paraId="1FB39D3C" w14:textId="77777777" w:rsidR="003927AE" w:rsidRPr="009E00FD" w:rsidRDefault="003927AE" w:rsidP="0062515F">
      <w:pPr>
        <w:tabs>
          <w:tab w:val="left" w:pos="2925"/>
        </w:tabs>
        <w:rPr>
          <w:rStyle w:val="Heading1Char"/>
        </w:rPr>
      </w:pPr>
      <w:r w:rsidRPr="009E00FD">
        <w:rPr>
          <w:rStyle w:val="Heading1Char"/>
        </w:rPr>
        <w:t>Key accountabilities</w:t>
      </w:r>
    </w:p>
    <w:p w14:paraId="5CEABB2E" w14:textId="77777777" w:rsidR="0062515F" w:rsidRPr="0062515F" w:rsidRDefault="007E77DC" w:rsidP="0062515F">
      <w:pPr>
        <w:pStyle w:val="ListParagraph"/>
        <w:numPr>
          <w:ilvl w:val="0"/>
          <w:numId w:val="10"/>
        </w:numPr>
        <w:tabs>
          <w:tab w:val="left" w:pos="2925"/>
        </w:tabs>
        <w:rPr>
          <w:rFonts w:cs="Arial"/>
        </w:rPr>
      </w:pPr>
      <w:r w:rsidRPr="009E00FD">
        <w:t>Analyse workforce data from various sources</w:t>
      </w:r>
      <w:r>
        <w:t xml:space="preserve"> to inform the preparation of briefings, submissions, policy papers and both regular and ad-hoc reports.</w:t>
      </w:r>
    </w:p>
    <w:p w14:paraId="3A279810" w14:textId="28E13F84" w:rsidR="0062515F" w:rsidRPr="0062515F" w:rsidRDefault="007E77DC" w:rsidP="0062515F">
      <w:pPr>
        <w:pStyle w:val="ListParagraph"/>
        <w:numPr>
          <w:ilvl w:val="0"/>
          <w:numId w:val="10"/>
        </w:numPr>
        <w:tabs>
          <w:tab w:val="left" w:pos="2925"/>
        </w:tabs>
        <w:rPr>
          <w:rFonts w:cs="Arial"/>
        </w:rPr>
      </w:pPr>
      <w:r>
        <w:t>Liaise with multiple agency/department representatives to support their submission of workforce data to the PSC</w:t>
      </w:r>
      <w:r w:rsidR="0062515F">
        <w:t>.</w:t>
      </w:r>
    </w:p>
    <w:p w14:paraId="243C264F" w14:textId="77777777" w:rsidR="0062515F" w:rsidRPr="0062515F" w:rsidRDefault="007E77DC" w:rsidP="0062515F">
      <w:pPr>
        <w:pStyle w:val="ListParagraph"/>
        <w:numPr>
          <w:ilvl w:val="0"/>
          <w:numId w:val="10"/>
        </w:numPr>
        <w:tabs>
          <w:tab w:val="left" w:pos="2925"/>
        </w:tabs>
        <w:rPr>
          <w:rFonts w:cs="Arial"/>
        </w:rPr>
      </w:pPr>
      <w:r>
        <w:t>Conduct quality assurance of the Commission</w:t>
      </w:r>
      <w:r w:rsidR="0062515F">
        <w:t>’s</w:t>
      </w:r>
      <w:r>
        <w:t xml:space="preserve"> data collections, identifying issues and liaising with agency/department representatives to facilitate data correction and resolution.</w:t>
      </w:r>
      <w:r>
        <w:br/>
        <w:t>Identify, communicate and document key findings of analysis, either verbally or with concise and accurate written reports.</w:t>
      </w:r>
    </w:p>
    <w:p w14:paraId="1C77A095" w14:textId="77777777" w:rsidR="0062515F" w:rsidRPr="0062515F" w:rsidRDefault="007E77DC" w:rsidP="0062515F">
      <w:pPr>
        <w:pStyle w:val="ListParagraph"/>
        <w:numPr>
          <w:ilvl w:val="0"/>
          <w:numId w:val="10"/>
        </w:numPr>
        <w:tabs>
          <w:tab w:val="left" w:pos="2925"/>
        </w:tabs>
        <w:rPr>
          <w:rFonts w:cs="Arial"/>
        </w:rPr>
      </w:pPr>
      <w:r>
        <w:t>Provide input to the design of projects and carry out quantitative and qualitative research and analysis to inform policy.</w:t>
      </w:r>
    </w:p>
    <w:p w14:paraId="4C9E6279" w14:textId="77777777" w:rsidR="0062515F" w:rsidRPr="0062515F" w:rsidRDefault="007E77DC" w:rsidP="0062515F">
      <w:pPr>
        <w:pStyle w:val="ListParagraph"/>
        <w:numPr>
          <w:ilvl w:val="0"/>
          <w:numId w:val="10"/>
        </w:numPr>
        <w:tabs>
          <w:tab w:val="left" w:pos="2925"/>
        </w:tabs>
        <w:rPr>
          <w:rFonts w:cs="Arial"/>
        </w:rPr>
      </w:pPr>
      <w:r>
        <w:t>Use judgement and initiative to contribute to the development of effective and constructive solutions to challenges.</w:t>
      </w:r>
    </w:p>
    <w:p w14:paraId="48A3DCBD" w14:textId="661A3E8C" w:rsidR="003927AE" w:rsidRPr="009E00FD" w:rsidRDefault="007E77DC" w:rsidP="0062515F">
      <w:pPr>
        <w:pStyle w:val="ListParagraph"/>
        <w:numPr>
          <w:ilvl w:val="0"/>
          <w:numId w:val="10"/>
        </w:numPr>
        <w:tabs>
          <w:tab w:val="left" w:pos="2925"/>
        </w:tabs>
        <w:rPr>
          <w:rFonts w:cs="Arial"/>
        </w:rPr>
      </w:pPr>
      <w:r>
        <w:lastRenderedPageBreak/>
        <w:t xml:space="preserve">Comply with data governance standards to ensure that data assets are appropriately managed throughout </w:t>
      </w:r>
      <w:r w:rsidRPr="009E00FD">
        <w:t>their lifecycle.</w:t>
      </w:r>
    </w:p>
    <w:p w14:paraId="5158259C" w14:textId="77777777" w:rsidR="003927AE" w:rsidRPr="009E00FD" w:rsidRDefault="003927AE" w:rsidP="003927AE">
      <w:pPr>
        <w:tabs>
          <w:tab w:val="left" w:pos="2925"/>
        </w:tabs>
        <w:rPr>
          <w:rStyle w:val="Heading1Char"/>
        </w:rPr>
      </w:pPr>
      <w:r w:rsidRPr="009E00FD">
        <w:rPr>
          <w:rStyle w:val="Heading1Char"/>
        </w:rPr>
        <w:t>Key challenges</w:t>
      </w:r>
    </w:p>
    <w:p w14:paraId="70FA8B0E" w14:textId="77C897F3" w:rsidR="00585180" w:rsidRPr="00585180" w:rsidRDefault="007E77DC" w:rsidP="00585180">
      <w:pPr>
        <w:pStyle w:val="ListParagraph"/>
        <w:numPr>
          <w:ilvl w:val="0"/>
          <w:numId w:val="11"/>
        </w:numPr>
        <w:tabs>
          <w:tab w:val="left" w:pos="2925"/>
        </w:tabs>
        <w:rPr>
          <w:rFonts w:ascii="Georgia" w:hAnsi="Georgia"/>
        </w:rPr>
      </w:pPr>
      <w:r w:rsidRPr="009E00FD">
        <w:t>Acquiring an in-dep</w:t>
      </w:r>
      <w:r>
        <w:t xml:space="preserve">th knowledge of the workforce data and </w:t>
      </w:r>
      <w:r w:rsidR="0062515F">
        <w:t xml:space="preserve">systems, </w:t>
      </w:r>
      <w:r w:rsidR="00BA650F">
        <w:t xml:space="preserve">in order to be able to assist </w:t>
      </w:r>
      <w:r>
        <w:t>sector representatives with their data an</w:t>
      </w:r>
      <w:r w:rsidR="0062515F">
        <w:t>d collection process concerns</w:t>
      </w:r>
      <w:r w:rsidR="00585180">
        <w:t>.</w:t>
      </w:r>
    </w:p>
    <w:p w14:paraId="2FACE920" w14:textId="219425DF" w:rsidR="00585180" w:rsidRPr="00585180" w:rsidRDefault="007E77DC" w:rsidP="00585180">
      <w:pPr>
        <w:pStyle w:val="ListParagraph"/>
        <w:numPr>
          <w:ilvl w:val="0"/>
          <w:numId w:val="11"/>
        </w:numPr>
        <w:tabs>
          <w:tab w:val="left" w:pos="2925"/>
        </w:tabs>
        <w:rPr>
          <w:rFonts w:ascii="Georgia" w:hAnsi="Georgia"/>
        </w:rPr>
      </w:pPr>
      <w:r>
        <w:t xml:space="preserve">Managing competing priorities effectively in a </w:t>
      </w:r>
      <w:r w:rsidR="009E00FD">
        <w:t>high-volume</w:t>
      </w:r>
      <w:r>
        <w:t xml:space="preserve"> work environment</w:t>
      </w:r>
      <w:r w:rsidR="00BA650F">
        <w:t>, given the need to deliver</w:t>
      </w:r>
      <w:r>
        <w:t xml:space="preserve"> work within required timeframes and </w:t>
      </w:r>
      <w:r w:rsidR="0062515F">
        <w:t>to a high degree of accuracy.</w:t>
      </w:r>
    </w:p>
    <w:p w14:paraId="3DA7C18A" w14:textId="4B7DACEF" w:rsidR="003927AE" w:rsidRPr="00585180" w:rsidRDefault="007E77DC" w:rsidP="00585180">
      <w:pPr>
        <w:pStyle w:val="ListParagraph"/>
        <w:numPr>
          <w:ilvl w:val="0"/>
          <w:numId w:val="11"/>
        </w:numPr>
        <w:tabs>
          <w:tab w:val="left" w:pos="2925"/>
        </w:tabs>
        <w:rPr>
          <w:rFonts w:ascii="Georgia" w:hAnsi="Georgia"/>
        </w:rPr>
      </w:pPr>
      <w:r>
        <w:t>Applying critical thinking and analysis to data, to demonstrate findings of data beyond simple presenting of numbers.</w:t>
      </w:r>
    </w:p>
    <w:p w14:paraId="67B8AC3D"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2D0602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2B48996" w14:textId="77777777" w:rsidR="003927AE" w:rsidRPr="00C978B9" w:rsidRDefault="003927AE" w:rsidP="00A72C86">
            <w:pPr>
              <w:pStyle w:val="TableTextWhite0"/>
            </w:pPr>
            <w:r w:rsidRPr="00C978B9">
              <w:t>Who</w:t>
            </w:r>
          </w:p>
        </w:tc>
        <w:tc>
          <w:tcPr>
            <w:tcW w:w="7256" w:type="dxa"/>
          </w:tcPr>
          <w:p w14:paraId="530F08C5" w14:textId="77777777" w:rsidR="003927AE" w:rsidRPr="00C978B9" w:rsidRDefault="003927AE" w:rsidP="00A72C86">
            <w:pPr>
              <w:pStyle w:val="TableTextWhite0"/>
            </w:pPr>
            <w:r>
              <w:t xml:space="preserve"> </w:t>
            </w:r>
            <w:r w:rsidRPr="00C978B9">
              <w:t>Why</w:t>
            </w:r>
          </w:p>
        </w:tc>
      </w:tr>
      <w:tr w:rsidR="003927AE" w:rsidRPr="00A8245E" w14:paraId="171F5A8D" w14:textId="77777777" w:rsidTr="00E55704">
        <w:tc>
          <w:tcPr>
            <w:tcW w:w="3601" w:type="dxa"/>
            <w:shd w:val="clear" w:color="auto" w:fill="BCBEC0"/>
          </w:tcPr>
          <w:p w14:paraId="0F04C7C7"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70E574" w14:textId="77777777" w:rsidR="003927AE" w:rsidRPr="00A8245E" w:rsidRDefault="003927AE" w:rsidP="00A72C86">
            <w:pPr>
              <w:pStyle w:val="TableText"/>
              <w:keepNext/>
              <w:rPr>
                <w:b/>
              </w:rPr>
            </w:pPr>
          </w:p>
        </w:tc>
      </w:tr>
      <w:tr w:rsidR="00585180" w:rsidRPr="00C978B9" w14:paraId="73BDD5DC" w14:textId="77777777" w:rsidTr="00E55704">
        <w:tc>
          <w:tcPr>
            <w:tcW w:w="3601" w:type="dxa"/>
            <w:tcBorders>
              <w:top w:val="single" w:sz="8" w:space="0" w:color="auto"/>
              <w:bottom w:val="single" w:sz="8" w:space="0" w:color="BCBEC0"/>
            </w:tcBorders>
          </w:tcPr>
          <w:p w14:paraId="333F5FD2" w14:textId="1DC2D3EE" w:rsidR="00585180" w:rsidRPr="004E07DB" w:rsidRDefault="00585180" w:rsidP="00585180">
            <w:pPr>
              <w:pStyle w:val="TableText"/>
            </w:pPr>
            <w:r w:rsidRPr="004E07DB">
              <w:rPr>
                <w:rFonts w:cs="Arial"/>
              </w:rPr>
              <w:t>Manager</w:t>
            </w:r>
          </w:p>
        </w:tc>
        <w:tc>
          <w:tcPr>
            <w:tcW w:w="7256" w:type="dxa"/>
            <w:tcBorders>
              <w:top w:val="single" w:sz="8" w:space="0" w:color="auto"/>
              <w:bottom w:val="single" w:sz="8" w:space="0" w:color="BCBEC0"/>
            </w:tcBorders>
          </w:tcPr>
          <w:p w14:paraId="214BCB2A" w14:textId="56490157" w:rsidR="00585180" w:rsidRPr="004E07DB" w:rsidRDefault="00585180" w:rsidP="00585180">
            <w:pPr>
              <w:pStyle w:val="TableText"/>
              <w:numPr>
                <w:ilvl w:val="0"/>
                <w:numId w:val="3"/>
              </w:numPr>
            </w:pPr>
            <w:r w:rsidRPr="004E07DB">
              <w:rPr>
                <w:rFonts w:cs="Arial"/>
              </w:rPr>
              <w:t>Escalate issues, keep informed, advise and receive instructions.</w:t>
            </w:r>
          </w:p>
        </w:tc>
      </w:tr>
      <w:tr w:rsidR="00585180" w:rsidRPr="00C978B9" w14:paraId="4BA2F17C" w14:textId="77777777" w:rsidTr="00E55704">
        <w:tc>
          <w:tcPr>
            <w:tcW w:w="3601" w:type="dxa"/>
            <w:tcBorders>
              <w:top w:val="single" w:sz="8" w:space="0" w:color="auto"/>
              <w:bottom w:val="single" w:sz="8" w:space="0" w:color="BCBEC0"/>
            </w:tcBorders>
          </w:tcPr>
          <w:p w14:paraId="5D4FDD0F" w14:textId="49C54E91" w:rsidR="00585180" w:rsidRPr="004E07DB" w:rsidRDefault="00585180" w:rsidP="00585180">
            <w:pPr>
              <w:pStyle w:val="TableText"/>
            </w:pPr>
            <w:r w:rsidRPr="004E07DB">
              <w:rPr>
                <w:rFonts w:cs="Arial"/>
              </w:rPr>
              <w:t>PSC staff</w:t>
            </w:r>
          </w:p>
        </w:tc>
        <w:tc>
          <w:tcPr>
            <w:tcW w:w="7256" w:type="dxa"/>
            <w:tcBorders>
              <w:top w:val="single" w:sz="8" w:space="0" w:color="auto"/>
              <w:bottom w:val="single" w:sz="8" w:space="0" w:color="BCBEC0"/>
            </w:tcBorders>
          </w:tcPr>
          <w:p w14:paraId="5BE06C2D" w14:textId="3163FEAC" w:rsidR="00585180" w:rsidRPr="004E07DB" w:rsidRDefault="00585180" w:rsidP="00585180">
            <w:pPr>
              <w:pStyle w:val="TableText"/>
              <w:numPr>
                <w:ilvl w:val="0"/>
                <w:numId w:val="3"/>
              </w:numPr>
            </w:pPr>
            <w:r w:rsidRPr="004E07DB">
              <w:rPr>
                <w:rFonts w:cs="Arial"/>
              </w:rPr>
              <w:t>Liaise and consult with PSC staff to define research or policy questions requiring analysis.</w:t>
            </w:r>
          </w:p>
        </w:tc>
      </w:tr>
      <w:tr w:rsidR="00585180" w:rsidRPr="00C978B9" w14:paraId="2EB6F9B1" w14:textId="77777777" w:rsidTr="00E55704">
        <w:tc>
          <w:tcPr>
            <w:tcW w:w="3601" w:type="dxa"/>
            <w:tcBorders>
              <w:top w:val="single" w:sz="8" w:space="0" w:color="auto"/>
              <w:bottom w:val="single" w:sz="8" w:space="0" w:color="BCBEC0"/>
            </w:tcBorders>
          </w:tcPr>
          <w:p w14:paraId="3E56E397" w14:textId="642DD8D6" w:rsidR="00585180" w:rsidRPr="004E07DB" w:rsidRDefault="00585180" w:rsidP="00585180">
            <w:pPr>
              <w:pStyle w:val="TableText"/>
            </w:pPr>
            <w:r w:rsidRPr="004E07DB">
              <w:rPr>
                <w:rFonts w:cs="Arial"/>
                <w:color w:val="000000"/>
              </w:rPr>
              <w:t>Work team</w:t>
            </w:r>
          </w:p>
        </w:tc>
        <w:tc>
          <w:tcPr>
            <w:tcW w:w="7256" w:type="dxa"/>
            <w:tcBorders>
              <w:top w:val="single" w:sz="8" w:space="0" w:color="auto"/>
              <w:bottom w:val="single" w:sz="8" w:space="0" w:color="BCBEC0"/>
            </w:tcBorders>
          </w:tcPr>
          <w:p w14:paraId="2665E961" w14:textId="4DE4671A" w:rsidR="00585180" w:rsidRPr="004E07DB" w:rsidRDefault="00585180" w:rsidP="00585180">
            <w:pPr>
              <w:pStyle w:val="TableText"/>
              <w:numPr>
                <w:ilvl w:val="0"/>
                <w:numId w:val="3"/>
              </w:numPr>
            </w:pPr>
            <w:r w:rsidRPr="004E07DB">
              <w:rPr>
                <w:rFonts w:cs="Arial"/>
              </w:rPr>
              <w:t>Support the team and work collaboratively to contribute to achieving the team’s objectives.</w:t>
            </w:r>
          </w:p>
        </w:tc>
      </w:tr>
      <w:tr w:rsidR="00585180" w:rsidRPr="00A8245E" w14:paraId="28D9EC6F" w14:textId="77777777" w:rsidTr="00E55704">
        <w:tc>
          <w:tcPr>
            <w:tcW w:w="3601" w:type="dxa"/>
            <w:shd w:val="clear" w:color="auto" w:fill="BCBEC0"/>
          </w:tcPr>
          <w:p w14:paraId="3A8B479E" w14:textId="77777777" w:rsidR="00585180" w:rsidRPr="00A8245E" w:rsidRDefault="00585180" w:rsidP="00585180">
            <w:pPr>
              <w:pStyle w:val="TableText"/>
              <w:keepNext/>
              <w:rPr>
                <w:b/>
              </w:rPr>
            </w:pPr>
            <w:r w:rsidRPr="00A8245E">
              <w:rPr>
                <w:b/>
              </w:rPr>
              <w:t>External</w:t>
            </w:r>
          </w:p>
        </w:tc>
        <w:tc>
          <w:tcPr>
            <w:tcW w:w="7256" w:type="dxa"/>
            <w:shd w:val="clear" w:color="auto" w:fill="BCBEC0"/>
          </w:tcPr>
          <w:p w14:paraId="0C475D7B" w14:textId="77777777" w:rsidR="00585180" w:rsidRPr="00A8245E" w:rsidRDefault="00585180" w:rsidP="00585180">
            <w:pPr>
              <w:pStyle w:val="TableText"/>
              <w:keepNext/>
              <w:rPr>
                <w:b/>
              </w:rPr>
            </w:pPr>
          </w:p>
        </w:tc>
      </w:tr>
      <w:tr w:rsidR="00585180" w:rsidRPr="00C978B9" w14:paraId="59032ED9" w14:textId="77777777" w:rsidTr="00E55704">
        <w:tc>
          <w:tcPr>
            <w:tcW w:w="3601" w:type="dxa"/>
            <w:tcBorders>
              <w:top w:val="single" w:sz="8" w:space="0" w:color="auto"/>
              <w:bottom w:val="single" w:sz="8" w:space="0" w:color="BCBEC0"/>
            </w:tcBorders>
          </w:tcPr>
          <w:p w14:paraId="4B50335E" w14:textId="77777777" w:rsidR="00585180" w:rsidRPr="00A15CDB" w:rsidRDefault="00585180" w:rsidP="00585180">
            <w:pPr>
              <w:pStyle w:val="TableText"/>
            </w:pPr>
            <w:r>
              <w:t>NSW public sector staff</w:t>
            </w:r>
          </w:p>
        </w:tc>
        <w:tc>
          <w:tcPr>
            <w:tcW w:w="7256" w:type="dxa"/>
            <w:tcBorders>
              <w:top w:val="single" w:sz="8" w:space="0" w:color="auto"/>
              <w:bottom w:val="single" w:sz="8" w:space="0" w:color="BCBEC0"/>
            </w:tcBorders>
          </w:tcPr>
          <w:p w14:paraId="4DB51605" w14:textId="77777777" w:rsidR="004E07DB" w:rsidRDefault="00585180" w:rsidP="004E07DB">
            <w:pPr>
              <w:pStyle w:val="TableText"/>
              <w:numPr>
                <w:ilvl w:val="0"/>
                <w:numId w:val="3"/>
              </w:numPr>
            </w:pPr>
            <w:r>
              <w:t xml:space="preserve">Liaise and consult with agency/department representatives to define research or policy questions requiring analysis. </w:t>
            </w:r>
          </w:p>
          <w:p w14:paraId="5ECF7D34" w14:textId="0D0A6AB4" w:rsidR="004E07DB" w:rsidRPr="00A15CDB" w:rsidRDefault="00585180" w:rsidP="004E07DB">
            <w:pPr>
              <w:pStyle w:val="TableText"/>
              <w:numPr>
                <w:ilvl w:val="0"/>
                <w:numId w:val="3"/>
              </w:numPr>
            </w:pPr>
            <w:r>
              <w:t>Resolve issues and provide solutions to problems</w:t>
            </w:r>
          </w:p>
        </w:tc>
      </w:tr>
    </w:tbl>
    <w:p w14:paraId="14D7A223" w14:textId="77777777" w:rsidR="003927AE" w:rsidRDefault="003927AE" w:rsidP="009E00FD">
      <w:pPr>
        <w:pStyle w:val="Heading1"/>
        <w:spacing w:before="120"/>
        <w:rPr>
          <w:sz w:val="28"/>
        </w:rPr>
      </w:pPr>
      <w:r w:rsidRPr="00614552">
        <w:t>Role dimensions</w:t>
      </w:r>
    </w:p>
    <w:p w14:paraId="2F73CAB1" w14:textId="77777777" w:rsidR="003927AE" w:rsidRPr="00614552" w:rsidRDefault="003927AE" w:rsidP="003927AE">
      <w:pPr>
        <w:pStyle w:val="Heading2"/>
      </w:pPr>
      <w:r w:rsidRPr="00614552">
        <w:t>Decision making</w:t>
      </w:r>
    </w:p>
    <w:p w14:paraId="0031C057" w14:textId="77777777" w:rsidR="004E07DB" w:rsidRDefault="004E07DB" w:rsidP="004E07DB">
      <w:r>
        <w:t>This role:</w:t>
      </w:r>
    </w:p>
    <w:p w14:paraId="7502F5AD" w14:textId="1D3AB379" w:rsidR="004E07DB" w:rsidRPr="004E07DB" w:rsidRDefault="001C51A2" w:rsidP="004E07DB">
      <w:pPr>
        <w:pStyle w:val="ListParagraph"/>
        <w:numPr>
          <w:ilvl w:val="0"/>
          <w:numId w:val="15"/>
        </w:numPr>
        <w:rPr>
          <w:rFonts w:cs="Arial"/>
          <w:szCs w:val="26"/>
        </w:rPr>
      </w:pPr>
      <w:r>
        <w:t xml:space="preserve">independently </w:t>
      </w:r>
      <w:r w:rsidR="003927AE">
        <w:t>manages the day to day workload within agreed work and project plans</w:t>
      </w:r>
      <w:r>
        <w:t xml:space="preserve">, </w:t>
      </w:r>
      <w:r w:rsidR="003927AE">
        <w:t>takes active</w:t>
      </w:r>
      <w:r w:rsidR="004E07DB">
        <w:t xml:space="preserve"> ownership of their own wor</w:t>
      </w:r>
      <w:r>
        <w:t>k</w:t>
      </w:r>
      <w:r w:rsidRPr="001C51A2">
        <w:t xml:space="preserve"> </w:t>
      </w:r>
      <w:r>
        <w:t>and collaborates with others in the team and across the PSC so that work is delivered within required timeframes and to high standards</w:t>
      </w:r>
    </w:p>
    <w:p w14:paraId="48A07BEB" w14:textId="77777777" w:rsidR="004E07DB" w:rsidRPr="004E07DB" w:rsidRDefault="004E07DB" w:rsidP="004E07DB">
      <w:pPr>
        <w:pStyle w:val="ListParagraph"/>
        <w:numPr>
          <w:ilvl w:val="0"/>
          <w:numId w:val="15"/>
        </w:numPr>
        <w:rPr>
          <w:rFonts w:cs="Arial"/>
          <w:szCs w:val="26"/>
        </w:rPr>
      </w:pPr>
      <w:r>
        <w:t>r</w:t>
      </w:r>
      <w:r w:rsidR="003927AE">
        <w:t>ecommends to a supervisor the scope, content and format of information provided to agenc</w:t>
      </w:r>
      <w:r>
        <w:t>ies and external stakeholders</w:t>
      </w:r>
    </w:p>
    <w:p w14:paraId="0833C810" w14:textId="0C2666E1" w:rsidR="003927AE" w:rsidRPr="004E07DB" w:rsidRDefault="003927AE" w:rsidP="004E07DB">
      <w:pPr>
        <w:pStyle w:val="ListParagraph"/>
        <w:numPr>
          <w:ilvl w:val="0"/>
          <w:numId w:val="15"/>
        </w:numPr>
        <w:rPr>
          <w:rFonts w:cs="Arial"/>
          <w:szCs w:val="26"/>
        </w:rPr>
      </w:pPr>
      <w:r>
        <w:t>refers to a supervisor any decisions requiring or resulting in changes to project outcomes or timeframes, those with the potential to escalate or create precedent.</w:t>
      </w:r>
    </w:p>
    <w:p w14:paraId="458EC689" w14:textId="77777777" w:rsidR="003927AE" w:rsidRPr="009E00FD" w:rsidRDefault="003927AE" w:rsidP="003927AE">
      <w:pPr>
        <w:pStyle w:val="Heading2"/>
      </w:pPr>
      <w:r w:rsidRPr="009E00FD">
        <w:t>Reporting line</w:t>
      </w:r>
    </w:p>
    <w:p w14:paraId="11633C81" w14:textId="56D75EF0" w:rsidR="003927AE" w:rsidRPr="00603D53" w:rsidRDefault="003927AE" w:rsidP="003927AE">
      <w:pPr>
        <w:rPr>
          <w:rFonts w:cs="Arial"/>
          <w:szCs w:val="26"/>
        </w:rPr>
      </w:pPr>
      <w:r w:rsidRPr="009E00FD">
        <w:t>Depending on</w:t>
      </w:r>
      <w:r>
        <w:t xml:space="preserve"> the work assigned, this role may report to a </w:t>
      </w:r>
      <w:r w:rsidR="004637EA">
        <w:t xml:space="preserve">Senior Analyst, </w:t>
      </w:r>
      <w:r>
        <w:t xml:space="preserve">Principal Analyst, </w:t>
      </w:r>
      <w:r w:rsidR="00514900">
        <w:t xml:space="preserve">or </w:t>
      </w:r>
      <w:r>
        <w:t>Principal Advisor</w:t>
      </w:r>
      <w:r w:rsidR="00514900">
        <w:t>.</w:t>
      </w:r>
    </w:p>
    <w:p w14:paraId="2714E653" w14:textId="77777777" w:rsidR="003927AE" w:rsidRPr="00614552" w:rsidRDefault="003927AE" w:rsidP="003927AE">
      <w:pPr>
        <w:pStyle w:val="Heading2"/>
      </w:pPr>
      <w:r w:rsidRPr="00614552">
        <w:t>Direct reports</w:t>
      </w:r>
    </w:p>
    <w:p w14:paraId="67D4C03D" w14:textId="77777777" w:rsidR="003927AE" w:rsidRPr="00603D53" w:rsidRDefault="003927AE" w:rsidP="003927AE">
      <w:pPr>
        <w:rPr>
          <w:rFonts w:cs="Arial"/>
          <w:szCs w:val="26"/>
        </w:rPr>
      </w:pPr>
      <w:r>
        <w:t>Nil</w:t>
      </w:r>
    </w:p>
    <w:p w14:paraId="67DFC5F1" w14:textId="77777777" w:rsidR="003927AE" w:rsidRPr="00614552" w:rsidRDefault="003927AE" w:rsidP="003927AE">
      <w:pPr>
        <w:pStyle w:val="Heading2"/>
      </w:pPr>
      <w:r w:rsidRPr="00614552">
        <w:lastRenderedPageBreak/>
        <w:t>Budget/Expenditure</w:t>
      </w:r>
    </w:p>
    <w:p w14:paraId="0EB989F7" w14:textId="77777777" w:rsidR="003927AE" w:rsidRDefault="003927AE" w:rsidP="003927AE">
      <w:pPr>
        <w:rPr>
          <w:rFonts w:cs="Arial"/>
          <w:szCs w:val="26"/>
        </w:rPr>
      </w:pPr>
      <w:r>
        <w:t>Nil</w:t>
      </w:r>
    </w:p>
    <w:p w14:paraId="2430FA8D" w14:textId="77777777" w:rsidR="003927AE" w:rsidRPr="00C978B9" w:rsidRDefault="003927AE" w:rsidP="003927AE">
      <w:pPr>
        <w:pStyle w:val="Heading1"/>
      </w:pPr>
      <w:r w:rsidRPr="009E00FD">
        <w:t>Capabilities for the role</w:t>
      </w:r>
    </w:p>
    <w:p w14:paraId="0608BD7B" w14:textId="77777777" w:rsidR="003927AE" w:rsidRPr="00175AAF" w:rsidRDefault="003927AE" w:rsidP="003927A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859CB6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7DC552E" w14:textId="77777777" w:rsidR="003927AE" w:rsidRPr="00C978B9" w:rsidRDefault="003927AE" w:rsidP="003927AE">
      <w:pPr>
        <w:pStyle w:val="Heading1"/>
      </w:pPr>
      <w:r w:rsidRPr="00C978B9">
        <w:t xml:space="preserve">Focus </w:t>
      </w:r>
      <w:r>
        <w:t>c</w:t>
      </w:r>
      <w:r w:rsidRPr="00C978B9">
        <w:t>apabilities</w:t>
      </w:r>
    </w:p>
    <w:p w14:paraId="6ABC92BC"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F562C02"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7E33048"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B346FB7"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BFEEAF"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06DF1EB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5AE858B"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5D29A"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AD4520"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7A4194AB"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40F15F3B" w14:textId="77777777" w:rsidR="003927AE" w:rsidRDefault="003927AE" w:rsidP="006D75C8">
            <w:pPr>
              <w:pStyle w:val="TableText"/>
              <w:keepNext/>
              <w:jc w:val="both"/>
              <w:rPr>
                <w:b/>
              </w:rPr>
            </w:pPr>
            <w:r>
              <w:rPr>
                <w:b/>
              </w:rPr>
              <w:t xml:space="preserve">Level </w:t>
            </w:r>
          </w:p>
        </w:tc>
      </w:tr>
      <w:tr w:rsidR="002D336D" w:rsidRPr="00C978B9" w14:paraId="2B1DE210" w14:textId="77777777" w:rsidTr="006D75C8">
        <w:tc>
          <w:tcPr>
            <w:tcW w:w="1406" w:type="dxa"/>
            <w:vMerge w:val="restart"/>
            <w:tcBorders>
              <w:bottom w:val="single" w:sz="4" w:space="0" w:color="BCBEC0"/>
            </w:tcBorders>
          </w:tcPr>
          <w:p w14:paraId="38A95859" w14:textId="77777777" w:rsidR="002D336D" w:rsidRPr="00C978B9" w:rsidRDefault="002D336D" w:rsidP="006D75C8">
            <w:pPr>
              <w:keepNext/>
            </w:pPr>
            <w:r w:rsidRPr="00C978B9">
              <w:rPr>
                <w:noProof/>
                <w:lang w:eastAsia="en-AU"/>
              </w:rPr>
              <w:drawing>
                <wp:inline distT="0" distB="0" distL="0" distR="0" wp14:anchorId="2AA4F4C4" wp14:editId="154ED60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3AF2553" w14:textId="77777777" w:rsidR="002D336D" w:rsidRPr="00A8226F" w:rsidRDefault="002D336D" w:rsidP="006D75C8">
            <w:pPr>
              <w:pStyle w:val="TableText"/>
              <w:keepNext/>
              <w:rPr>
                <w:b/>
              </w:rPr>
            </w:pPr>
            <w:r>
              <w:rPr>
                <w:b/>
              </w:rPr>
              <w:t>Act with Integrity</w:t>
            </w:r>
          </w:p>
          <w:p w14:paraId="0137B693" w14:textId="77777777" w:rsidR="002D336D" w:rsidRPr="00AA57E3" w:rsidRDefault="002D336D" w:rsidP="006D75C8">
            <w:pPr>
              <w:pStyle w:val="TableText"/>
              <w:keepNext/>
            </w:pPr>
            <w:r>
              <w:t>Be ethical and professional, and uphold and promote the public sector values</w:t>
            </w:r>
          </w:p>
        </w:tc>
        <w:tc>
          <w:tcPr>
            <w:tcW w:w="4770" w:type="dxa"/>
            <w:tcBorders>
              <w:bottom w:val="single" w:sz="4" w:space="0" w:color="BCBEC0"/>
            </w:tcBorders>
          </w:tcPr>
          <w:p w14:paraId="5163DB93" w14:textId="77777777" w:rsidR="002D336D" w:rsidRPr="00AA57E3" w:rsidRDefault="002D336D" w:rsidP="006D75C8">
            <w:pPr>
              <w:pStyle w:val="TableBullet"/>
            </w:pPr>
            <w:r>
              <w:t>Represent the organisation in an honest, ethical and professional way</w:t>
            </w:r>
          </w:p>
          <w:p w14:paraId="6A291771" w14:textId="77777777" w:rsidR="002D336D" w:rsidRPr="00AA57E3" w:rsidRDefault="002D336D" w:rsidP="006D75C8">
            <w:pPr>
              <w:pStyle w:val="TableBullet"/>
            </w:pPr>
            <w:r>
              <w:t>Support a culture of integrity and professionalism</w:t>
            </w:r>
          </w:p>
          <w:p w14:paraId="4575375F" w14:textId="77777777" w:rsidR="002D336D" w:rsidRPr="00AA57E3" w:rsidRDefault="002D336D" w:rsidP="006D75C8">
            <w:pPr>
              <w:pStyle w:val="TableBullet"/>
            </w:pPr>
            <w:r>
              <w:t>Understand and help others to recognise their obligations to comply with legislation, policies, guidelines and codes of conduct</w:t>
            </w:r>
          </w:p>
          <w:p w14:paraId="3CDA11E0" w14:textId="77777777" w:rsidR="002D336D" w:rsidRPr="00AA57E3" w:rsidRDefault="002D336D" w:rsidP="006D75C8">
            <w:pPr>
              <w:pStyle w:val="TableBullet"/>
            </w:pPr>
            <w:r>
              <w:t>Recognise and report misconduct and illegal and inappropriate behaviour</w:t>
            </w:r>
          </w:p>
          <w:p w14:paraId="14EC9A77" w14:textId="77777777" w:rsidR="002D336D" w:rsidRPr="00AA57E3" w:rsidRDefault="002D336D" w:rsidP="006D75C8">
            <w:pPr>
              <w:pStyle w:val="TableBullet"/>
            </w:pPr>
            <w:r>
              <w:t>Report and manage apparent conflicts of interest and encourage others to do so</w:t>
            </w:r>
          </w:p>
        </w:tc>
        <w:tc>
          <w:tcPr>
            <w:tcW w:w="1606" w:type="dxa"/>
            <w:tcBorders>
              <w:bottom w:val="single" w:sz="4" w:space="0" w:color="BCBEC0"/>
            </w:tcBorders>
          </w:tcPr>
          <w:p w14:paraId="7EEB7CC1" w14:textId="77777777" w:rsidR="002D336D" w:rsidRDefault="00F15669" w:rsidP="006D75C8">
            <w:pPr>
              <w:pStyle w:val="TableBullet"/>
              <w:numPr>
                <w:ilvl w:val="0"/>
                <w:numId w:val="0"/>
              </w:numPr>
              <w:jc w:val="both"/>
            </w:pPr>
            <w:r>
              <w:t>Intermediate</w:t>
            </w:r>
          </w:p>
        </w:tc>
      </w:tr>
      <w:tr w:rsidR="002D336D" w:rsidRPr="00C978B9" w14:paraId="56BC1CE2" w14:textId="77777777" w:rsidTr="006D75C8">
        <w:tc>
          <w:tcPr>
            <w:tcW w:w="1406" w:type="dxa"/>
            <w:vMerge w:val="restart"/>
            <w:tcBorders>
              <w:bottom w:val="single" w:sz="4" w:space="0" w:color="BCBEC0"/>
            </w:tcBorders>
          </w:tcPr>
          <w:p w14:paraId="53EE83C6" w14:textId="77777777" w:rsidR="002D336D" w:rsidRPr="00C978B9" w:rsidRDefault="002D336D" w:rsidP="006D75C8">
            <w:pPr>
              <w:keepNext/>
            </w:pPr>
            <w:r w:rsidRPr="00C978B9">
              <w:rPr>
                <w:noProof/>
                <w:lang w:eastAsia="en-AU"/>
              </w:rPr>
              <w:drawing>
                <wp:inline distT="0" distB="0" distL="0" distR="0" wp14:anchorId="5B73B1C1" wp14:editId="00771D2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04213C8" w14:textId="77777777" w:rsidR="002D336D" w:rsidRPr="00A8226F" w:rsidRDefault="002D336D" w:rsidP="006D75C8">
            <w:pPr>
              <w:pStyle w:val="TableText"/>
              <w:keepNext/>
              <w:rPr>
                <w:b/>
              </w:rPr>
            </w:pPr>
            <w:r>
              <w:rPr>
                <w:b/>
              </w:rPr>
              <w:t>Communicate Effectively</w:t>
            </w:r>
          </w:p>
          <w:p w14:paraId="01FD92C3"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77F3F1AB" w14:textId="77777777" w:rsidR="002D336D" w:rsidRPr="00AA57E3" w:rsidRDefault="002D336D" w:rsidP="006D75C8">
            <w:pPr>
              <w:pStyle w:val="TableBullet"/>
            </w:pPr>
            <w:r>
              <w:t>Tailor communication to diverse audiences</w:t>
            </w:r>
          </w:p>
          <w:p w14:paraId="648B297D" w14:textId="77777777" w:rsidR="002D336D" w:rsidRPr="00AA57E3" w:rsidRDefault="002D336D" w:rsidP="006D75C8">
            <w:pPr>
              <w:pStyle w:val="TableBullet"/>
            </w:pPr>
            <w:r>
              <w:t>Clearly explain complex concepts and arguments to individuals and groups</w:t>
            </w:r>
          </w:p>
          <w:p w14:paraId="49C38E7B" w14:textId="77777777" w:rsidR="002D336D" w:rsidRPr="00AA57E3" w:rsidRDefault="002D336D" w:rsidP="006D75C8">
            <w:pPr>
              <w:pStyle w:val="TableBullet"/>
            </w:pPr>
            <w:r>
              <w:t>Create opportunities for others to be heard, listen attentively and encourage them to express their views</w:t>
            </w:r>
          </w:p>
          <w:p w14:paraId="6E3DD800" w14:textId="77777777" w:rsidR="002D336D" w:rsidRPr="00AA57E3" w:rsidRDefault="002D336D" w:rsidP="006D75C8">
            <w:pPr>
              <w:pStyle w:val="TableBullet"/>
            </w:pPr>
            <w:r>
              <w:t>Share information across teams and units to enable informed decision making</w:t>
            </w:r>
          </w:p>
          <w:p w14:paraId="5594779A" w14:textId="77777777" w:rsidR="002D336D" w:rsidRPr="00AA57E3" w:rsidRDefault="002D336D" w:rsidP="006D75C8">
            <w:pPr>
              <w:pStyle w:val="TableBullet"/>
            </w:pPr>
            <w:r>
              <w:t>Write fluently in plain English and in a range of styles and formats</w:t>
            </w:r>
          </w:p>
          <w:p w14:paraId="3BBD35AC" w14:textId="77777777" w:rsidR="002D336D" w:rsidRPr="00AA57E3" w:rsidRDefault="002D336D" w:rsidP="006D75C8">
            <w:pPr>
              <w:pStyle w:val="TableBullet"/>
            </w:pPr>
            <w:r>
              <w:t>Use contemporary communication channels to share information, engage and interact with diverse audiences</w:t>
            </w:r>
          </w:p>
        </w:tc>
        <w:tc>
          <w:tcPr>
            <w:tcW w:w="1606" w:type="dxa"/>
            <w:tcBorders>
              <w:bottom w:val="single" w:sz="4" w:space="0" w:color="BCBEC0"/>
            </w:tcBorders>
          </w:tcPr>
          <w:p w14:paraId="64C0E272" w14:textId="77777777" w:rsidR="002D336D" w:rsidRDefault="00F15669" w:rsidP="006D75C8">
            <w:pPr>
              <w:pStyle w:val="TableBullet"/>
              <w:numPr>
                <w:ilvl w:val="0"/>
                <w:numId w:val="0"/>
              </w:numPr>
              <w:jc w:val="both"/>
            </w:pPr>
            <w:r>
              <w:t>Adept</w:t>
            </w:r>
          </w:p>
        </w:tc>
      </w:tr>
      <w:tr w:rsidR="002D336D" w:rsidRPr="00C978B9" w14:paraId="1B19B63B" w14:textId="77777777" w:rsidTr="006D75C8">
        <w:tc>
          <w:tcPr>
            <w:tcW w:w="1406" w:type="dxa"/>
            <w:vMerge w:val="restart"/>
            <w:tcBorders>
              <w:bottom w:val="single" w:sz="4" w:space="0" w:color="BCBEC0"/>
            </w:tcBorders>
          </w:tcPr>
          <w:p w14:paraId="09ACF268" w14:textId="77777777" w:rsidR="002D336D" w:rsidRPr="00C978B9" w:rsidRDefault="002D336D" w:rsidP="006D75C8">
            <w:pPr>
              <w:keepNext/>
            </w:pPr>
            <w:r w:rsidRPr="00C978B9">
              <w:rPr>
                <w:noProof/>
                <w:lang w:eastAsia="en-AU"/>
              </w:rPr>
              <w:lastRenderedPageBreak/>
              <w:drawing>
                <wp:inline distT="0" distB="0" distL="0" distR="0" wp14:anchorId="74A5DAB9" wp14:editId="19C4D3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ADC2D43" w14:textId="77777777" w:rsidR="002D336D" w:rsidRPr="00A8226F" w:rsidRDefault="002D336D" w:rsidP="006D75C8">
            <w:pPr>
              <w:pStyle w:val="TableText"/>
              <w:keepNext/>
              <w:rPr>
                <w:b/>
              </w:rPr>
            </w:pPr>
            <w:r>
              <w:rPr>
                <w:b/>
              </w:rPr>
              <w:t>Think and Solve Problems</w:t>
            </w:r>
          </w:p>
          <w:p w14:paraId="7BC146FE" w14:textId="77777777" w:rsidR="002D336D" w:rsidRPr="00AA57E3" w:rsidRDefault="002D336D" w:rsidP="006D75C8">
            <w:pPr>
              <w:pStyle w:val="TableText"/>
              <w:keepNext/>
            </w:pPr>
            <w:r>
              <w:t>Think, analyse and consider the broader context to develop practical solutions</w:t>
            </w:r>
          </w:p>
        </w:tc>
        <w:tc>
          <w:tcPr>
            <w:tcW w:w="4770" w:type="dxa"/>
            <w:tcBorders>
              <w:bottom w:val="single" w:sz="4" w:space="0" w:color="BCBEC0"/>
            </w:tcBorders>
          </w:tcPr>
          <w:p w14:paraId="40CD6E71" w14:textId="77777777" w:rsidR="002D336D" w:rsidRPr="00AA57E3" w:rsidRDefault="002D336D" w:rsidP="006D75C8">
            <w:pPr>
              <w:pStyle w:val="TableBullet"/>
            </w:pPr>
            <w:r>
              <w:t>Research and apply critical-thinking techniques in analysing information, identify interrelationships and make recommendations based on relevant evidence</w:t>
            </w:r>
          </w:p>
          <w:p w14:paraId="2412BBBF" w14:textId="77777777" w:rsidR="002D336D" w:rsidRPr="00AA57E3" w:rsidRDefault="002D336D" w:rsidP="006D75C8">
            <w:pPr>
              <w:pStyle w:val="TableBullet"/>
            </w:pPr>
            <w:r>
              <w:t>Anticipate, identify and address issues and potential problems that may have an impact on organisational objectives and the user experience</w:t>
            </w:r>
          </w:p>
          <w:p w14:paraId="7DB947EE" w14:textId="77777777" w:rsidR="002D336D" w:rsidRPr="00AA57E3" w:rsidRDefault="002D336D" w:rsidP="006D75C8">
            <w:pPr>
              <w:pStyle w:val="TableBullet"/>
            </w:pPr>
            <w:r>
              <w:t>Apply creative-thinking techniques to generate new ideas and options to address issues and improve the user experience</w:t>
            </w:r>
          </w:p>
          <w:p w14:paraId="4809627B" w14:textId="77777777" w:rsidR="002D336D" w:rsidRPr="00AA57E3" w:rsidRDefault="002D336D" w:rsidP="006D75C8">
            <w:pPr>
              <w:pStyle w:val="TableBullet"/>
            </w:pPr>
            <w:r>
              <w:t>Seek contributions and ideas from people with diverse backgrounds and experience</w:t>
            </w:r>
          </w:p>
          <w:p w14:paraId="2B13ED9D" w14:textId="77777777" w:rsidR="002D336D" w:rsidRPr="00AA57E3" w:rsidRDefault="002D336D" w:rsidP="006D75C8">
            <w:pPr>
              <w:pStyle w:val="TableBullet"/>
            </w:pPr>
            <w:r>
              <w:t>Participate in and contribute to team or unit initiatives to resolve common issues or barriers to effectiveness</w:t>
            </w:r>
          </w:p>
          <w:p w14:paraId="368F6D36" w14:textId="77777777" w:rsidR="002D336D" w:rsidRPr="00AA57E3" w:rsidRDefault="002D336D" w:rsidP="006D75C8">
            <w:pPr>
              <w:pStyle w:val="TableBullet"/>
            </w:pPr>
            <w:r>
              <w:t>Identify and share business process improvements to enhance effectiveness</w:t>
            </w:r>
          </w:p>
        </w:tc>
        <w:tc>
          <w:tcPr>
            <w:tcW w:w="1606" w:type="dxa"/>
            <w:tcBorders>
              <w:bottom w:val="single" w:sz="4" w:space="0" w:color="BCBEC0"/>
            </w:tcBorders>
          </w:tcPr>
          <w:p w14:paraId="375D8DE7" w14:textId="77777777" w:rsidR="002D336D" w:rsidRDefault="00F15669" w:rsidP="006D75C8">
            <w:pPr>
              <w:pStyle w:val="TableBullet"/>
              <w:numPr>
                <w:ilvl w:val="0"/>
                <w:numId w:val="0"/>
              </w:numPr>
              <w:jc w:val="both"/>
            </w:pPr>
            <w:r>
              <w:t>Adept</w:t>
            </w:r>
          </w:p>
        </w:tc>
      </w:tr>
      <w:tr w:rsidR="002D336D" w:rsidRPr="00C978B9" w14:paraId="4020221C" w14:textId="77777777" w:rsidTr="006D75C8">
        <w:tc>
          <w:tcPr>
            <w:tcW w:w="1406" w:type="dxa"/>
            <w:vMerge w:val="restart"/>
            <w:tcBorders>
              <w:bottom w:val="single" w:sz="4" w:space="0" w:color="BCBEC0"/>
            </w:tcBorders>
          </w:tcPr>
          <w:p w14:paraId="4470AAB5" w14:textId="77777777" w:rsidR="002D336D" w:rsidRPr="00C978B9" w:rsidRDefault="002D336D" w:rsidP="006D75C8">
            <w:pPr>
              <w:keepNext/>
            </w:pPr>
            <w:r w:rsidRPr="00C978B9">
              <w:rPr>
                <w:noProof/>
                <w:lang w:eastAsia="en-AU"/>
              </w:rPr>
              <w:drawing>
                <wp:inline distT="0" distB="0" distL="0" distR="0" wp14:anchorId="7D1995A1" wp14:editId="598E484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151C137" w14:textId="77777777" w:rsidR="002D336D" w:rsidRPr="00A8226F" w:rsidRDefault="002D336D" w:rsidP="006D75C8">
            <w:pPr>
              <w:pStyle w:val="TableText"/>
              <w:keepNext/>
              <w:rPr>
                <w:b/>
              </w:rPr>
            </w:pPr>
            <w:r>
              <w:rPr>
                <w:b/>
              </w:rPr>
              <w:t>Technology</w:t>
            </w:r>
          </w:p>
          <w:p w14:paraId="286E1E31" w14:textId="77777777" w:rsidR="002D336D" w:rsidRPr="00AA57E3" w:rsidRDefault="002D336D" w:rsidP="006D75C8">
            <w:pPr>
              <w:pStyle w:val="TableText"/>
              <w:keepNext/>
            </w:pPr>
            <w:r>
              <w:t>Understand and use available technologies to maximise efficiencies and effectiveness</w:t>
            </w:r>
          </w:p>
        </w:tc>
        <w:tc>
          <w:tcPr>
            <w:tcW w:w="4770" w:type="dxa"/>
            <w:tcBorders>
              <w:bottom w:val="single" w:sz="4" w:space="0" w:color="BCBEC0"/>
            </w:tcBorders>
          </w:tcPr>
          <w:p w14:paraId="23891505" w14:textId="77777777" w:rsidR="002D336D" w:rsidRPr="00AA57E3" w:rsidRDefault="002D336D" w:rsidP="006D75C8">
            <w:pPr>
              <w:pStyle w:val="TableBullet"/>
            </w:pPr>
            <w:r>
              <w:t>Identify opportunities to use a broad range of technologies to collaborate</w:t>
            </w:r>
          </w:p>
          <w:p w14:paraId="5CF824C6" w14:textId="77777777" w:rsidR="002D336D" w:rsidRPr="00AA57E3" w:rsidRDefault="002D336D" w:rsidP="006D75C8">
            <w:pPr>
              <w:pStyle w:val="TableBullet"/>
            </w:pPr>
            <w:r>
              <w:t>Monitor compliance with cyber security and the use of technology policies</w:t>
            </w:r>
          </w:p>
          <w:p w14:paraId="36A7B678" w14:textId="77777777" w:rsidR="002D336D" w:rsidRPr="00AA57E3" w:rsidRDefault="002D336D" w:rsidP="006D75C8">
            <w:pPr>
              <w:pStyle w:val="TableBullet"/>
            </w:pPr>
            <w:r>
              <w:t>Identify ways to maximise the value of available technology to achieve business strategies and outcomes</w:t>
            </w:r>
          </w:p>
          <w:p w14:paraId="5B0FDAB5" w14:textId="77777777" w:rsidR="002D336D" w:rsidRPr="00AA57E3" w:rsidRDefault="002D336D" w:rsidP="006D75C8">
            <w:pPr>
              <w:pStyle w:val="TableBullet"/>
            </w:pPr>
            <w:r>
              <w:t>Monitor compliance with the organisation’s records, information and knowledge management requirements</w:t>
            </w:r>
          </w:p>
        </w:tc>
        <w:tc>
          <w:tcPr>
            <w:tcW w:w="1606" w:type="dxa"/>
            <w:tcBorders>
              <w:bottom w:val="single" w:sz="4" w:space="0" w:color="BCBEC0"/>
            </w:tcBorders>
          </w:tcPr>
          <w:p w14:paraId="0A4625AD" w14:textId="77777777" w:rsidR="002D336D" w:rsidRDefault="00F15669" w:rsidP="006D75C8">
            <w:pPr>
              <w:pStyle w:val="TableBullet"/>
              <w:numPr>
                <w:ilvl w:val="0"/>
                <w:numId w:val="0"/>
              </w:numPr>
              <w:jc w:val="both"/>
            </w:pPr>
            <w:r>
              <w:t>Adept</w:t>
            </w:r>
          </w:p>
        </w:tc>
      </w:tr>
      <w:tr w:rsidR="004E07DB" w:rsidRPr="00803E47" w14:paraId="707FB7E4" w14:textId="77777777" w:rsidTr="004E07DB">
        <w:trPr>
          <w:cantSplit/>
          <w:tblHeader/>
        </w:trPr>
        <w:tc>
          <w:tcPr>
            <w:tcW w:w="10753" w:type="dxa"/>
            <w:gridSpan w:val="5"/>
            <w:shd w:val="clear" w:color="auto" w:fill="6D276A"/>
          </w:tcPr>
          <w:p w14:paraId="38E97D7B" w14:textId="75754110" w:rsidR="004E07DB" w:rsidRPr="00803E47" w:rsidRDefault="0028342C" w:rsidP="004E07DB">
            <w:pPr>
              <w:pStyle w:val="TableTextWhite0"/>
              <w:keepNext/>
              <w:jc w:val="both"/>
            </w:pPr>
            <w:r>
              <w:rPr>
                <w:sz w:val="24"/>
                <w:szCs w:val="24"/>
              </w:rPr>
              <w:t xml:space="preserve">Occupation specific capability set - </w:t>
            </w:r>
            <w:r w:rsidRPr="00494542">
              <w:rPr>
                <w:rFonts w:cs="Arial"/>
              </w:rPr>
              <w:t>PSC Analytics Capability Framework – Analyst</w:t>
            </w:r>
          </w:p>
        </w:tc>
      </w:tr>
    </w:tbl>
    <w:tbl>
      <w:tblPr>
        <w:tblStyle w:val="PSCPurple"/>
        <w:tblW w:w="0" w:type="auto"/>
        <w:tblLook w:val="04A0" w:firstRow="1" w:lastRow="0" w:firstColumn="1" w:lastColumn="0" w:noHBand="0" w:noVBand="1"/>
        <w:tblCaption w:val="PSC_FocusCapabilityFrameworkTable"/>
      </w:tblPr>
      <w:tblGrid>
        <w:gridCol w:w="2912"/>
        <w:gridCol w:w="7888"/>
      </w:tblGrid>
      <w:tr w:rsidR="0028342C" w:rsidRPr="004E6482" w14:paraId="6A86C462" w14:textId="77777777" w:rsidTr="0028342C">
        <w:trPr>
          <w:cnfStyle w:val="100000000000" w:firstRow="1" w:lastRow="0" w:firstColumn="0" w:lastColumn="0" w:oddVBand="0" w:evenVBand="0" w:oddHBand="0" w:evenHBand="0" w:firstRowFirstColumn="0" w:firstRowLastColumn="0" w:lastRowFirstColumn="0" w:lastRowLastColumn="0"/>
        </w:trPr>
        <w:tc>
          <w:tcPr>
            <w:tcW w:w="2924" w:type="dxa"/>
            <w:shd w:val="clear" w:color="auto" w:fill="auto"/>
          </w:tcPr>
          <w:p w14:paraId="6F122DF4" w14:textId="77777777" w:rsidR="0028342C" w:rsidRPr="004E6482" w:rsidRDefault="0028342C" w:rsidP="00127ED9">
            <w:pPr>
              <w:pStyle w:val="TableText"/>
              <w:rPr>
                <w:rFonts w:cs="Arial"/>
                <w:b/>
              </w:rPr>
            </w:pPr>
            <w:r w:rsidRPr="004E6482">
              <w:rPr>
                <w:rFonts w:cs="Arial"/>
                <w:b/>
              </w:rPr>
              <w:t xml:space="preserve">Information Management </w:t>
            </w:r>
          </w:p>
          <w:p w14:paraId="2779CB6D" w14:textId="77777777" w:rsidR="0028342C" w:rsidRPr="004E6482" w:rsidRDefault="0028342C" w:rsidP="00127ED9">
            <w:pPr>
              <w:pStyle w:val="TableText"/>
              <w:rPr>
                <w:rFonts w:cs="Arial"/>
              </w:rPr>
            </w:pPr>
            <w:r w:rsidRPr="004E6482">
              <w:rPr>
                <w:rFonts w:cs="Arial"/>
              </w:rPr>
              <w:t>Data Governance, Security and Quality</w:t>
            </w:r>
          </w:p>
        </w:tc>
        <w:tc>
          <w:tcPr>
            <w:tcW w:w="7933" w:type="dxa"/>
            <w:shd w:val="clear" w:color="auto" w:fill="auto"/>
          </w:tcPr>
          <w:p w14:paraId="067DC9BA" w14:textId="010AD18E" w:rsidR="0028342C" w:rsidRPr="004E6482" w:rsidRDefault="0028342C" w:rsidP="004E07DB">
            <w:pPr>
              <w:pStyle w:val="TableBullet"/>
              <w:tabs>
                <w:tab w:val="clear" w:pos="360"/>
                <w:tab w:val="num" w:pos="284"/>
              </w:tabs>
              <w:ind w:left="284" w:hanging="284"/>
              <w:rPr>
                <w:rFonts w:cs="Arial"/>
              </w:rPr>
            </w:pPr>
            <w:r w:rsidRPr="004E6482">
              <w:rPr>
                <w:rFonts w:cs="Arial"/>
              </w:rPr>
              <w:t xml:space="preserve">Conduct interim data quality checks and identify potential reasons for poor quality of data sets. </w:t>
            </w:r>
          </w:p>
          <w:p w14:paraId="22B08FBB" w14:textId="77777777" w:rsidR="0028342C" w:rsidRPr="004E6482" w:rsidRDefault="0028342C" w:rsidP="004E07DB">
            <w:pPr>
              <w:pStyle w:val="TableBullet"/>
              <w:tabs>
                <w:tab w:val="clear" w:pos="360"/>
                <w:tab w:val="num" w:pos="284"/>
              </w:tabs>
              <w:ind w:left="284" w:hanging="284"/>
              <w:rPr>
                <w:rFonts w:cs="Arial"/>
              </w:rPr>
            </w:pPr>
            <w:r w:rsidRPr="004E6482">
              <w:rPr>
                <w:rFonts w:cs="Arial"/>
              </w:rPr>
              <w:t xml:space="preserve">Understand data security and compliance requirements, and key components of the data governance framework. </w:t>
            </w:r>
          </w:p>
        </w:tc>
      </w:tr>
      <w:tr w:rsidR="0028342C" w:rsidRPr="004E6482" w14:paraId="2A528580" w14:textId="77777777" w:rsidTr="00875183">
        <w:tc>
          <w:tcPr>
            <w:tcW w:w="2924" w:type="dxa"/>
          </w:tcPr>
          <w:p w14:paraId="4F28E06E" w14:textId="77777777" w:rsidR="0028342C" w:rsidRPr="004E6482" w:rsidRDefault="0028342C" w:rsidP="00127ED9">
            <w:pPr>
              <w:pStyle w:val="TableText"/>
              <w:rPr>
                <w:rFonts w:cs="Arial"/>
                <w:b/>
              </w:rPr>
            </w:pPr>
            <w:r w:rsidRPr="004E6482">
              <w:rPr>
                <w:rFonts w:cs="Arial"/>
                <w:b/>
              </w:rPr>
              <w:t xml:space="preserve">Workforce Reporting </w:t>
            </w:r>
          </w:p>
          <w:p w14:paraId="6E36CD53" w14:textId="77777777" w:rsidR="0028342C" w:rsidRPr="004E6482" w:rsidRDefault="0028342C" w:rsidP="00127ED9">
            <w:pPr>
              <w:pStyle w:val="TableText"/>
              <w:spacing w:beforeLines="40" w:before="96" w:afterLines="40" w:after="96"/>
              <w:rPr>
                <w:rFonts w:cs="Arial"/>
              </w:rPr>
            </w:pPr>
            <w:r w:rsidRPr="004E6482">
              <w:rPr>
                <w:rFonts w:cs="Arial"/>
              </w:rPr>
              <w:t>Indicators and Measures</w:t>
            </w:r>
          </w:p>
        </w:tc>
        <w:tc>
          <w:tcPr>
            <w:tcW w:w="7933" w:type="dxa"/>
            <w:shd w:val="clear" w:color="auto" w:fill="auto"/>
          </w:tcPr>
          <w:p w14:paraId="476FE289" w14:textId="3CD3B23D" w:rsidR="0028342C" w:rsidRPr="004E6482" w:rsidRDefault="0028342C" w:rsidP="004E07DB">
            <w:pPr>
              <w:pStyle w:val="TableBullet"/>
              <w:tabs>
                <w:tab w:val="clear" w:pos="360"/>
                <w:tab w:val="num" w:pos="284"/>
              </w:tabs>
              <w:ind w:left="284" w:hanging="284"/>
              <w:rPr>
                <w:rFonts w:cs="Arial"/>
              </w:rPr>
            </w:pPr>
            <w:r w:rsidRPr="004E6482">
              <w:rPr>
                <w:rFonts w:cs="Arial"/>
              </w:rPr>
              <w:t xml:space="preserve">Engage with the client and senior team members to identify relevant indicators and measures to be analysed. </w:t>
            </w:r>
          </w:p>
        </w:tc>
      </w:tr>
      <w:tr w:rsidR="0028342C" w:rsidRPr="004E6482" w14:paraId="3F432FEC" w14:textId="77777777" w:rsidTr="00875183">
        <w:tc>
          <w:tcPr>
            <w:tcW w:w="2924" w:type="dxa"/>
          </w:tcPr>
          <w:p w14:paraId="423BB028" w14:textId="77777777" w:rsidR="0028342C" w:rsidRPr="004E6482" w:rsidRDefault="0028342C" w:rsidP="0028342C">
            <w:pPr>
              <w:pStyle w:val="TableText"/>
              <w:rPr>
                <w:rFonts w:cs="Arial"/>
                <w:b/>
              </w:rPr>
            </w:pPr>
            <w:r w:rsidRPr="004E6482">
              <w:rPr>
                <w:rFonts w:cs="Arial"/>
                <w:b/>
              </w:rPr>
              <w:t xml:space="preserve">Workforce Reporting </w:t>
            </w:r>
          </w:p>
          <w:p w14:paraId="6FFD2E63" w14:textId="06E1D796" w:rsidR="0028342C" w:rsidRPr="004E6482" w:rsidRDefault="0028342C" w:rsidP="0028342C">
            <w:pPr>
              <w:pStyle w:val="TableText"/>
              <w:rPr>
                <w:rFonts w:cs="Arial"/>
                <w:b/>
              </w:rPr>
            </w:pPr>
            <w:r w:rsidRPr="004E6482">
              <w:rPr>
                <w:rFonts w:cs="Arial"/>
              </w:rPr>
              <w:t>Reporting Process</w:t>
            </w:r>
          </w:p>
        </w:tc>
        <w:tc>
          <w:tcPr>
            <w:tcW w:w="7933" w:type="dxa"/>
            <w:shd w:val="clear" w:color="auto" w:fill="auto"/>
          </w:tcPr>
          <w:p w14:paraId="443146F6" w14:textId="77777777" w:rsidR="0028342C" w:rsidRPr="004E6482" w:rsidRDefault="0028342C" w:rsidP="0028342C">
            <w:pPr>
              <w:pStyle w:val="TableBullet"/>
              <w:tabs>
                <w:tab w:val="clear" w:pos="360"/>
                <w:tab w:val="num" w:pos="284"/>
              </w:tabs>
              <w:ind w:left="284" w:hanging="284"/>
              <w:rPr>
                <w:rFonts w:cs="Arial"/>
              </w:rPr>
            </w:pPr>
            <w:r w:rsidRPr="004E6482">
              <w:rPr>
                <w:rFonts w:cs="Arial"/>
              </w:rPr>
              <w:t xml:space="preserve">Execute each stage of the standard workforce reporting process, generating completed reports efficiently based on relevant, validated data. </w:t>
            </w:r>
          </w:p>
          <w:p w14:paraId="5EE98293" w14:textId="317C28F4" w:rsidR="0028342C" w:rsidRPr="004E6482" w:rsidRDefault="0028342C" w:rsidP="0028342C">
            <w:pPr>
              <w:pStyle w:val="TableBullet"/>
              <w:tabs>
                <w:tab w:val="clear" w:pos="360"/>
                <w:tab w:val="num" w:pos="284"/>
              </w:tabs>
              <w:ind w:left="284" w:hanging="284"/>
              <w:rPr>
                <w:rFonts w:cs="Arial"/>
              </w:rPr>
            </w:pPr>
            <w:r w:rsidRPr="004E6482">
              <w:rPr>
                <w:rFonts w:cs="Arial"/>
              </w:rPr>
              <w:t>Demonstrate proficiency in use of reporting software/tools.</w:t>
            </w:r>
          </w:p>
        </w:tc>
      </w:tr>
      <w:tr w:rsidR="0028342C" w:rsidRPr="004E6482" w14:paraId="0CA532EF" w14:textId="77777777" w:rsidTr="00417E30">
        <w:tc>
          <w:tcPr>
            <w:tcW w:w="2924" w:type="dxa"/>
          </w:tcPr>
          <w:p w14:paraId="5111CEBD" w14:textId="77777777" w:rsidR="0028342C" w:rsidRDefault="0028342C" w:rsidP="00127ED9">
            <w:pPr>
              <w:pStyle w:val="TableText"/>
              <w:rPr>
                <w:rFonts w:cs="Arial"/>
                <w:b/>
              </w:rPr>
            </w:pPr>
            <w:r w:rsidRPr="004E6482">
              <w:rPr>
                <w:rFonts w:cs="Arial"/>
                <w:b/>
              </w:rPr>
              <w:t xml:space="preserve">Workforce Reporting </w:t>
            </w:r>
          </w:p>
          <w:p w14:paraId="0E40B648" w14:textId="639DA539" w:rsidR="00730601" w:rsidRPr="004E6482" w:rsidRDefault="00730601" w:rsidP="00127ED9">
            <w:pPr>
              <w:pStyle w:val="TableText"/>
              <w:rPr>
                <w:rFonts w:cs="Arial"/>
                <w:b/>
              </w:rPr>
            </w:pPr>
            <w:r w:rsidRPr="004E6482">
              <w:rPr>
                <w:rFonts w:cs="Arial"/>
              </w:rPr>
              <w:t>Business Intelligence</w:t>
            </w:r>
          </w:p>
          <w:p w14:paraId="333508F2" w14:textId="2232B46E" w:rsidR="0028342C" w:rsidRPr="004E6482" w:rsidRDefault="0028342C" w:rsidP="00127ED9">
            <w:pPr>
              <w:pStyle w:val="TableText"/>
              <w:spacing w:beforeLines="40" w:before="96" w:afterLines="40" w:after="96"/>
              <w:rPr>
                <w:rFonts w:cs="Arial"/>
              </w:rPr>
            </w:pPr>
          </w:p>
        </w:tc>
        <w:tc>
          <w:tcPr>
            <w:tcW w:w="7933" w:type="dxa"/>
          </w:tcPr>
          <w:p w14:paraId="14A4EF0E" w14:textId="1F228891" w:rsidR="0028342C" w:rsidRPr="004E6482" w:rsidRDefault="0028342C" w:rsidP="004E07DB">
            <w:pPr>
              <w:pStyle w:val="TableBullet"/>
              <w:tabs>
                <w:tab w:val="clear" w:pos="360"/>
                <w:tab w:val="num" w:pos="284"/>
              </w:tabs>
              <w:ind w:left="284" w:hanging="284"/>
              <w:rPr>
                <w:rFonts w:cs="Arial"/>
              </w:rPr>
            </w:pPr>
            <w:r w:rsidRPr="004E6482">
              <w:rPr>
                <w:rFonts w:cs="Arial"/>
              </w:rPr>
              <w:t xml:space="preserve">Identify and articulate key analytic insights relevant to the purpose of the analysis and report. </w:t>
            </w:r>
          </w:p>
          <w:p w14:paraId="167395F9" w14:textId="77777777" w:rsidR="0028342C" w:rsidRPr="004E6482" w:rsidRDefault="0028342C" w:rsidP="004E07DB">
            <w:pPr>
              <w:pStyle w:val="TableBullet"/>
              <w:tabs>
                <w:tab w:val="clear" w:pos="360"/>
                <w:tab w:val="num" w:pos="284"/>
              </w:tabs>
              <w:ind w:left="284" w:hanging="284"/>
              <w:rPr>
                <w:rFonts w:cs="Arial"/>
              </w:rPr>
            </w:pPr>
            <w:r w:rsidRPr="004E6482">
              <w:rPr>
                <w:rFonts w:cs="Arial"/>
              </w:rPr>
              <w:t xml:space="preserve">Raise potential options for improvement to the reports generated to meet client needs. </w:t>
            </w:r>
          </w:p>
          <w:p w14:paraId="6B4D3989" w14:textId="77777777" w:rsidR="0028342C" w:rsidRPr="004E6482" w:rsidRDefault="0028342C" w:rsidP="004E07DB">
            <w:pPr>
              <w:pStyle w:val="TableBullet"/>
              <w:tabs>
                <w:tab w:val="clear" w:pos="360"/>
                <w:tab w:val="num" w:pos="284"/>
              </w:tabs>
              <w:ind w:left="284" w:hanging="284"/>
              <w:rPr>
                <w:rFonts w:cs="Arial"/>
              </w:rPr>
            </w:pPr>
            <w:r w:rsidRPr="004E6482">
              <w:rPr>
                <w:rFonts w:cs="Arial"/>
              </w:rPr>
              <w:t xml:space="preserve">Consider introduction of more complex analysis, in consultation with more senior team members, in order to generate deeper insights. </w:t>
            </w:r>
          </w:p>
        </w:tc>
      </w:tr>
    </w:tbl>
    <w:p w14:paraId="07460B20" w14:textId="77777777" w:rsidR="003927AE" w:rsidRDefault="003927AE" w:rsidP="003927AE">
      <w:pPr>
        <w:pStyle w:val="Heading1"/>
      </w:pPr>
      <w:r>
        <w:t>Complementary capabilities</w:t>
      </w:r>
    </w:p>
    <w:p w14:paraId="25259063"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0E0AE9C" w14:textId="5EEC4DF5" w:rsidR="00336011" w:rsidRDefault="003927AE" w:rsidP="009E00FD">
      <w:pPr>
        <w:pStyle w:val="PlainText"/>
        <w:spacing w:before="62" w:after="120" w:line="276" w:lineRule="auto"/>
        <w:rPr>
          <w:rFonts w:ascii="Arial" w:eastAsiaTheme="minorEastAsia" w:hAnsi="Arial"/>
          <w:szCs w:val="22"/>
          <w:lang w:val="en-US"/>
        </w:rPr>
      </w:pPr>
      <w:r w:rsidRPr="009E00FD">
        <w:rPr>
          <w:rFonts w:ascii="Arial" w:eastAsiaTheme="minorEastAsia" w:hAnsi="Arial"/>
          <w:szCs w:val="22"/>
          <w:lang w:val="en-US"/>
        </w:rPr>
        <w:t>Note: capabilities listed as ‘not essential’ for this role are not relevant for recruitment purposes however may be relevant for future career development.</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B39FDF6"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977396"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02178701"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AD09040"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3A9E79"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DE5CC7"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229A0973"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A693B60" w14:textId="77777777" w:rsidR="002B5704" w:rsidRDefault="002B5704" w:rsidP="006D75C8">
            <w:pPr>
              <w:pStyle w:val="TableText"/>
              <w:keepNext/>
              <w:jc w:val="both"/>
              <w:rPr>
                <w:b/>
              </w:rPr>
            </w:pPr>
            <w:r>
              <w:rPr>
                <w:b/>
              </w:rPr>
              <w:t xml:space="preserve">Level </w:t>
            </w:r>
          </w:p>
        </w:tc>
      </w:tr>
      <w:tr w:rsidR="002B5704" w:rsidRPr="00C978B9" w14:paraId="07773DB4" w14:textId="77777777" w:rsidTr="006D75C8">
        <w:tc>
          <w:tcPr>
            <w:tcW w:w="1406" w:type="dxa"/>
            <w:vMerge w:val="restart"/>
            <w:tcBorders>
              <w:bottom w:val="single" w:sz="4" w:space="0" w:color="BCBEC0"/>
            </w:tcBorders>
          </w:tcPr>
          <w:p w14:paraId="5BA2DC85" w14:textId="77777777" w:rsidR="002B5704" w:rsidRPr="00C978B9" w:rsidRDefault="002B5704" w:rsidP="006D75C8">
            <w:pPr>
              <w:keepNext/>
            </w:pPr>
            <w:r w:rsidRPr="00C978B9">
              <w:rPr>
                <w:noProof/>
                <w:lang w:eastAsia="en-AU"/>
              </w:rPr>
              <w:drawing>
                <wp:inline distT="0" distB="0" distL="0" distR="0" wp14:anchorId="2AA4F4C4" wp14:editId="154ED60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1F2CC23" w14:textId="77777777" w:rsidR="002B5704" w:rsidRPr="00AA57E3" w:rsidRDefault="002B5704" w:rsidP="006D75C8">
            <w:r>
              <w:t>Display Resilience and Courage</w:t>
            </w:r>
          </w:p>
        </w:tc>
        <w:tc>
          <w:tcPr>
            <w:tcW w:w="4770" w:type="dxa"/>
            <w:tcBorders>
              <w:bottom w:val="single" w:sz="4" w:space="0" w:color="BCBEC0"/>
            </w:tcBorders>
          </w:tcPr>
          <w:p w14:paraId="2A8E21D3"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29B45D97" w14:textId="77777777" w:rsidR="002B5704" w:rsidRDefault="002B5704" w:rsidP="006D75C8">
            <w:pPr>
              <w:pStyle w:val="TableBullet"/>
              <w:numPr>
                <w:ilvl w:val="0"/>
                <w:numId w:val="0"/>
              </w:numPr>
              <w:jc w:val="both"/>
            </w:pPr>
            <w:r>
              <w:t>Intermediate</w:t>
            </w:r>
          </w:p>
        </w:tc>
      </w:tr>
      <w:tr w:rsidR="002B5704" w:rsidRPr="00C978B9" w14:paraId="71837047" w14:textId="77777777" w:rsidTr="006D75C8">
        <w:tc>
          <w:tcPr>
            <w:tcW w:w="1406" w:type="dxa"/>
            <w:vMerge/>
            <w:tcBorders>
              <w:bottom w:val="single" w:sz="4" w:space="0" w:color="BCBEC0"/>
            </w:tcBorders>
          </w:tcPr>
          <w:p w14:paraId="0486DFB0" w14:textId="77777777" w:rsidR="002B5704" w:rsidRDefault="002B5704" w:rsidP="006D75C8">
            <w:pPr>
              <w:keepNext/>
              <w:rPr>
                <w:noProof/>
                <w:lang w:eastAsia="en-AU"/>
              </w:rPr>
            </w:pPr>
          </w:p>
        </w:tc>
        <w:tc>
          <w:tcPr>
            <w:tcW w:w="2971" w:type="dxa"/>
            <w:gridSpan w:val="2"/>
            <w:tcBorders>
              <w:bottom w:val="single" w:sz="4" w:space="0" w:color="BCBEC0"/>
            </w:tcBorders>
          </w:tcPr>
          <w:p w14:paraId="45400661" w14:textId="77777777" w:rsidR="002B5704" w:rsidRPr="00A8226F" w:rsidRDefault="002B5704" w:rsidP="006D75C8">
            <w:r>
              <w:t>Manage Self</w:t>
            </w:r>
          </w:p>
        </w:tc>
        <w:tc>
          <w:tcPr>
            <w:tcW w:w="4770" w:type="dxa"/>
            <w:tcBorders>
              <w:bottom w:val="single" w:sz="4" w:space="0" w:color="BCBEC0"/>
            </w:tcBorders>
          </w:tcPr>
          <w:p w14:paraId="44418DDB" w14:textId="77777777" w:rsidR="002B5704" w:rsidRDefault="002B5704" w:rsidP="006D75C8">
            <w:r>
              <w:t>Show drive and motivation, an ability to self-reflect and a commitment to learning</w:t>
            </w:r>
          </w:p>
        </w:tc>
        <w:tc>
          <w:tcPr>
            <w:tcW w:w="1606" w:type="dxa"/>
            <w:tcBorders>
              <w:bottom w:val="single" w:sz="4" w:space="0" w:color="BCBEC0"/>
            </w:tcBorders>
          </w:tcPr>
          <w:p w14:paraId="21EBE380" w14:textId="77777777" w:rsidR="002B5704" w:rsidRDefault="002B5704" w:rsidP="006D75C8">
            <w:pPr>
              <w:pStyle w:val="TableBullet"/>
              <w:numPr>
                <w:ilvl w:val="0"/>
                <w:numId w:val="0"/>
              </w:numPr>
              <w:jc w:val="both"/>
            </w:pPr>
            <w:r>
              <w:t>Adept</w:t>
            </w:r>
          </w:p>
        </w:tc>
      </w:tr>
      <w:tr w:rsidR="002B5704" w:rsidRPr="00C978B9" w14:paraId="7AA97DE2" w14:textId="77777777" w:rsidTr="006D75C8">
        <w:tc>
          <w:tcPr>
            <w:tcW w:w="1406" w:type="dxa"/>
            <w:vMerge/>
            <w:tcBorders>
              <w:bottom w:val="single" w:sz="4" w:space="0" w:color="BCBEC0"/>
            </w:tcBorders>
          </w:tcPr>
          <w:p w14:paraId="2BC951DB" w14:textId="77777777" w:rsidR="002B5704" w:rsidRDefault="002B5704" w:rsidP="006D75C8">
            <w:pPr>
              <w:keepNext/>
              <w:rPr>
                <w:noProof/>
                <w:lang w:eastAsia="en-AU"/>
              </w:rPr>
            </w:pPr>
          </w:p>
        </w:tc>
        <w:tc>
          <w:tcPr>
            <w:tcW w:w="2971" w:type="dxa"/>
            <w:gridSpan w:val="2"/>
            <w:tcBorders>
              <w:bottom w:val="single" w:sz="4" w:space="0" w:color="BCBEC0"/>
            </w:tcBorders>
          </w:tcPr>
          <w:p w14:paraId="6556158C" w14:textId="77777777" w:rsidR="002B5704" w:rsidRPr="00A8226F" w:rsidRDefault="002B5704" w:rsidP="006D75C8">
            <w:r>
              <w:t>Value Diversity and Inclusion</w:t>
            </w:r>
          </w:p>
        </w:tc>
        <w:tc>
          <w:tcPr>
            <w:tcW w:w="4770" w:type="dxa"/>
            <w:tcBorders>
              <w:bottom w:val="single" w:sz="4" w:space="0" w:color="BCBEC0"/>
            </w:tcBorders>
          </w:tcPr>
          <w:p w14:paraId="328597A4" w14:textId="77777777"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14:paraId="4A174B1D" w14:textId="77777777" w:rsidR="002B5704" w:rsidRDefault="002B5704" w:rsidP="006D75C8">
            <w:pPr>
              <w:pStyle w:val="TableBullet"/>
              <w:numPr>
                <w:ilvl w:val="0"/>
                <w:numId w:val="0"/>
              </w:numPr>
              <w:jc w:val="both"/>
            </w:pPr>
            <w:r>
              <w:t>Intermediate</w:t>
            </w:r>
          </w:p>
        </w:tc>
      </w:tr>
      <w:tr w:rsidR="002B5704" w:rsidRPr="00C978B9" w14:paraId="08BE6076" w14:textId="77777777" w:rsidTr="006D75C8">
        <w:tc>
          <w:tcPr>
            <w:tcW w:w="1406" w:type="dxa"/>
            <w:vMerge w:val="restart"/>
            <w:tcBorders>
              <w:bottom w:val="single" w:sz="4" w:space="0" w:color="BCBEC0"/>
            </w:tcBorders>
          </w:tcPr>
          <w:p w14:paraId="534F4BF3" w14:textId="77777777" w:rsidR="002B5704" w:rsidRPr="00C978B9" w:rsidRDefault="002B5704" w:rsidP="006D75C8">
            <w:pPr>
              <w:keepNext/>
            </w:pPr>
            <w:r w:rsidRPr="00C978B9">
              <w:rPr>
                <w:noProof/>
                <w:lang w:eastAsia="en-AU"/>
              </w:rPr>
              <w:drawing>
                <wp:inline distT="0" distB="0" distL="0" distR="0" wp14:anchorId="5B73B1C1" wp14:editId="00771D2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4218511" w14:textId="77777777" w:rsidR="002B5704" w:rsidRPr="00AA57E3" w:rsidRDefault="002B5704" w:rsidP="006D75C8">
            <w:r>
              <w:t>Commit to Customer Service</w:t>
            </w:r>
          </w:p>
        </w:tc>
        <w:tc>
          <w:tcPr>
            <w:tcW w:w="4770" w:type="dxa"/>
            <w:tcBorders>
              <w:bottom w:val="single" w:sz="4" w:space="0" w:color="BCBEC0"/>
            </w:tcBorders>
          </w:tcPr>
          <w:p w14:paraId="34FAA435"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0E7A6697" w14:textId="77777777" w:rsidR="002B5704" w:rsidRDefault="002B5704" w:rsidP="006D75C8">
            <w:pPr>
              <w:pStyle w:val="TableBullet"/>
              <w:numPr>
                <w:ilvl w:val="0"/>
                <w:numId w:val="0"/>
              </w:numPr>
              <w:jc w:val="both"/>
            </w:pPr>
            <w:r>
              <w:t>Intermediate</w:t>
            </w:r>
          </w:p>
        </w:tc>
      </w:tr>
      <w:tr w:rsidR="002B5704" w:rsidRPr="00C978B9" w14:paraId="1E9CE130" w14:textId="77777777" w:rsidTr="006D75C8">
        <w:tc>
          <w:tcPr>
            <w:tcW w:w="1406" w:type="dxa"/>
            <w:vMerge/>
            <w:tcBorders>
              <w:bottom w:val="single" w:sz="4" w:space="0" w:color="BCBEC0"/>
            </w:tcBorders>
          </w:tcPr>
          <w:p w14:paraId="0A874BCA" w14:textId="77777777" w:rsidR="002B5704" w:rsidRDefault="002B5704" w:rsidP="006D75C8">
            <w:pPr>
              <w:keepNext/>
              <w:rPr>
                <w:noProof/>
                <w:lang w:eastAsia="en-AU"/>
              </w:rPr>
            </w:pPr>
          </w:p>
        </w:tc>
        <w:tc>
          <w:tcPr>
            <w:tcW w:w="2971" w:type="dxa"/>
            <w:gridSpan w:val="2"/>
            <w:tcBorders>
              <w:bottom w:val="single" w:sz="4" w:space="0" w:color="BCBEC0"/>
            </w:tcBorders>
          </w:tcPr>
          <w:p w14:paraId="03732B59" w14:textId="77777777" w:rsidR="002B5704" w:rsidRPr="00A8226F" w:rsidRDefault="002B5704" w:rsidP="006D75C8">
            <w:r>
              <w:t>Work Collaboratively</w:t>
            </w:r>
          </w:p>
        </w:tc>
        <w:tc>
          <w:tcPr>
            <w:tcW w:w="4770" w:type="dxa"/>
            <w:tcBorders>
              <w:bottom w:val="single" w:sz="4" w:space="0" w:color="BCBEC0"/>
            </w:tcBorders>
          </w:tcPr>
          <w:p w14:paraId="7452BA30" w14:textId="77777777" w:rsidR="002B5704" w:rsidRDefault="002B5704" w:rsidP="006D75C8">
            <w:r>
              <w:t>Collaborate with others and value their contribution</w:t>
            </w:r>
          </w:p>
        </w:tc>
        <w:tc>
          <w:tcPr>
            <w:tcW w:w="1606" w:type="dxa"/>
            <w:tcBorders>
              <w:bottom w:val="single" w:sz="4" w:space="0" w:color="BCBEC0"/>
            </w:tcBorders>
          </w:tcPr>
          <w:p w14:paraId="24BDC0DF" w14:textId="77777777" w:rsidR="002B5704" w:rsidRDefault="002B5704" w:rsidP="006D75C8">
            <w:pPr>
              <w:pStyle w:val="TableBullet"/>
              <w:numPr>
                <w:ilvl w:val="0"/>
                <w:numId w:val="0"/>
              </w:numPr>
              <w:jc w:val="both"/>
            </w:pPr>
            <w:r>
              <w:t>Intermediate</w:t>
            </w:r>
          </w:p>
        </w:tc>
      </w:tr>
      <w:tr w:rsidR="002B5704" w:rsidRPr="00C978B9" w14:paraId="0C51235D" w14:textId="77777777" w:rsidTr="006D75C8">
        <w:tc>
          <w:tcPr>
            <w:tcW w:w="1406" w:type="dxa"/>
            <w:vMerge/>
            <w:tcBorders>
              <w:bottom w:val="single" w:sz="4" w:space="0" w:color="BCBEC0"/>
            </w:tcBorders>
          </w:tcPr>
          <w:p w14:paraId="0377AE6E" w14:textId="77777777" w:rsidR="002B5704" w:rsidRDefault="002B5704" w:rsidP="006D75C8">
            <w:pPr>
              <w:keepNext/>
              <w:rPr>
                <w:noProof/>
                <w:lang w:eastAsia="en-AU"/>
              </w:rPr>
            </w:pPr>
          </w:p>
        </w:tc>
        <w:tc>
          <w:tcPr>
            <w:tcW w:w="2971" w:type="dxa"/>
            <w:gridSpan w:val="2"/>
            <w:tcBorders>
              <w:bottom w:val="single" w:sz="4" w:space="0" w:color="BCBEC0"/>
            </w:tcBorders>
          </w:tcPr>
          <w:p w14:paraId="216B6A16" w14:textId="77777777" w:rsidR="002B5704" w:rsidRPr="00A8226F" w:rsidRDefault="002B5704" w:rsidP="006D75C8">
            <w:r>
              <w:t>Influence and Negotiate</w:t>
            </w:r>
          </w:p>
        </w:tc>
        <w:tc>
          <w:tcPr>
            <w:tcW w:w="4770" w:type="dxa"/>
            <w:tcBorders>
              <w:bottom w:val="single" w:sz="4" w:space="0" w:color="BCBEC0"/>
            </w:tcBorders>
          </w:tcPr>
          <w:p w14:paraId="30D18358" w14:textId="77777777" w:rsidR="002B5704" w:rsidRDefault="002B5704" w:rsidP="006D75C8">
            <w:r>
              <w:t>Gain consensus and commitment from others, and resolve issues and conflicts</w:t>
            </w:r>
          </w:p>
        </w:tc>
        <w:tc>
          <w:tcPr>
            <w:tcW w:w="1606" w:type="dxa"/>
            <w:tcBorders>
              <w:bottom w:val="single" w:sz="4" w:space="0" w:color="BCBEC0"/>
            </w:tcBorders>
          </w:tcPr>
          <w:p w14:paraId="70A88708" w14:textId="77777777" w:rsidR="002B5704" w:rsidRDefault="002B5704" w:rsidP="006D75C8">
            <w:pPr>
              <w:pStyle w:val="TableBullet"/>
              <w:numPr>
                <w:ilvl w:val="0"/>
                <w:numId w:val="0"/>
              </w:numPr>
              <w:jc w:val="both"/>
            </w:pPr>
            <w:r>
              <w:t>Intermediate</w:t>
            </w:r>
          </w:p>
        </w:tc>
      </w:tr>
      <w:tr w:rsidR="002B5704" w:rsidRPr="00C978B9" w14:paraId="57DD6610" w14:textId="77777777" w:rsidTr="006D75C8">
        <w:tc>
          <w:tcPr>
            <w:tcW w:w="1406" w:type="dxa"/>
            <w:vMerge w:val="restart"/>
            <w:tcBorders>
              <w:bottom w:val="single" w:sz="4" w:space="0" w:color="BCBEC0"/>
            </w:tcBorders>
          </w:tcPr>
          <w:p w14:paraId="1FC6582A" w14:textId="77777777" w:rsidR="002B5704" w:rsidRPr="00C978B9" w:rsidRDefault="002B5704" w:rsidP="006D75C8">
            <w:pPr>
              <w:keepNext/>
            </w:pPr>
            <w:r w:rsidRPr="00C978B9">
              <w:rPr>
                <w:noProof/>
                <w:lang w:eastAsia="en-AU"/>
              </w:rPr>
              <w:drawing>
                <wp:inline distT="0" distB="0" distL="0" distR="0" wp14:anchorId="74A5DAB9" wp14:editId="19C4D39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73111A3" w14:textId="77777777" w:rsidR="002B5704" w:rsidRPr="00AA57E3" w:rsidRDefault="002B5704" w:rsidP="006D75C8">
            <w:r>
              <w:t>Deliver Results</w:t>
            </w:r>
          </w:p>
        </w:tc>
        <w:tc>
          <w:tcPr>
            <w:tcW w:w="4770" w:type="dxa"/>
            <w:tcBorders>
              <w:bottom w:val="single" w:sz="4" w:space="0" w:color="BCBEC0"/>
            </w:tcBorders>
          </w:tcPr>
          <w:p w14:paraId="507E4D8A"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1871913C" w14:textId="77777777" w:rsidR="002B5704" w:rsidRDefault="002B5704" w:rsidP="006D75C8">
            <w:pPr>
              <w:pStyle w:val="TableBullet"/>
              <w:numPr>
                <w:ilvl w:val="0"/>
                <w:numId w:val="0"/>
              </w:numPr>
              <w:jc w:val="both"/>
            </w:pPr>
            <w:r>
              <w:t>Intermediate</w:t>
            </w:r>
          </w:p>
        </w:tc>
      </w:tr>
      <w:tr w:rsidR="002B5704" w:rsidRPr="00C978B9" w14:paraId="09A6D215" w14:textId="77777777" w:rsidTr="006D75C8">
        <w:tc>
          <w:tcPr>
            <w:tcW w:w="1406" w:type="dxa"/>
            <w:vMerge/>
            <w:tcBorders>
              <w:bottom w:val="single" w:sz="4" w:space="0" w:color="BCBEC0"/>
            </w:tcBorders>
          </w:tcPr>
          <w:p w14:paraId="63A167A6" w14:textId="77777777" w:rsidR="002B5704" w:rsidRDefault="002B5704" w:rsidP="006D75C8">
            <w:pPr>
              <w:keepNext/>
              <w:rPr>
                <w:noProof/>
                <w:lang w:eastAsia="en-AU"/>
              </w:rPr>
            </w:pPr>
          </w:p>
        </w:tc>
        <w:tc>
          <w:tcPr>
            <w:tcW w:w="2971" w:type="dxa"/>
            <w:gridSpan w:val="2"/>
            <w:tcBorders>
              <w:bottom w:val="single" w:sz="4" w:space="0" w:color="BCBEC0"/>
            </w:tcBorders>
          </w:tcPr>
          <w:p w14:paraId="42124477" w14:textId="77777777" w:rsidR="002B5704" w:rsidRPr="00A8226F" w:rsidRDefault="002B5704" w:rsidP="006D75C8">
            <w:r>
              <w:t>Plan and Prioritise</w:t>
            </w:r>
          </w:p>
        </w:tc>
        <w:tc>
          <w:tcPr>
            <w:tcW w:w="4770" w:type="dxa"/>
            <w:tcBorders>
              <w:bottom w:val="single" w:sz="4" w:space="0" w:color="BCBEC0"/>
            </w:tcBorders>
          </w:tcPr>
          <w:p w14:paraId="51D9580E" w14:textId="77777777" w:rsidR="002B5704" w:rsidRDefault="002B5704" w:rsidP="006D75C8">
            <w:r>
              <w:t>Plan to achieve priority outcomes and respond flexibly to changing circumstances</w:t>
            </w:r>
          </w:p>
        </w:tc>
        <w:tc>
          <w:tcPr>
            <w:tcW w:w="1606" w:type="dxa"/>
            <w:tcBorders>
              <w:bottom w:val="single" w:sz="4" w:space="0" w:color="BCBEC0"/>
            </w:tcBorders>
          </w:tcPr>
          <w:p w14:paraId="1A13EE39" w14:textId="77777777" w:rsidR="002B5704" w:rsidRDefault="002B5704" w:rsidP="006D75C8">
            <w:pPr>
              <w:pStyle w:val="TableBullet"/>
              <w:numPr>
                <w:ilvl w:val="0"/>
                <w:numId w:val="0"/>
              </w:numPr>
              <w:jc w:val="both"/>
            </w:pPr>
            <w:r>
              <w:t>Foundational</w:t>
            </w:r>
          </w:p>
        </w:tc>
      </w:tr>
      <w:tr w:rsidR="002B5704" w:rsidRPr="00C978B9" w14:paraId="7757902F" w14:textId="77777777" w:rsidTr="006D75C8">
        <w:tc>
          <w:tcPr>
            <w:tcW w:w="1406" w:type="dxa"/>
            <w:vMerge/>
            <w:tcBorders>
              <w:bottom w:val="single" w:sz="4" w:space="0" w:color="BCBEC0"/>
            </w:tcBorders>
          </w:tcPr>
          <w:p w14:paraId="5FD62D25" w14:textId="77777777" w:rsidR="002B5704" w:rsidRDefault="002B5704" w:rsidP="006D75C8">
            <w:pPr>
              <w:keepNext/>
              <w:rPr>
                <w:noProof/>
                <w:lang w:eastAsia="en-AU"/>
              </w:rPr>
            </w:pPr>
          </w:p>
        </w:tc>
        <w:tc>
          <w:tcPr>
            <w:tcW w:w="2971" w:type="dxa"/>
            <w:gridSpan w:val="2"/>
            <w:tcBorders>
              <w:bottom w:val="single" w:sz="4" w:space="0" w:color="BCBEC0"/>
            </w:tcBorders>
          </w:tcPr>
          <w:p w14:paraId="368EC327" w14:textId="77777777" w:rsidR="002B5704" w:rsidRPr="00A8226F" w:rsidRDefault="002B5704" w:rsidP="006D75C8">
            <w:r>
              <w:t>Demonstrate Accountability</w:t>
            </w:r>
          </w:p>
        </w:tc>
        <w:tc>
          <w:tcPr>
            <w:tcW w:w="4770" w:type="dxa"/>
            <w:tcBorders>
              <w:bottom w:val="single" w:sz="4" w:space="0" w:color="BCBEC0"/>
            </w:tcBorders>
          </w:tcPr>
          <w:p w14:paraId="1DE1796D"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6DFBFE4C" w14:textId="77777777" w:rsidR="002B5704" w:rsidRDefault="002B5704" w:rsidP="006D75C8">
            <w:pPr>
              <w:pStyle w:val="TableBullet"/>
              <w:numPr>
                <w:ilvl w:val="0"/>
                <w:numId w:val="0"/>
              </w:numPr>
              <w:jc w:val="both"/>
            </w:pPr>
            <w:r>
              <w:t>Intermediate</w:t>
            </w:r>
          </w:p>
        </w:tc>
      </w:tr>
      <w:tr w:rsidR="002B5704" w:rsidRPr="00C978B9" w14:paraId="352F1A07" w14:textId="77777777" w:rsidTr="006D75C8">
        <w:tc>
          <w:tcPr>
            <w:tcW w:w="1406" w:type="dxa"/>
            <w:vMerge w:val="restart"/>
            <w:tcBorders>
              <w:bottom w:val="single" w:sz="4" w:space="0" w:color="BCBEC0"/>
            </w:tcBorders>
          </w:tcPr>
          <w:p w14:paraId="75434E89" w14:textId="77777777" w:rsidR="002B5704" w:rsidRPr="00C978B9" w:rsidRDefault="002B5704" w:rsidP="006D75C8">
            <w:pPr>
              <w:keepNext/>
            </w:pPr>
            <w:r w:rsidRPr="00C978B9">
              <w:rPr>
                <w:noProof/>
                <w:lang w:eastAsia="en-AU"/>
              </w:rPr>
              <w:drawing>
                <wp:inline distT="0" distB="0" distL="0" distR="0" wp14:anchorId="7D1995A1" wp14:editId="598E484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228DA87" w14:textId="77777777" w:rsidR="002B5704" w:rsidRPr="00AA57E3" w:rsidRDefault="002B5704" w:rsidP="006D75C8">
            <w:r>
              <w:t>Finance</w:t>
            </w:r>
          </w:p>
        </w:tc>
        <w:tc>
          <w:tcPr>
            <w:tcW w:w="4770" w:type="dxa"/>
            <w:tcBorders>
              <w:bottom w:val="single" w:sz="4" w:space="0" w:color="BCBEC0"/>
            </w:tcBorders>
          </w:tcPr>
          <w:p w14:paraId="64543127"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0CEE8348" w14:textId="77777777" w:rsidR="002B5704" w:rsidRDefault="002B5704" w:rsidP="006D75C8">
            <w:pPr>
              <w:pStyle w:val="TableBullet"/>
              <w:numPr>
                <w:ilvl w:val="0"/>
                <w:numId w:val="0"/>
              </w:numPr>
              <w:jc w:val="both"/>
            </w:pPr>
            <w:r>
              <w:t>Foundational</w:t>
            </w:r>
          </w:p>
        </w:tc>
      </w:tr>
      <w:tr w:rsidR="002B5704" w:rsidRPr="00C978B9" w14:paraId="20412202" w14:textId="77777777" w:rsidTr="006D75C8">
        <w:tc>
          <w:tcPr>
            <w:tcW w:w="1406" w:type="dxa"/>
            <w:vMerge/>
            <w:tcBorders>
              <w:bottom w:val="single" w:sz="4" w:space="0" w:color="BCBEC0"/>
            </w:tcBorders>
          </w:tcPr>
          <w:p w14:paraId="6B065336" w14:textId="77777777" w:rsidR="002B5704" w:rsidRDefault="002B5704" w:rsidP="006D75C8">
            <w:pPr>
              <w:keepNext/>
              <w:rPr>
                <w:noProof/>
                <w:lang w:eastAsia="en-AU"/>
              </w:rPr>
            </w:pPr>
          </w:p>
        </w:tc>
        <w:tc>
          <w:tcPr>
            <w:tcW w:w="2971" w:type="dxa"/>
            <w:gridSpan w:val="2"/>
            <w:tcBorders>
              <w:bottom w:val="single" w:sz="4" w:space="0" w:color="BCBEC0"/>
            </w:tcBorders>
          </w:tcPr>
          <w:p w14:paraId="6CB32232" w14:textId="77777777" w:rsidR="002B5704" w:rsidRPr="00A8226F" w:rsidRDefault="002B5704" w:rsidP="006D75C8">
            <w:r>
              <w:t>Procurement and Contract Management</w:t>
            </w:r>
          </w:p>
        </w:tc>
        <w:tc>
          <w:tcPr>
            <w:tcW w:w="4770" w:type="dxa"/>
            <w:tcBorders>
              <w:bottom w:val="single" w:sz="4" w:space="0" w:color="BCBEC0"/>
            </w:tcBorders>
          </w:tcPr>
          <w:p w14:paraId="2F33C171"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6F90C777" w14:textId="77777777" w:rsidR="002B5704" w:rsidRDefault="002B5704" w:rsidP="006D75C8">
            <w:pPr>
              <w:pStyle w:val="TableBullet"/>
              <w:numPr>
                <w:ilvl w:val="0"/>
                <w:numId w:val="0"/>
              </w:numPr>
              <w:jc w:val="both"/>
            </w:pPr>
            <w:r>
              <w:t>Foundational</w:t>
            </w:r>
          </w:p>
        </w:tc>
      </w:tr>
      <w:tr w:rsidR="002B5704" w:rsidRPr="00C978B9" w14:paraId="14DAD096" w14:textId="77777777" w:rsidTr="006D75C8">
        <w:tc>
          <w:tcPr>
            <w:tcW w:w="1406" w:type="dxa"/>
            <w:vMerge/>
            <w:tcBorders>
              <w:bottom w:val="single" w:sz="4" w:space="0" w:color="BCBEC0"/>
            </w:tcBorders>
          </w:tcPr>
          <w:p w14:paraId="7DC27147" w14:textId="77777777" w:rsidR="002B5704" w:rsidRDefault="002B5704" w:rsidP="006D75C8">
            <w:pPr>
              <w:keepNext/>
              <w:rPr>
                <w:noProof/>
                <w:lang w:eastAsia="en-AU"/>
              </w:rPr>
            </w:pPr>
          </w:p>
        </w:tc>
        <w:tc>
          <w:tcPr>
            <w:tcW w:w="2971" w:type="dxa"/>
            <w:gridSpan w:val="2"/>
            <w:tcBorders>
              <w:bottom w:val="single" w:sz="4" w:space="0" w:color="BCBEC0"/>
            </w:tcBorders>
          </w:tcPr>
          <w:p w14:paraId="2780A6BB" w14:textId="77777777" w:rsidR="002B5704" w:rsidRPr="00A8226F" w:rsidRDefault="002B5704" w:rsidP="006D75C8">
            <w:r>
              <w:t>Project Management</w:t>
            </w:r>
          </w:p>
        </w:tc>
        <w:tc>
          <w:tcPr>
            <w:tcW w:w="4770" w:type="dxa"/>
            <w:tcBorders>
              <w:bottom w:val="single" w:sz="4" w:space="0" w:color="BCBEC0"/>
            </w:tcBorders>
          </w:tcPr>
          <w:p w14:paraId="0D892A2E" w14:textId="77777777" w:rsidR="002B5704" w:rsidRDefault="002B5704" w:rsidP="006D75C8">
            <w:r>
              <w:t>Understand and apply effective planning, coordination and control methods</w:t>
            </w:r>
          </w:p>
        </w:tc>
        <w:tc>
          <w:tcPr>
            <w:tcW w:w="1606" w:type="dxa"/>
            <w:tcBorders>
              <w:bottom w:val="single" w:sz="4" w:space="0" w:color="BCBEC0"/>
            </w:tcBorders>
          </w:tcPr>
          <w:p w14:paraId="6223DCCF" w14:textId="77777777" w:rsidR="002B5704" w:rsidRDefault="002B5704" w:rsidP="006D75C8">
            <w:pPr>
              <w:pStyle w:val="TableBullet"/>
              <w:numPr>
                <w:ilvl w:val="0"/>
                <w:numId w:val="0"/>
              </w:numPr>
              <w:jc w:val="both"/>
            </w:pPr>
            <w:r>
              <w:t>Intermediate</w:t>
            </w:r>
          </w:p>
        </w:tc>
      </w:tr>
    </w:tbl>
    <w:p w14:paraId="5D71385C" w14:textId="77777777" w:rsidR="009E00FD" w:rsidRDefault="009E00FD" w:rsidP="009E00FD">
      <w:pPr>
        <w:spacing w:after="0" w:line="240" w:lineRule="auto"/>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0753"/>
      </w:tblGrid>
      <w:tr w:rsidR="007103D5" w:rsidRPr="00803E47" w14:paraId="6DBCCE12" w14:textId="77777777" w:rsidTr="009E00FD">
        <w:trPr>
          <w:cnfStyle w:val="100000000000" w:firstRow="1" w:lastRow="0" w:firstColumn="0" w:lastColumn="0" w:oddVBand="0" w:evenVBand="0" w:oddHBand="0" w:evenHBand="0" w:firstRowFirstColumn="0" w:firstRowLastColumn="0" w:lastRowFirstColumn="0" w:lastRowLastColumn="0"/>
          <w:cantSplit/>
          <w:tblHeader/>
        </w:trPr>
        <w:tc>
          <w:tcPr>
            <w:tcW w:w="10753" w:type="dxa"/>
            <w:tcBorders>
              <w:bottom w:val="nil"/>
            </w:tcBorders>
          </w:tcPr>
          <w:p w14:paraId="739D1F0B" w14:textId="77777777" w:rsidR="007103D5" w:rsidRPr="00803E47" w:rsidRDefault="007103D5" w:rsidP="00127ED9">
            <w:pPr>
              <w:pStyle w:val="TableTextWhite0"/>
              <w:keepNext/>
              <w:jc w:val="both"/>
            </w:pPr>
            <w:r>
              <w:rPr>
                <w:sz w:val="24"/>
                <w:szCs w:val="24"/>
              </w:rPr>
              <w:t xml:space="preserve">Occupation specific capability set - </w:t>
            </w:r>
            <w:r w:rsidRPr="00494542">
              <w:rPr>
                <w:rFonts w:cs="Arial"/>
              </w:rPr>
              <w:t>PSC Analytics Capability Framework – Analyst</w:t>
            </w:r>
          </w:p>
        </w:tc>
      </w:tr>
    </w:tbl>
    <w:tbl>
      <w:tblPr>
        <w:tblStyle w:val="PSCPurple"/>
        <w:tblW w:w="0" w:type="auto"/>
        <w:tblLook w:val="04A0" w:firstRow="1" w:lastRow="0" w:firstColumn="1" w:lastColumn="0" w:noHBand="0" w:noVBand="1"/>
        <w:tblCaption w:val="PSC_ComplementaryCapabilityFrameworkTable"/>
      </w:tblPr>
      <w:tblGrid>
        <w:gridCol w:w="2977"/>
        <w:gridCol w:w="7791"/>
      </w:tblGrid>
      <w:tr w:rsidR="007103D5" w:rsidRPr="00494542" w14:paraId="46798E0D" w14:textId="77777777" w:rsidTr="009E00FD">
        <w:trPr>
          <w:cnfStyle w:val="100000000000" w:firstRow="1" w:lastRow="0" w:firstColumn="0" w:lastColumn="0" w:oddVBand="0" w:evenVBand="0" w:oddHBand="0" w:evenHBand="0" w:firstRowFirstColumn="0" w:firstRowLastColumn="0" w:lastRowFirstColumn="0" w:lastRowLastColumn="0"/>
          <w:cantSplit/>
        </w:trPr>
        <w:tc>
          <w:tcPr>
            <w:tcW w:w="2977" w:type="dxa"/>
            <w:vMerge w:val="restart"/>
            <w:tcBorders>
              <w:top w:val="nil"/>
              <w:right w:val="single" w:sz="8" w:space="0" w:color="BCBEC0"/>
            </w:tcBorders>
            <w:shd w:val="clear" w:color="auto" w:fill="auto"/>
            <w:vAlign w:val="center"/>
          </w:tcPr>
          <w:p w14:paraId="7BF317FC" w14:textId="01655624" w:rsidR="007103D5" w:rsidRPr="009E00FD" w:rsidRDefault="007103D5" w:rsidP="009E00FD">
            <w:r w:rsidRPr="009E00FD">
              <w:t>Analytic Approach</w:t>
            </w:r>
          </w:p>
        </w:tc>
        <w:tc>
          <w:tcPr>
            <w:tcW w:w="7791" w:type="dxa"/>
            <w:tcBorders>
              <w:top w:val="nil"/>
              <w:left w:val="single" w:sz="8" w:space="0" w:color="BCBEC0"/>
              <w:bottom w:val="single" w:sz="8" w:space="0" w:color="BCBEC0"/>
            </w:tcBorders>
            <w:shd w:val="clear" w:color="auto" w:fill="auto"/>
          </w:tcPr>
          <w:p w14:paraId="764815CF" w14:textId="7E28BF06" w:rsidR="007103D5" w:rsidRPr="009E00FD" w:rsidRDefault="007103D5" w:rsidP="009E00FD">
            <w:r w:rsidRPr="009E00FD">
              <w:t>Technical Problem Solving</w:t>
            </w:r>
          </w:p>
        </w:tc>
      </w:tr>
      <w:tr w:rsidR="007103D5" w:rsidRPr="00494542" w14:paraId="605FCF45" w14:textId="77777777" w:rsidTr="009E00FD">
        <w:trPr>
          <w:cantSplit/>
        </w:trPr>
        <w:tc>
          <w:tcPr>
            <w:tcW w:w="2977" w:type="dxa"/>
            <w:vMerge/>
            <w:tcBorders>
              <w:left w:val="nil"/>
              <w:right w:val="single" w:sz="8" w:space="0" w:color="BCBEC0"/>
            </w:tcBorders>
            <w:shd w:val="clear" w:color="auto" w:fill="auto"/>
            <w:vAlign w:val="center"/>
          </w:tcPr>
          <w:p w14:paraId="404B5945" w14:textId="77777777" w:rsidR="007103D5" w:rsidRPr="009E00FD" w:rsidRDefault="007103D5" w:rsidP="009E00FD"/>
        </w:tc>
        <w:tc>
          <w:tcPr>
            <w:tcW w:w="7791" w:type="dxa"/>
            <w:tcBorders>
              <w:top w:val="single" w:sz="8" w:space="0" w:color="BCBEC0"/>
              <w:left w:val="single" w:sz="8" w:space="0" w:color="BCBEC0"/>
              <w:bottom w:val="single" w:sz="8" w:space="0" w:color="BCBEC0"/>
              <w:right w:val="nil"/>
            </w:tcBorders>
          </w:tcPr>
          <w:p w14:paraId="681DF57E" w14:textId="7E1C0D8C" w:rsidR="007103D5" w:rsidRPr="009E00FD" w:rsidRDefault="007103D5" w:rsidP="009E00FD">
            <w:r w:rsidRPr="009E00FD">
              <w:t>Application of Context</w:t>
            </w:r>
          </w:p>
        </w:tc>
      </w:tr>
      <w:tr w:rsidR="007103D5" w:rsidRPr="00494542" w14:paraId="5FF1F0C0" w14:textId="77777777" w:rsidTr="009E00FD">
        <w:trPr>
          <w:cantSplit/>
        </w:trPr>
        <w:tc>
          <w:tcPr>
            <w:tcW w:w="2977" w:type="dxa"/>
            <w:vMerge/>
            <w:tcBorders>
              <w:left w:val="nil"/>
              <w:right w:val="single" w:sz="8" w:space="0" w:color="BCBEC0"/>
            </w:tcBorders>
            <w:shd w:val="clear" w:color="auto" w:fill="auto"/>
            <w:vAlign w:val="center"/>
          </w:tcPr>
          <w:p w14:paraId="569F6481" w14:textId="77777777" w:rsidR="007103D5" w:rsidRPr="009E00FD" w:rsidRDefault="007103D5" w:rsidP="009E00FD"/>
        </w:tc>
        <w:tc>
          <w:tcPr>
            <w:tcW w:w="7791" w:type="dxa"/>
            <w:tcBorders>
              <w:top w:val="single" w:sz="8" w:space="0" w:color="BCBEC0"/>
              <w:left w:val="single" w:sz="8" w:space="0" w:color="BCBEC0"/>
              <w:bottom w:val="single" w:sz="8" w:space="0" w:color="BCBEC0"/>
              <w:right w:val="nil"/>
            </w:tcBorders>
          </w:tcPr>
          <w:p w14:paraId="0A079529" w14:textId="5FD09D8A" w:rsidR="007103D5" w:rsidRPr="009E00FD" w:rsidRDefault="007103D5" w:rsidP="009E00FD">
            <w:r w:rsidRPr="009E00FD">
              <w:t>Client Engagement</w:t>
            </w:r>
          </w:p>
        </w:tc>
      </w:tr>
      <w:tr w:rsidR="00730601" w:rsidRPr="00494542" w14:paraId="19555ED3" w14:textId="77777777" w:rsidTr="009E00FD">
        <w:trPr>
          <w:cantSplit/>
          <w:trHeight w:val="740"/>
        </w:trPr>
        <w:tc>
          <w:tcPr>
            <w:tcW w:w="2977" w:type="dxa"/>
            <w:tcBorders>
              <w:top w:val="single" w:sz="8" w:space="0" w:color="BCBEC0"/>
              <w:left w:val="nil"/>
              <w:bottom w:val="single" w:sz="8" w:space="0" w:color="BCBEC0"/>
              <w:right w:val="single" w:sz="8" w:space="0" w:color="BCBEC0"/>
            </w:tcBorders>
            <w:vAlign w:val="center"/>
          </w:tcPr>
          <w:p w14:paraId="5FADF20E" w14:textId="7457C47F" w:rsidR="00730601" w:rsidRPr="009E00FD" w:rsidRDefault="00730601" w:rsidP="009E00FD">
            <w:r w:rsidRPr="009E00FD">
              <w:t>Information Management</w:t>
            </w:r>
          </w:p>
        </w:tc>
        <w:tc>
          <w:tcPr>
            <w:tcW w:w="7791" w:type="dxa"/>
            <w:tcBorders>
              <w:top w:val="single" w:sz="8" w:space="0" w:color="BCBEC0"/>
              <w:left w:val="single" w:sz="8" w:space="0" w:color="BCBEC0"/>
              <w:bottom w:val="single" w:sz="8" w:space="0" w:color="BCBEC0"/>
              <w:right w:val="nil"/>
            </w:tcBorders>
          </w:tcPr>
          <w:p w14:paraId="42BE4B23" w14:textId="15634800" w:rsidR="00730601" w:rsidRPr="009E00FD" w:rsidRDefault="00730601" w:rsidP="009E00FD">
            <w:r w:rsidRPr="009E00FD">
              <w:t>Data Management Strategy</w:t>
            </w:r>
          </w:p>
        </w:tc>
      </w:tr>
      <w:tr w:rsidR="007103D5" w:rsidRPr="00494542" w14:paraId="10EA2C47" w14:textId="77777777" w:rsidTr="009E00FD">
        <w:trPr>
          <w:trHeight w:val="492"/>
        </w:trPr>
        <w:tc>
          <w:tcPr>
            <w:tcW w:w="2977" w:type="dxa"/>
            <w:tcBorders>
              <w:top w:val="single" w:sz="8" w:space="0" w:color="BCBEC0"/>
              <w:left w:val="nil"/>
              <w:bottom w:val="single" w:sz="8" w:space="0" w:color="BCBEC0"/>
              <w:right w:val="single" w:sz="8" w:space="0" w:color="BCBEC0"/>
            </w:tcBorders>
            <w:vAlign w:val="center"/>
          </w:tcPr>
          <w:p w14:paraId="6FD2C553" w14:textId="31DF860F" w:rsidR="007103D5" w:rsidRPr="009E00FD" w:rsidRDefault="007103D5" w:rsidP="009E00FD">
            <w:r w:rsidRPr="009E00FD">
              <w:t>Workforce Reporting</w:t>
            </w:r>
          </w:p>
        </w:tc>
        <w:tc>
          <w:tcPr>
            <w:tcW w:w="7791" w:type="dxa"/>
            <w:tcBorders>
              <w:top w:val="single" w:sz="8" w:space="0" w:color="BCBEC0"/>
              <w:left w:val="single" w:sz="8" w:space="0" w:color="BCBEC0"/>
              <w:bottom w:val="single" w:sz="8" w:space="0" w:color="BCBEC0"/>
              <w:right w:val="nil"/>
            </w:tcBorders>
          </w:tcPr>
          <w:p w14:paraId="19313C7C" w14:textId="520556CB" w:rsidR="007103D5" w:rsidRPr="009E00FD" w:rsidRDefault="007103D5" w:rsidP="009E00FD">
            <w:r w:rsidRPr="009E00FD">
              <w:t>Visualisation and Communication</w:t>
            </w:r>
          </w:p>
        </w:tc>
      </w:tr>
      <w:tr w:rsidR="00730601" w:rsidRPr="00494542" w14:paraId="3A0FECF7" w14:textId="77777777" w:rsidTr="009E00FD">
        <w:tc>
          <w:tcPr>
            <w:tcW w:w="2977" w:type="dxa"/>
            <w:vMerge w:val="restart"/>
            <w:tcBorders>
              <w:top w:val="single" w:sz="8" w:space="0" w:color="BCBEC0"/>
              <w:left w:val="nil"/>
              <w:bottom w:val="single" w:sz="4" w:space="0" w:color="auto"/>
              <w:right w:val="single" w:sz="8" w:space="0" w:color="BCBEC0"/>
            </w:tcBorders>
            <w:vAlign w:val="center"/>
          </w:tcPr>
          <w:p w14:paraId="2B2FAEF9" w14:textId="31005208" w:rsidR="00730601" w:rsidRPr="009E00FD" w:rsidRDefault="00730601" w:rsidP="009E00FD">
            <w:r w:rsidRPr="009E00FD">
              <w:t>Advanced Workforce Analytics</w:t>
            </w:r>
          </w:p>
        </w:tc>
        <w:tc>
          <w:tcPr>
            <w:tcW w:w="7791" w:type="dxa"/>
            <w:tcBorders>
              <w:top w:val="single" w:sz="8" w:space="0" w:color="BCBEC0"/>
              <w:left w:val="single" w:sz="8" w:space="0" w:color="BCBEC0"/>
              <w:bottom w:val="single" w:sz="8" w:space="0" w:color="BCBEC0"/>
              <w:right w:val="nil"/>
            </w:tcBorders>
          </w:tcPr>
          <w:p w14:paraId="5BCF4827" w14:textId="439E0B2A" w:rsidR="00730601" w:rsidRPr="009E00FD" w:rsidRDefault="00730601" w:rsidP="009E00FD">
            <w:r w:rsidRPr="009E00FD">
              <w:t>Understanding and Planning</w:t>
            </w:r>
          </w:p>
        </w:tc>
      </w:tr>
      <w:tr w:rsidR="00730601" w:rsidRPr="00494542" w14:paraId="0D86B0CD" w14:textId="77777777" w:rsidTr="009E00FD">
        <w:tc>
          <w:tcPr>
            <w:tcW w:w="2977" w:type="dxa"/>
            <w:vMerge/>
            <w:tcBorders>
              <w:top w:val="single" w:sz="8" w:space="0" w:color="BCBEC0"/>
              <w:left w:val="nil"/>
              <w:bottom w:val="single" w:sz="4" w:space="0" w:color="auto"/>
              <w:right w:val="single" w:sz="8" w:space="0" w:color="BCBEC0"/>
            </w:tcBorders>
          </w:tcPr>
          <w:p w14:paraId="66559A22" w14:textId="77777777" w:rsidR="00730601" w:rsidRPr="00494542" w:rsidRDefault="00730601" w:rsidP="00730601">
            <w:pPr>
              <w:pStyle w:val="TableText"/>
              <w:keepNext/>
              <w:spacing w:before="120"/>
              <w:rPr>
                <w:rFonts w:cs="Arial"/>
                <w:b/>
              </w:rPr>
            </w:pPr>
          </w:p>
        </w:tc>
        <w:tc>
          <w:tcPr>
            <w:tcW w:w="7791" w:type="dxa"/>
            <w:tcBorders>
              <w:top w:val="single" w:sz="8" w:space="0" w:color="BCBEC0"/>
              <w:left w:val="single" w:sz="8" w:space="0" w:color="BCBEC0"/>
              <w:bottom w:val="single" w:sz="8" w:space="0" w:color="BCBEC0"/>
              <w:right w:val="nil"/>
            </w:tcBorders>
          </w:tcPr>
          <w:p w14:paraId="7D06EB88" w14:textId="4110A9F2" w:rsidR="00730601" w:rsidRPr="009E00FD" w:rsidRDefault="00730601" w:rsidP="009E00FD">
            <w:r w:rsidRPr="009E00FD">
              <w:t>Analytical Process and Insights</w:t>
            </w:r>
          </w:p>
        </w:tc>
      </w:tr>
      <w:tr w:rsidR="00730601" w:rsidRPr="00494542" w14:paraId="35C02877" w14:textId="77777777" w:rsidTr="009E00FD">
        <w:trPr>
          <w:trHeight w:val="620"/>
        </w:trPr>
        <w:tc>
          <w:tcPr>
            <w:tcW w:w="2977" w:type="dxa"/>
            <w:vMerge/>
            <w:tcBorders>
              <w:top w:val="single" w:sz="8" w:space="0" w:color="BCBEC0"/>
              <w:left w:val="nil"/>
              <w:bottom w:val="single" w:sz="8" w:space="0" w:color="BCBEC0"/>
              <w:right w:val="single" w:sz="8" w:space="0" w:color="BCBEC0"/>
            </w:tcBorders>
          </w:tcPr>
          <w:p w14:paraId="38F6C3DE" w14:textId="77777777" w:rsidR="00730601" w:rsidRPr="00494542" w:rsidRDefault="00730601" w:rsidP="00730601">
            <w:pPr>
              <w:pStyle w:val="TableText"/>
              <w:keepNext/>
              <w:spacing w:before="120"/>
              <w:rPr>
                <w:rFonts w:cs="Arial"/>
                <w:b/>
              </w:rPr>
            </w:pPr>
          </w:p>
        </w:tc>
        <w:tc>
          <w:tcPr>
            <w:tcW w:w="7791" w:type="dxa"/>
            <w:tcBorders>
              <w:top w:val="single" w:sz="8" w:space="0" w:color="BCBEC0"/>
              <w:left w:val="single" w:sz="8" w:space="0" w:color="BCBEC0"/>
              <w:bottom w:val="single" w:sz="8" w:space="0" w:color="BCBEC0"/>
              <w:right w:val="nil"/>
            </w:tcBorders>
          </w:tcPr>
          <w:p w14:paraId="6DC4E633" w14:textId="37548E71" w:rsidR="00730601" w:rsidRPr="009E00FD" w:rsidRDefault="00730601" w:rsidP="009E00FD">
            <w:r w:rsidRPr="009E00FD">
              <w:t>Visualisation and Communication</w:t>
            </w:r>
          </w:p>
        </w:tc>
      </w:tr>
    </w:tbl>
    <w:p w14:paraId="748EC5EF" w14:textId="77777777" w:rsidR="009E00FD" w:rsidRPr="003927AE" w:rsidRDefault="009E00FD" w:rsidP="009E00FD"/>
    <w:sectPr w:rsidR="009E00FD"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966C" w14:textId="77777777" w:rsidR="00F3588E" w:rsidRDefault="00F3588E" w:rsidP="00BB532F">
      <w:pPr>
        <w:spacing w:after="0" w:line="240" w:lineRule="auto"/>
      </w:pPr>
      <w:r>
        <w:separator/>
      </w:r>
    </w:p>
  </w:endnote>
  <w:endnote w:type="continuationSeparator" w:id="0">
    <w:p w14:paraId="71B7B47B" w14:textId="77777777" w:rsidR="00F3588E" w:rsidRDefault="00F3588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05EA03E" w14:textId="77777777" w:rsidTr="00C03AFD">
      <w:tc>
        <w:tcPr>
          <w:tcW w:w="2250" w:type="pct"/>
          <w:vAlign w:val="center"/>
        </w:tcPr>
        <w:p w14:paraId="7185C26D"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Analyst</w:t>
          </w:r>
        </w:p>
      </w:tc>
      <w:tc>
        <w:tcPr>
          <w:tcW w:w="250" w:type="pct"/>
          <w:vAlign w:val="center"/>
        </w:tcPr>
        <w:p w14:paraId="3380C1A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97E56">
            <w:rPr>
              <w:noProof/>
              <w:color w:val="928B81"/>
              <w:sz w:val="18"/>
              <w:lang w:eastAsia="en-AU"/>
            </w:rPr>
            <w:t>2</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97E56">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E9DA" w14:textId="77777777" w:rsidR="00F3588E" w:rsidRDefault="00F3588E" w:rsidP="00BB532F">
      <w:pPr>
        <w:spacing w:after="0" w:line="240" w:lineRule="auto"/>
      </w:pPr>
      <w:r>
        <w:separator/>
      </w:r>
    </w:p>
  </w:footnote>
  <w:footnote w:type="continuationSeparator" w:id="0">
    <w:p w14:paraId="179C2861" w14:textId="77777777" w:rsidR="00F3588E" w:rsidRDefault="00F3588E"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77777777" w:rsidR="00935EE2" w:rsidRPr="00935EE2" w:rsidRDefault="00935EE2" w:rsidP="001C2248">
          <w:pPr>
            <w:pStyle w:val="TitleSub"/>
            <w:spacing w:after="0"/>
            <w:rPr>
              <w:rFonts w:ascii="Arial" w:hAnsi="Arial" w:cs="Arial"/>
              <w:b/>
            </w:rPr>
          </w:pPr>
          <w:r w:rsidRPr="00935EE2">
            <w:rPr>
              <w:rFonts w:ascii="Arial" w:hAnsi="Arial" w:cs="Arial"/>
              <w:b/>
            </w:rPr>
            <w:t>Analyst</w:t>
          </w:r>
        </w:p>
      </w:tc>
      <w:tc>
        <w:tcPr>
          <w:tcW w:w="3688" w:type="dxa"/>
        </w:tcPr>
        <w:p w14:paraId="5CC96BCF" w14:textId="77777777" w:rsidR="000477E1" w:rsidRPr="000477E1" w:rsidRDefault="000477E1" w:rsidP="00030565">
          <w:pPr>
            <w:jc w:val="right"/>
          </w:pP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E0A14"/>
    <w:multiLevelType w:val="hybridMultilevel"/>
    <w:tmpl w:val="93FCC2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224691"/>
    <w:multiLevelType w:val="hybridMultilevel"/>
    <w:tmpl w:val="B6A69A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4C6B4D"/>
    <w:multiLevelType w:val="hybridMultilevel"/>
    <w:tmpl w:val="51B4D8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B01C54"/>
    <w:multiLevelType w:val="hybridMultilevel"/>
    <w:tmpl w:val="0616FA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7"/>
  </w:num>
  <w:num w:numId="11">
    <w:abstractNumId w:val="9"/>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revisionView w:formatting="0"/>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1A2"/>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342C"/>
    <w:rsid w:val="00287C54"/>
    <w:rsid w:val="002A648F"/>
    <w:rsid w:val="002B0B83"/>
    <w:rsid w:val="002B1F76"/>
    <w:rsid w:val="002B2B15"/>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1E10"/>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37EA"/>
    <w:rsid w:val="00466287"/>
    <w:rsid w:val="0047547E"/>
    <w:rsid w:val="00477EB1"/>
    <w:rsid w:val="00492AA6"/>
    <w:rsid w:val="004951A1"/>
    <w:rsid w:val="00497EC1"/>
    <w:rsid w:val="004C45E2"/>
    <w:rsid w:val="004D0C22"/>
    <w:rsid w:val="004D15E4"/>
    <w:rsid w:val="004D20F2"/>
    <w:rsid w:val="004D27C8"/>
    <w:rsid w:val="004D68A6"/>
    <w:rsid w:val="004E07DB"/>
    <w:rsid w:val="004E44A5"/>
    <w:rsid w:val="004E474E"/>
    <w:rsid w:val="004E7F32"/>
    <w:rsid w:val="004F3EA9"/>
    <w:rsid w:val="00502DBF"/>
    <w:rsid w:val="00506B3A"/>
    <w:rsid w:val="00514900"/>
    <w:rsid w:val="00521D19"/>
    <w:rsid w:val="00523CFF"/>
    <w:rsid w:val="00527FCF"/>
    <w:rsid w:val="005307BA"/>
    <w:rsid w:val="00545AC6"/>
    <w:rsid w:val="00551038"/>
    <w:rsid w:val="00585180"/>
    <w:rsid w:val="0059035B"/>
    <w:rsid w:val="00597E56"/>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515F"/>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103D5"/>
    <w:rsid w:val="007249EC"/>
    <w:rsid w:val="00730601"/>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616C"/>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E00FD"/>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5219"/>
    <w:rsid w:val="00BA650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5FA1"/>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3588E"/>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F4E1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CommentSubject">
    <w:name w:val="annotation subject"/>
    <w:basedOn w:val="CommentText"/>
    <w:next w:val="CommentText"/>
    <w:link w:val="CommentSubjectChar"/>
    <w:uiPriority w:val="99"/>
    <w:semiHidden/>
    <w:unhideWhenUsed/>
    <w:rsid w:val="0062515F"/>
    <w:rPr>
      <w:b/>
      <w:bCs/>
    </w:rPr>
  </w:style>
  <w:style w:type="character" w:customStyle="1" w:styleId="CommentSubjectChar">
    <w:name w:val="Comment Subject Char"/>
    <w:basedOn w:val="CommentTextChar"/>
    <w:link w:val="CommentSubject"/>
    <w:uiPriority w:val="99"/>
    <w:semiHidden/>
    <w:rsid w:val="0062515F"/>
    <w:rPr>
      <w:b/>
      <w:bCs/>
      <w:sz w:val="20"/>
      <w:szCs w:val="20"/>
    </w:rPr>
  </w:style>
  <w:style w:type="paragraph" w:styleId="Revision">
    <w:name w:val="Revision"/>
    <w:hidden/>
    <w:uiPriority w:val="99"/>
    <w:semiHidden/>
    <w:rsid w:val="00625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12C7-9F85-47E1-8E90-132BA23E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5</Pages>
  <Words>1486</Words>
  <Characters>9484</Characters>
  <Application>Microsoft Office Word</Application>
  <DocSecurity>4</DocSecurity>
  <Lines>316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Corrs Chambers Westgarth</cp:lastModifiedBy>
  <cp:revision>2</cp:revision>
  <dcterms:created xsi:type="dcterms:W3CDTF">2021-02-12T06:15:00Z</dcterms:created>
  <dcterms:modified xsi:type="dcterms:W3CDTF">2021-02-12T06:15:00Z</dcterms:modified>
</cp:coreProperties>
</file>