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862D8A" w:rsidRPr="00DC0173" w14:paraId="1E695033" w14:textId="77777777" w:rsidTr="004D2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14:paraId="00210EAC" w14:textId="77777777" w:rsidR="00862D8A" w:rsidRPr="00DC0173" w:rsidRDefault="00862D8A" w:rsidP="00862D8A">
            <w:pPr>
              <w:pStyle w:val="TableTextWhite"/>
              <w:rPr>
                <w:b/>
              </w:rPr>
            </w:pPr>
            <w:r>
              <w:rPr>
                <w:b/>
              </w:rPr>
              <w:t>Cluster</w:t>
            </w:r>
          </w:p>
        </w:tc>
        <w:tc>
          <w:tcPr>
            <w:tcW w:w="6831" w:type="dxa"/>
          </w:tcPr>
          <w:p w14:paraId="0F3C7BE2" w14:textId="62E12D66" w:rsidR="00862D8A" w:rsidRPr="00DC0173" w:rsidRDefault="00862D8A" w:rsidP="00862D8A">
            <w:pPr>
              <w:pStyle w:val="TableTextWhite"/>
            </w:pPr>
            <w:r w:rsidRPr="006166CA">
              <w:t>Department of Premier and Cabinet</w:t>
            </w:r>
          </w:p>
        </w:tc>
      </w:tr>
      <w:tr w:rsidR="00862D8A" w:rsidRPr="00DC0173" w14:paraId="19786121" w14:textId="77777777" w:rsidTr="006657CF">
        <w:tc>
          <w:tcPr>
            <w:tcW w:w="4026" w:type="dxa"/>
          </w:tcPr>
          <w:p w14:paraId="4936805B" w14:textId="77777777" w:rsidR="00862D8A" w:rsidRDefault="00862D8A" w:rsidP="00862D8A">
            <w:pPr>
              <w:pStyle w:val="TableTextWhite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6831" w:type="dxa"/>
          </w:tcPr>
          <w:p w14:paraId="4AE6F601" w14:textId="154DB3CE" w:rsidR="00862D8A" w:rsidRDefault="00862D8A" w:rsidP="00862D8A">
            <w:pPr>
              <w:pStyle w:val="TableTextWhite"/>
            </w:pPr>
            <w:r w:rsidRPr="006166CA">
              <w:t>Department of Premier and Cabinet</w:t>
            </w:r>
          </w:p>
        </w:tc>
      </w:tr>
      <w:tr w:rsidR="00862D8A" w:rsidRPr="00DC0173" w14:paraId="749BEA85" w14:textId="77777777" w:rsidTr="006657CF">
        <w:tc>
          <w:tcPr>
            <w:tcW w:w="4026" w:type="dxa"/>
          </w:tcPr>
          <w:p w14:paraId="3A32DD85" w14:textId="77777777" w:rsidR="00862D8A" w:rsidRDefault="00862D8A" w:rsidP="00862D8A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Division/Branch/Unit</w:t>
            </w:r>
          </w:p>
        </w:tc>
        <w:tc>
          <w:tcPr>
            <w:tcW w:w="6831" w:type="dxa"/>
          </w:tcPr>
          <w:p w14:paraId="4C690970" w14:textId="5B105DF5" w:rsidR="00862D8A" w:rsidRDefault="002E0A15" w:rsidP="00862D8A">
            <w:pPr>
              <w:pStyle w:val="TableTextWhite"/>
            </w:pPr>
            <w:r>
              <w:t>Communications</w:t>
            </w:r>
            <w:r w:rsidR="00862D8A">
              <w:t xml:space="preserve"> and Engagement Group / </w:t>
            </w:r>
            <w:r>
              <w:t>Partnerships and Engagement</w:t>
            </w:r>
            <w:r w:rsidR="00862D8A">
              <w:t xml:space="preserve"> Branch</w:t>
            </w:r>
          </w:p>
        </w:tc>
      </w:tr>
      <w:tr w:rsidR="00862D8A" w:rsidRPr="00DC0173" w14:paraId="16518117" w14:textId="77777777" w:rsidTr="006657CF">
        <w:tc>
          <w:tcPr>
            <w:tcW w:w="4026" w:type="dxa"/>
          </w:tcPr>
          <w:p w14:paraId="1C80F28B" w14:textId="77777777" w:rsidR="00862D8A" w:rsidRDefault="00862D8A" w:rsidP="00862D8A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Role number</w:t>
            </w:r>
          </w:p>
        </w:tc>
        <w:tc>
          <w:tcPr>
            <w:tcW w:w="6831" w:type="dxa"/>
          </w:tcPr>
          <w:p w14:paraId="19E58CA6" w14:textId="73CEA900" w:rsidR="00862D8A" w:rsidRDefault="00862D8A" w:rsidP="00862D8A">
            <w:pPr>
              <w:pStyle w:val="TableTextWhite"/>
            </w:pPr>
            <w:r>
              <w:t>14474</w:t>
            </w:r>
          </w:p>
        </w:tc>
      </w:tr>
      <w:tr w:rsidR="00862D8A" w:rsidRPr="00DC0173" w14:paraId="60CD0958" w14:textId="77777777" w:rsidTr="006657CF">
        <w:tc>
          <w:tcPr>
            <w:tcW w:w="4026" w:type="dxa"/>
          </w:tcPr>
          <w:p w14:paraId="4FD21F74" w14:textId="77777777" w:rsidR="00862D8A" w:rsidRDefault="00862D8A" w:rsidP="00862D8A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14:paraId="4B0D85A6" w14:textId="72D1542D" w:rsidR="00862D8A" w:rsidRDefault="00862D8A" w:rsidP="00862D8A">
            <w:pPr>
              <w:pStyle w:val="TableTextWhite"/>
            </w:pPr>
            <w:r w:rsidRPr="006166CA">
              <w:t xml:space="preserve">Clerk Grade </w:t>
            </w:r>
            <w:r>
              <w:t>7/8</w:t>
            </w:r>
          </w:p>
        </w:tc>
      </w:tr>
      <w:tr w:rsidR="00862D8A" w:rsidRPr="00DC0173" w14:paraId="073AD676" w14:textId="77777777" w:rsidTr="006657CF">
        <w:tc>
          <w:tcPr>
            <w:tcW w:w="4026" w:type="dxa"/>
          </w:tcPr>
          <w:p w14:paraId="34EC5F38" w14:textId="77777777" w:rsidR="00862D8A" w:rsidRDefault="00862D8A" w:rsidP="00862D8A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14:paraId="6B0DB08C" w14:textId="2F93207F" w:rsidR="00862D8A" w:rsidRDefault="00862D8A" w:rsidP="00862D8A">
            <w:pPr>
              <w:pStyle w:val="TableTextWhite"/>
            </w:pPr>
            <w:r>
              <w:t>511112</w:t>
            </w:r>
          </w:p>
        </w:tc>
      </w:tr>
      <w:tr w:rsidR="00862D8A" w:rsidRPr="00DC0173" w14:paraId="752E2B4C" w14:textId="77777777" w:rsidTr="006657CF">
        <w:tc>
          <w:tcPr>
            <w:tcW w:w="4026" w:type="dxa"/>
          </w:tcPr>
          <w:p w14:paraId="77421A0C" w14:textId="77777777" w:rsidR="00862D8A" w:rsidRDefault="00862D8A" w:rsidP="00862D8A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14:paraId="3DEE2C81" w14:textId="56E1FEF2" w:rsidR="00862D8A" w:rsidRDefault="00862D8A" w:rsidP="00862D8A">
            <w:pPr>
              <w:pStyle w:val="TableTextWhite"/>
            </w:pPr>
            <w:r>
              <w:t>1117391</w:t>
            </w:r>
          </w:p>
        </w:tc>
      </w:tr>
      <w:tr w:rsidR="00862D8A" w:rsidRPr="00DC0173" w14:paraId="6E34F27A" w14:textId="77777777" w:rsidTr="006657CF">
        <w:tc>
          <w:tcPr>
            <w:tcW w:w="4026" w:type="dxa"/>
          </w:tcPr>
          <w:p w14:paraId="07400C08" w14:textId="77777777" w:rsidR="00862D8A" w:rsidRDefault="00862D8A" w:rsidP="00862D8A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14:paraId="3F1A477A" w14:textId="0BA603C5" w:rsidR="00862D8A" w:rsidRDefault="00EE337D" w:rsidP="00862D8A">
            <w:pPr>
              <w:pStyle w:val="TableTextWhite"/>
            </w:pPr>
            <w:r>
              <w:t>July 2022</w:t>
            </w:r>
          </w:p>
        </w:tc>
      </w:tr>
      <w:tr w:rsidR="00862D8A" w:rsidRPr="00DC0173" w14:paraId="257603AC" w14:textId="77777777" w:rsidTr="006657CF">
        <w:tc>
          <w:tcPr>
            <w:tcW w:w="4026" w:type="dxa"/>
          </w:tcPr>
          <w:p w14:paraId="00472663" w14:textId="77777777" w:rsidR="00862D8A" w:rsidRDefault="00862D8A" w:rsidP="00862D8A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Agency Website</w:t>
            </w:r>
          </w:p>
        </w:tc>
        <w:tc>
          <w:tcPr>
            <w:tcW w:w="6831" w:type="dxa"/>
          </w:tcPr>
          <w:p w14:paraId="44986561" w14:textId="35218350" w:rsidR="00862D8A" w:rsidRDefault="00862D8A" w:rsidP="00862D8A">
            <w:pPr>
              <w:pStyle w:val="TableTextWhite"/>
            </w:pPr>
            <w:r w:rsidRPr="006166CA">
              <w:t>www.dpc.nsw.gov.au</w:t>
            </w:r>
          </w:p>
        </w:tc>
      </w:tr>
    </w:tbl>
    <w:p w14:paraId="3B779FA6" w14:textId="77777777" w:rsidR="00477EB1" w:rsidRPr="00E55704" w:rsidRDefault="00477EB1" w:rsidP="00477EB1">
      <w:pPr>
        <w:tabs>
          <w:tab w:val="left" w:pos="2925"/>
        </w:tabs>
        <w:rPr>
          <w:rFonts w:cs="Arial"/>
        </w:rPr>
      </w:pPr>
    </w:p>
    <w:p w14:paraId="773465B0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Agency overview</w:t>
      </w:r>
    </w:p>
    <w:p w14:paraId="36D14B6F" w14:textId="77777777" w:rsidR="000F48A4" w:rsidRDefault="000F48A4" w:rsidP="000F48A4">
      <w:pPr>
        <w:shd w:val="clear" w:color="auto" w:fill="FFFFFF"/>
        <w:spacing w:after="100" w:afterAutospacing="1"/>
        <w:rPr>
          <w:rFonts w:cs="Arial"/>
        </w:rPr>
      </w:pPr>
      <w:r>
        <w:rPr>
          <w:rFonts w:cs="Arial"/>
          <w:lang w:eastAsia="en-AU"/>
        </w:rPr>
        <w:t>The NSW Department of Premier and Cabinet (DPC) is the lead central agency in the NSW Government – our purpose is to drive big ideas at the heart of government.</w:t>
      </w:r>
    </w:p>
    <w:p w14:paraId="1647A12A" w14:textId="77777777" w:rsidR="000F48A4" w:rsidRDefault="000F48A4" w:rsidP="000F48A4">
      <w:pPr>
        <w:shd w:val="clear" w:color="auto" w:fill="FFFFFF"/>
        <w:spacing w:after="100" w:afterAutospacing="1"/>
        <w:rPr>
          <w:rFonts w:cs="Arial"/>
          <w:lang w:eastAsia="en-AU"/>
        </w:rPr>
      </w:pPr>
      <w:r>
        <w:rPr>
          <w:rFonts w:cs="Arial"/>
          <w:lang w:eastAsia="en-AU"/>
        </w:rPr>
        <w:t xml:space="preserve">We support the Premier, the Cabinet, </w:t>
      </w:r>
      <w:proofErr w:type="gramStart"/>
      <w:r>
        <w:rPr>
          <w:rFonts w:cs="Arial"/>
          <w:lang w:eastAsia="en-AU"/>
        </w:rPr>
        <w:t>Ministers</w:t>
      </w:r>
      <w:proofErr w:type="gramEnd"/>
      <w:r>
        <w:rPr>
          <w:rFonts w:cs="Arial"/>
          <w:lang w:eastAsia="en-AU"/>
        </w:rPr>
        <w:t xml:space="preserve"> and agencies by coordinating policies and services across government. We lead policy development, provide innovative ideas and support Government plans and projects. </w:t>
      </w:r>
    </w:p>
    <w:p w14:paraId="54FE98CE" w14:textId="77777777" w:rsidR="000F48A4" w:rsidRDefault="000F48A4" w:rsidP="000F48A4">
      <w:pPr>
        <w:shd w:val="clear" w:color="auto" w:fill="FFFFFF"/>
        <w:spacing w:after="100" w:afterAutospacing="1"/>
        <w:rPr>
          <w:rFonts w:cs="Arial"/>
          <w:lang w:val="en"/>
        </w:rPr>
      </w:pPr>
      <w:r>
        <w:rPr>
          <w:rFonts w:cs="Arial"/>
          <w:lang w:val="en"/>
        </w:rPr>
        <w:t xml:space="preserve">Working with us will give you a broad overview in areas such as public policy formulation, public administration and state administrative matters and an opportunity to be involved in a range of state-wide policies, </w:t>
      </w:r>
      <w:proofErr w:type="gramStart"/>
      <w:r>
        <w:rPr>
          <w:rFonts w:cs="Arial"/>
          <w:lang w:val="en"/>
        </w:rPr>
        <w:t>issues</w:t>
      </w:r>
      <w:proofErr w:type="gramEnd"/>
      <w:r>
        <w:rPr>
          <w:rFonts w:cs="Arial"/>
          <w:lang w:val="en"/>
        </w:rPr>
        <w:t xml:space="preserve"> and projects.</w:t>
      </w:r>
    </w:p>
    <w:p w14:paraId="4638FACA" w14:textId="77777777" w:rsidR="000F48A4" w:rsidRDefault="000F48A4" w:rsidP="000F48A4">
      <w:pPr>
        <w:pStyle w:val="NormalWeb"/>
        <w:spacing w:before="120"/>
        <w:ind w:right="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more information go to </w:t>
      </w:r>
      <w:hyperlink r:id="rId9" w:history="1">
        <w:r>
          <w:rPr>
            <w:rStyle w:val="Hyperlink"/>
            <w:sz w:val="22"/>
            <w:szCs w:val="22"/>
          </w:rPr>
          <w:t>http://www.dpc.nsw.gov.au/about/about_the_department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71F2A838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14:paraId="1F448065" w14:textId="2C03E47E" w:rsidR="004D25E9" w:rsidRDefault="004D25E9" w:rsidP="00172DFE">
      <w:pPr>
        <w:tabs>
          <w:tab w:val="left" w:pos="2925"/>
        </w:tabs>
        <w:rPr>
          <w:rStyle w:val="BodyTextFirstIndentChar"/>
        </w:rPr>
      </w:pPr>
      <w:r>
        <w:rPr>
          <w:rFonts w:eastAsiaTheme="minorHAnsi" w:cs="Arial"/>
        </w:rPr>
        <w:t xml:space="preserve">To </w:t>
      </w:r>
      <w:r w:rsidRPr="00C24A7A">
        <w:rPr>
          <w:rFonts w:eastAsiaTheme="minorHAnsi" w:cs="Arial"/>
        </w:rPr>
        <w:t xml:space="preserve">provide specialist event </w:t>
      </w:r>
      <w:r w:rsidR="00CD6DAC">
        <w:rPr>
          <w:rFonts w:eastAsiaTheme="minorHAnsi" w:cs="Arial"/>
        </w:rPr>
        <w:t xml:space="preserve">production and technical </w:t>
      </w:r>
      <w:r w:rsidRPr="00C24A7A">
        <w:rPr>
          <w:rFonts w:eastAsiaTheme="minorHAnsi" w:cs="Arial"/>
        </w:rPr>
        <w:t>skills to assist with the safe and successful management of major NSW Government events</w:t>
      </w:r>
      <w:r w:rsidRPr="00172DFE">
        <w:rPr>
          <w:rStyle w:val="BodyTextFirstIndentChar"/>
        </w:rPr>
        <w:t xml:space="preserve"> </w:t>
      </w:r>
    </w:p>
    <w:p w14:paraId="1347744E" w14:textId="13618553"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14:paraId="0B8189D7" w14:textId="7AEB579B" w:rsidR="004D25E9" w:rsidRPr="004D25E9" w:rsidRDefault="004D25E9" w:rsidP="004D25E9">
      <w:pPr>
        <w:numPr>
          <w:ilvl w:val="0"/>
          <w:numId w:val="11"/>
        </w:numPr>
        <w:spacing w:before="120" w:after="120" w:line="240" w:lineRule="auto"/>
        <w:ind w:left="357" w:hanging="357"/>
        <w:jc w:val="both"/>
        <w:rPr>
          <w:rFonts w:eastAsia="Arial" w:cs="Arial"/>
          <w:lang w:val="en-AU"/>
        </w:rPr>
      </w:pPr>
      <w:r w:rsidRPr="004D25E9">
        <w:rPr>
          <w:rFonts w:eastAsia="Arial" w:cs="Arial"/>
          <w:lang w:val="en-AU"/>
        </w:rPr>
        <w:t xml:space="preserve">Production </w:t>
      </w:r>
      <w:r w:rsidR="00CD6DAC">
        <w:rPr>
          <w:rFonts w:eastAsia="Arial" w:cs="Arial"/>
          <w:lang w:val="en-AU"/>
        </w:rPr>
        <w:t xml:space="preserve">and technical </w:t>
      </w:r>
      <w:r w:rsidRPr="004D25E9">
        <w:rPr>
          <w:rFonts w:eastAsia="Arial" w:cs="Arial"/>
          <w:lang w:val="en-AU"/>
        </w:rPr>
        <w:t xml:space="preserve">coordination of allocated NSW Government’s special events. This includes technical production of audio, </w:t>
      </w:r>
      <w:r w:rsidR="00F41425">
        <w:rPr>
          <w:rFonts w:eastAsia="Arial" w:cs="Arial"/>
          <w:lang w:val="en-AU"/>
        </w:rPr>
        <w:t>lighting,</w:t>
      </w:r>
      <w:r w:rsidR="00EE337D">
        <w:rPr>
          <w:rFonts w:eastAsia="Arial" w:cs="Arial"/>
          <w:lang w:val="en-AU"/>
        </w:rPr>
        <w:t xml:space="preserve"> </w:t>
      </w:r>
      <w:r w:rsidRPr="004D25E9">
        <w:rPr>
          <w:rFonts w:eastAsia="Arial" w:cs="Arial"/>
          <w:lang w:val="en-AU"/>
        </w:rPr>
        <w:t>digital screens,</w:t>
      </w:r>
      <w:r w:rsidR="00CD6DAC">
        <w:rPr>
          <w:rFonts w:eastAsia="Arial" w:cs="Arial"/>
          <w:lang w:val="en-AU"/>
        </w:rPr>
        <w:t xml:space="preserve"> networking and communications,</w:t>
      </w:r>
      <w:r w:rsidRPr="004D25E9">
        <w:rPr>
          <w:rFonts w:eastAsia="Arial" w:cs="Arial"/>
          <w:lang w:val="en-AU"/>
        </w:rPr>
        <w:t xml:space="preserve"> broadcast overlay such as cameras and links, temporary structures, fencing, flooring, engineering consultation, CAD plans, production schedules and site management of indoor and outdoor events.</w:t>
      </w:r>
    </w:p>
    <w:p w14:paraId="0391B06F" w14:textId="0FB4AAB1" w:rsidR="004D25E9" w:rsidRPr="004D25E9" w:rsidRDefault="004D25E9" w:rsidP="004D25E9">
      <w:pPr>
        <w:numPr>
          <w:ilvl w:val="0"/>
          <w:numId w:val="11"/>
        </w:numPr>
        <w:spacing w:before="120" w:after="120" w:line="240" w:lineRule="auto"/>
        <w:ind w:left="357" w:hanging="357"/>
        <w:jc w:val="both"/>
        <w:rPr>
          <w:rFonts w:eastAsia="Arial" w:cs="Arial"/>
          <w:lang w:val="en-AU"/>
        </w:rPr>
      </w:pPr>
      <w:r w:rsidRPr="004D25E9">
        <w:rPr>
          <w:rFonts w:eastAsia="Arial" w:cs="Arial"/>
          <w:lang w:val="en-AU"/>
        </w:rPr>
        <w:t>Coordination</w:t>
      </w:r>
      <w:r w:rsidR="00CD6DAC">
        <w:rPr>
          <w:rFonts w:eastAsia="Arial" w:cs="Arial"/>
          <w:lang w:val="en-AU"/>
        </w:rPr>
        <w:t xml:space="preserve"> of</w:t>
      </w:r>
      <w:r w:rsidRPr="004D25E9">
        <w:rPr>
          <w:rFonts w:eastAsia="Arial" w:cs="Arial"/>
          <w:lang w:val="en-AU"/>
        </w:rPr>
        <w:t xml:space="preserve"> aspects of event design, programming, stakeholder liaison, </w:t>
      </w:r>
      <w:proofErr w:type="gramStart"/>
      <w:r w:rsidRPr="004D25E9">
        <w:rPr>
          <w:rFonts w:eastAsia="Arial" w:cs="Arial"/>
          <w:lang w:val="en-AU"/>
        </w:rPr>
        <w:t>operations</w:t>
      </w:r>
      <w:proofErr w:type="gramEnd"/>
      <w:r w:rsidRPr="004D25E9">
        <w:rPr>
          <w:rFonts w:eastAsia="Arial" w:cs="Arial"/>
          <w:lang w:val="en-AU"/>
        </w:rPr>
        <w:t xml:space="preserve"> and logistics of allocated events.  </w:t>
      </w:r>
    </w:p>
    <w:p w14:paraId="072A5610" w14:textId="77777777" w:rsidR="004D25E9" w:rsidRPr="004D25E9" w:rsidRDefault="004D25E9" w:rsidP="004D25E9">
      <w:pPr>
        <w:numPr>
          <w:ilvl w:val="0"/>
          <w:numId w:val="11"/>
        </w:numPr>
        <w:spacing w:before="120" w:after="120" w:line="240" w:lineRule="auto"/>
        <w:ind w:left="357" w:hanging="357"/>
        <w:jc w:val="both"/>
        <w:rPr>
          <w:rFonts w:eastAsia="Arial" w:cs="Arial"/>
          <w:lang w:val="en-AU"/>
        </w:rPr>
      </w:pPr>
      <w:r w:rsidRPr="004D25E9">
        <w:rPr>
          <w:rFonts w:eastAsia="Arial" w:cs="Arial"/>
          <w:lang w:val="en-AU"/>
        </w:rPr>
        <w:t>Liaising and consulting with key internal and external stakeholders including government authorities to ensure an approved, coordinated approach.</w:t>
      </w:r>
    </w:p>
    <w:p w14:paraId="7E345F14" w14:textId="77777777" w:rsidR="004D25E9" w:rsidRPr="004D25E9" w:rsidRDefault="004D25E9" w:rsidP="004D25E9">
      <w:pPr>
        <w:numPr>
          <w:ilvl w:val="0"/>
          <w:numId w:val="11"/>
        </w:numPr>
        <w:spacing w:before="120" w:after="120" w:line="240" w:lineRule="auto"/>
        <w:ind w:left="357" w:hanging="357"/>
        <w:jc w:val="both"/>
        <w:rPr>
          <w:rFonts w:eastAsia="Arial" w:cs="Arial"/>
          <w:lang w:val="en-AU"/>
        </w:rPr>
      </w:pPr>
      <w:r w:rsidRPr="004D25E9">
        <w:rPr>
          <w:rFonts w:eastAsia="Arial" w:cs="Arial"/>
          <w:lang w:val="en-AU"/>
        </w:rPr>
        <w:lastRenderedPageBreak/>
        <w:t xml:space="preserve">Ensuring the delivery of professional, cost efficient, </w:t>
      </w:r>
      <w:proofErr w:type="gramStart"/>
      <w:r w:rsidRPr="004D25E9">
        <w:rPr>
          <w:rFonts w:eastAsia="Arial" w:cs="Arial"/>
          <w:lang w:val="en-AU"/>
        </w:rPr>
        <w:t>safe</w:t>
      </w:r>
      <w:proofErr w:type="gramEnd"/>
      <w:r w:rsidRPr="004D25E9">
        <w:rPr>
          <w:rFonts w:eastAsia="Arial" w:cs="Arial"/>
          <w:lang w:val="en-AU"/>
        </w:rPr>
        <w:t xml:space="preserve"> and high quality services that comply with government procedures, legislative requirements and standards.</w:t>
      </w:r>
    </w:p>
    <w:p w14:paraId="3A30761B" w14:textId="77777777" w:rsidR="004D25E9" w:rsidRPr="004D25E9" w:rsidRDefault="004D25E9" w:rsidP="004D25E9">
      <w:pPr>
        <w:numPr>
          <w:ilvl w:val="0"/>
          <w:numId w:val="11"/>
        </w:numPr>
        <w:spacing w:before="120" w:after="120" w:line="240" w:lineRule="auto"/>
        <w:ind w:left="357" w:hanging="357"/>
        <w:jc w:val="both"/>
        <w:rPr>
          <w:rFonts w:eastAsia="Arial" w:cs="Arial"/>
          <w:lang w:val="en-AU"/>
        </w:rPr>
      </w:pPr>
      <w:r w:rsidRPr="004D25E9">
        <w:rPr>
          <w:rFonts w:eastAsia="Arial" w:cs="Arial"/>
          <w:lang w:val="en-AU"/>
        </w:rPr>
        <w:t>Assessing risk and ensure all documentation is line with current standards.</w:t>
      </w:r>
    </w:p>
    <w:p w14:paraId="702FBCC0" w14:textId="77777777" w:rsidR="004D25E9" w:rsidRPr="004D25E9" w:rsidRDefault="004D25E9" w:rsidP="004D25E9">
      <w:pPr>
        <w:numPr>
          <w:ilvl w:val="0"/>
          <w:numId w:val="11"/>
        </w:numPr>
        <w:spacing w:before="120" w:after="120" w:line="240" w:lineRule="auto"/>
        <w:ind w:left="357" w:hanging="357"/>
        <w:jc w:val="both"/>
        <w:rPr>
          <w:rFonts w:eastAsia="Arial" w:cs="Arial"/>
          <w:lang w:val="en-AU"/>
        </w:rPr>
      </w:pPr>
      <w:r w:rsidRPr="004D25E9">
        <w:rPr>
          <w:rFonts w:eastAsia="Arial" w:cs="Arial"/>
          <w:lang w:val="en-AU"/>
        </w:rPr>
        <w:t>Developing and negotiating solutions to event related issues to manage risks to government.</w:t>
      </w:r>
    </w:p>
    <w:p w14:paraId="001C37E3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14:paraId="08C9EFB2" w14:textId="77777777" w:rsidR="004D25E9" w:rsidRPr="004D25E9" w:rsidRDefault="004D25E9" w:rsidP="004D25E9">
      <w:pPr>
        <w:numPr>
          <w:ilvl w:val="0"/>
          <w:numId w:val="12"/>
        </w:numPr>
        <w:spacing w:before="120" w:after="120" w:line="240" w:lineRule="atLeast"/>
        <w:ind w:left="360"/>
        <w:rPr>
          <w:rFonts w:eastAsia="Arial" w:cs="Times New Roman"/>
          <w:lang w:val="en-AU"/>
        </w:rPr>
      </w:pPr>
      <w:r w:rsidRPr="004D25E9">
        <w:rPr>
          <w:rFonts w:eastAsia="Arial" w:cs="Arial"/>
        </w:rPr>
        <w:t>Work effectively in a high-volume work environment with competing priorities and deadlines which are often changing and unpredictable.</w:t>
      </w:r>
    </w:p>
    <w:p w14:paraId="56742B19" w14:textId="55E4F5F5" w:rsidR="004D25E9" w:rsidRPr="004D25E9" w:rsidRDefault="004D25E9" w:rsidP="004D25E9">
      <w:pPr>
        <w:numPr>
          <w:ilvl w:val="0"/>
          <w:numId w:val="12"/>
        </w:numPr>
        <w:spacing w:before="120" w:after="120" w:line="240" w:lineRule="atLeast"/>
        <w:ind w:left="360"/>
        <w:rPr>
          <w:rStyle w:val="Heading1Char"/>
          <w:rFonts w:eastAsia="Arial" w:cs="Times New Roman"/>
          <w:b w:val="0"/>
          <w:bCs w:val="0"/>
          <w:kern w:val="0"/>
          <w:sz w:val="22"/>
          <w:szCs w:val="22"/>
        </w:rPr>
      </w:pPr>
      <w:r w:rsidRPr="004D25E9">
        <w:rPr>
          <w:rFonts w:eastAsia="Arial" w:cs="Arial"/>
        </w:rPr>
        <w:t>Managing and coordinating key events in a complex environment.</w:t>
      </w:r>
    </w:p>
    <w:p w14:paraId="5E017A21" w14:textId="56109D6C" w:rsidR="003927AE" w:rsidRPr="00EC5C1D" w:rsidRDefault="003927AE" w:rsidP="004D25E9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t>Key relationships</w:t>
      </w:r>
    </w:p>
    <w:tbl>
      <w:tblPr>
        <w:tblW w:w="10547" w:type="dxa"/>
        <w:tblInd w:w="-57" w:type="dxa"/>
        <w:tblBorders>
          <w:top w:val="single" w:sz="8" w:space="0" w:color="auto"/>
          <w:bottom w:val="single" w:sz="8" w:space="0" w:color="BCBEC0"/>
          <w:insideH w:val="single" w:sz="8" w:space="0" w:color="BCBEC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6946"/>
      </w:tblGrid>
      <w:tr w:rsidR="004D25E9" w:rsidRPr="00026E81" w14:paraId="7D546D8C" w14:textId="77777777" w:rsidTr="00B544ED">
        <w:trPr>
          <w:cantSplit/>
          <w:tblHeader/>
        </w:trPr>
        <w:tc>
          <w:tcPr>
            <w:tcW w:w="3601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6D276A"/>
          </w:tcPr>
          <w:p w14:paraId="49F797E4" w14:textId="77777777" w:rsidR="004D25E9" w:rsidRPr="00026E81" w:rsidRDefault="004D25E9" w:rsidP="004D25E9">
            <w:pPr>
              <w:pStyle w:val="TableTextWhite0"/>
            </w:pPr>
            <w:r w:rsidRPr="00026E81">
              <w:t>Who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6D276A"/>
          </w:tcPr>
          <w:p w14:paraId="3A8AE3DD" w14:textId="77777777" w:rsidR="004D25E9" w:rsidRPr="00026E81" w:rsidRDefault="004D25E9" w:rsidP="004D25E9">
            <w:pPr>
              <w:pStyle w:val="TableTextWhite0"/>
            </w:pPr>
            <w:r w:rsidRPr="00026E81">
              <w:t>Why</w:t>
            </w:r>
          </w:p>
        </w:tc>
      </w:tr>
      <w:tr w:rsidR="004D25E9" w:rsidRPr="00026E81" w14:paraId="11C4B2D7" w14:textId="77777777" w:rsidTr="00B544ED">
        <w:trPr>
          <w:cantSplit/>
        </w:trPr>
        <w:tc>
          <w:tcPr>
            <w:tcW w:w="3601" w:type="dxa"/>
            <w:tcBorders>
              <w:top w:val="nil"/>
              <w:bottom w:val="nil"/>
            </w:tcBorders>
            <w:shd w:val="clear" w:color="auto" w:fill="BCBEC0"/>
          </w:tcPr>
          <w:p w14:paraId="2AFB9304" w14:textId="77777777" w:rsidR="004D25E9" w:rsidRPr="00026E81" w:rsidRDefault="004D25E9" w:rsidP="004D25E9">
            <w:pPr>
              <w:pStyle w:val="TableText"/>
              <w:keepNext/>
              <w:rPr>
                <w:b/>
              </w:rPr>
            </w:pPr>
            <w:bookmarkStart w:id="0" w:name="InternalRelationships"/>
            <w:r w:rsidRPr="00026E81">
              <w:rPr>
                <w:b/>
              </w:rPr>
              <w:t>Internal</w:t>
            </w: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BCBEC0"/>
          </w:tcPr>
          <w:p w14:paraId="1043BD60" w14:textId="77777777" w:rsidR="004D25E9" w:rsidRPr="00026E81" w:rsidRDefault="004D25E9" w:rsidP="004D25E9">
            <w:pPr>
              <w:pStyle w:val="TableText"/>
              <w:keepNext/>
              <w:rPr>
                <w:b/>
              </w:rPr>
            </w:pPr>
          </w:p>
        </w:tc>
      </w:tr>
      <w:tr w:rsidR="004D25E9" w:rsidRPr="00026E81" w14:paraId="2CE8F67F" w14:textId="77777777" w:rsidTr="00B544ED">
        <w:tc>
          <w:tcPr>
            <w:tcW w:w="3601" w:type="dxa"/>
            <w:tcBorders>
              <w:top w:val="nil"/>
              <w:bottom w:val="nil"/>
            </w:tcBorders>
          </w:tcPr>
          <w:p w14:paraId="420DA6F7" w14:textId="1D00CDCF" w:rsidR="004D25E9" w:rsidRPr="00F90D06" w:rsidRDefault="004D25E9" w:rsidP="004D25E9">
            <w:pPr>
              <w:pStyle w:val="TableText"/>
            </w:pPr>
            <w:bookmarkStart w:id="1" w:name="Start"/>
            <w:bookmarkEnd w:id="1"/>
            <w:r w:rsidRPr="00F90D06">
              <w:t>Managers, Director, Executive Director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14:paraId="20CB28CD" w14:textId="77777777" w:rsidR="004D25E9" w:rsidRPr="00F90D06" w:rsidRDefault="004D25E9" w:rsidP="004D25E9">
            <w:pPr>
              <w:pStyle w:val="TableText"/>
              <w:numPr>
                <w:ilvl w:val="0"/>
                <w:numId w:val="12"/>
              </w:numPr>
              <w:rPr>
                <w:rFonts w:cs="Arial"/>
                <w:lang w:val="en-US"/>
              </w:rPr>
            </w:pPr>
            <w:r w:rsidRPr="00F90D06">
              <w:rPr>
                <w:rFonts w:cs="Arial"/>
                <w:lang w:val="en-US"/>
              </w:rPr>
              <w:t xml:space="preserve">Report on and provide advice on events and programs, strategies, </w:t>
            </w:r>
            <w:proofErr w:type="gramStart"/>
            <w:r w:rsidRPr="00F90D06">
              <w:rPr>
                <w:rFonts w:cs="Arial"/>
                <w:lang w:val="en-US"/>
              </w:rPr>
              <w:t>risks</w:t>
            </w:r>
            <w:proofErr w:type="gramEnd"/>
            <w:r w:rsidRPr="00F90D06">
              <w:rPr>
                <w:rFonts w:cs="Arial"/>
                <w:lang w:val="en-US"/>
              </w:rPr>
              <w:t xml:space="preserve"> and issues to facilitate informed decisions and undertake agreed project work activities to support the work of the team.</w:t>
            </w:r>
          </w:p>
        </w:tc>
      </w:tr>
      <w:tr w:rsidR="004D25E9" w:rsidRPr="00026E81" w14:paraId="1ABB7E3F" w14:textId="77777777" w:rsidTr="00B544ED">
        <w:tc>
          <w:tcPr>
            <w:tcW w:w="3601" w:type="dxa"/>
            <w:tcBorders>
              <w:top w:val="nil"/>
              <w:bottom w:val="nil"/>
            </w:tcBorders>
          </w:tcPr>
          <w:p w14:paraId="00453E8E" w14:textId="77777777" w:rsidR="004D25E9" w:rsidRPr="00F90D06" w:rsidRDefault="004D25E9" w:rsidP="004D25E9">
            <w:pPr>
              <w:pStyle w:val="TableText"/>
            </w:pPr>
            <w:r w:rsidRPr="00F90D06">
              <w:t>Work team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14:paraId="7B7D8DF2" w14:textId="77777777" w:rsidR="004D25E9" w:rsidRPr="00F90D06" w:rsidRDefault="004D25E9" w:rsidP="004D25E9">
            <w:pPr>
              <w:pStyle w:val="TableText"/>
              <w:numPr>
                <w:ilvl w:val="0"/>
                <w:numId w:val="12"/>
              </w:numPr>
            </w:pPr>
            <w:r w:rsidRPr="00F90D06">
              <w:t>Work collaboratively and exchange information.</w:t>
            </w:r>
          </w:p>
        </w:tc>
      </w:tr>
      <w:tr w:rsidR="004D25E9" w:rsidRPr="00026E81" w14:paraId="43983B3C" w14:textId="77777777" w:rsidTr="00B544ED">
        <w:tc>
          <w:tcPr>
            <w:tcW w:w="3601" w:type="dxa"/>
            <w:tcBorders>
              <w:top w:val="nil"/>
              <w:bottom w:val="nil"/>
            </w:tcBorders>
            <w:shd w:val="clear" w:color="auto" w:fill="BCBEC0"/>
          </w:tcPr>
          <w:p w14:paraId="25E6E605" w14:textId="77777777" w:rsidR="004D25E9" w:rsidRPr="00F90D06" w:rsidRDefault="004D25E9" w:rsidP="004D25E9">
            <w:pPr>
              <w:pStyle w:val="TableText"/>
              <w:rPr>
                <w:b/>
              </w:rPr>
            </w:pPr>
            <w:bookmarkStart w:id="2" w:name="ExternalRelationships"/>
            <w:bookmarkEnd w:id="0"/>
            <w:r w:rsidRPr="00F90D06">
              <w:rPr>
                <w:b/>
              </w:rPr>
              <w:t>External</w:t>
            </w: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BCBEC0"/>
          </w:tcPr>
          <w:p w14:paraId="26130AF6" w14:textId="77777777" w:rsidR="004D25E9" w:rsidRPr="00F90D06" w:rsidRDefault="004D25E9" w:rsidP="004D25E9">
            <w:pPr>
              <w:pStyle w:val="TableText"/>
              <w:rPr>
                <w:b/>
              </w:rPr>
            </w:pPr>
          </w:p>
        </w:tc>
      </w:tr>
      <w:tr w:rsidR="004D25E9" w:rsidRPr="00026E81" w14:paraId="094A1088" w14:textId="77777777" w:rsidTr="00B544ED">
        <w:tc>
          <w:tcPr>
            <w:tcW w:w="3601" w:type="dxa"/>
            <w:tcBorders>
              <w:top w:val="nil"/>
              <w:bottom w:val="nil"/>
            </w:tcBorders>
          </w:tcPr>
          <w:p w14:paraId="42254BA8" w14:textId="77777777" w:rsidR="004D25E9" w:rsidRPr="00F90D06" w:rsidRDefault="004D25E9" w:rsidP="004D25E9">
            <w:pPr>
              <w:pStyle w:val="TableText"/>
            </w:pPr>
            <w:r w:rsidRPr="00F90D06">
              <w:t xml:space="preserve">Key external stakeholders including government agencies, event organisers, </w:t>
            </w:r>
            <w:proofErr w:type="gramStart"/>
            <w:r w:rsidRPr="00F90D06">
              <w:t>suppliers</w:t>
            </w:r>
            <w:proofErr w:type="gramEnd"/>
            <w:r w:rsidRPr="00F90D06">
              <w:t xml:space="preserve"> and contractors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14:paraId="2BD44439" w14:textId="77777777" w:rsidR="004D25E9" w:rsidRPr="00F90D06" w:rsidRDefault="004D25E9" w:rsidP="004D25E9">
            <w:pPr>
              <w:pStyle w:val="TableText"/>
              <w:numPr>
                <w:ilvl w:val="0"/>
                <w:numId w:val="12"/>
              </w:numPr>
            </w:pPr>
            <w:r w:rsidRPr="00F90D06">
              <w:rPr>
                <w:rStyle w:val="CommentReference"/>
                <w:sz w:val="20"/>
                <w:szCs w:val="20"/>
              </w:rPr>
              <w:t>Develop and maintain effective working relationships and open channels of communication to liaise, consult, engage and or participate on the delivery of various programs and events.</w:t>
            </w:r>
          </w:p>
        </w:tc>
      </w:tr>
      <w:bookmarkEnd w:id="2"/>
    </w:tbl>
    <w:p w14:paraId="6F89BC96" w14:textId="77777777" w:rsidR="003927AE" w:rsidRDefault="003927AE" w:rsidP="003927AE"/>
    <w:p w14:paraId="1214A6A1" w14:textId="77777777" w:rsidR="003927AE" w:rsidRDefault="003927AE" w:rsidP="003927AE">
      <w:pPr>
        <w:pStyle w:val="Heading1"/>
        <w:rPr>
          <w:sz w:val="28"/>
        </w:rPr>
      </w:pPr>
      <w:r w:rsidRPr="00614552">
        <w:t>Role dimensions</w:t>
      </w:r>
    </w:p>
    <w:p w14:paraId="3D4923C3" w14:textId="77777777" w:rsidR="003927AE" w:rsidRPr="00614552" w:rsidRDefault="003927AE" w:rsidP="003927AE">
      <w:pPr>
        <w:pStyle w:val="Heading2"/>
      </w:pPr>
      <w:r w:rsidRPr="00614552">
        <w:t>Decision making</w:t>
      </w:r>
    </w:p>
    <w:p w14:paraId="5A719648" w14:textId="77777777" w:rsidR="00855730" w:rsidRPr="00855730" w:rsidRDefault="00855730" w:rsidP="00855730">
      <w:pPr>
        <w:tabs>
          <w:tab w:val="left" w:pos="284"/>
        </w:tabs>
        <w:spacing w:before="120" w:after="0" w:line="240" w:lineRule="auto"/>
        <w:rPr>
          <w:rFonts w:eastAsia="Arial" w:cs="Times New Roman"/>
          <w:szCs w:val="20"/>
          <w:lang w:val="en-AU"/>
        </w:rPr>
      </w:pPr>
      <w:r w:rsidRPr="00855730">
        <w:rPr>
          <w:rFonts w:eastAsia="Arial" w:cs="Times New Roman"/>
          <w:szCs w:val="20"/>
          <w:lang w:val="en-AU"/>
        </w:rPr>
        <w:t>The decision making required of the position relates to:</w:t>
      </w:r>
    </w:p>
    <w:p w14:paraId="529F2870" w14:textId="77777777" w:rsidR="00855730" w:rsidRPr="00855730" w:rsidRDefault="00855730" w:rsidP="00855730">
      <w:pPr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284" w:hanging="284"/>
        <w:rPr>
          <w:rFonts w:eastAsia="Arial" w:cs="Times New Roman"/>
          <w:szCs w:val="20"/>
          <w:lang w:val="en-AU"/>
        </w:rPr>
      </w:pPr>
      <w:r w:rsidRPr="00855730">
        <w:rPr>
          <w:rFonts w:eastAsia="Arial" w:cs="Times New Roman"/>
          <w:szCs w:val="20"/>
          <w:lang w:val="en-AU"/>
        </w:rPr>
        <w:t>Day to day management of their own work priorities within agreed parameters and approved individual and team work plans.</w:t>
      </w:r>
    </w:p>
    <w:p w14:paraId="3EDF3A30" w14:textId="77777777" w:rsidR="00855730" w:rsidRPr="00855730" w:rsidRDefault="00855730" w:rsidP="00855730">
      <w:pPr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284" w:hanging="284"/>
        <w:rPr>
          <w:rFonts w:eastAsia="Arial" w:cs="Times New Roman"/>
          <w:szCs w:val="20"/>
          <w:lang w:val="en-AU"/>
        </w:rPr>
      </w:pPr>
      <w:r w:rsidRPr="00855730">
        <w:rPr>
          <w:rFonts w:eastAsia="Arial" w:cs="Times New Roman"/>
          <w:szCs w:val="20"/>
          <w:lang w:val="en-AU"/>
        </w:rPr>
        <w:t xml:space="preserve">Providing information and advice to internal and external enquirers on relevant protocol, </w:t>
      </w:r>
      <w:proofErr w:type="gramStart"/>
      <w:r w:rsidRPr="00855730">
        <w:rPr>
          <w:rFonts w:eastAsia="Arial" w:cs="Times New Roman"/>
          <w:szCs w:val="20"/>
          <w:lang w:val="en-AU"/>
        </w:rPr>
        <w:t>policies</w:t>
      </w:r>
      <w:proofErr w:type="gramEnd"/>
      <w:r w:rsidRPr="00855730">
        <w:rPr>
          <w:rFonts w:eastAsia="Arial" w:cs="Times New Roman"/>
          <w:szCs w:val="20"/>
          <w:lang w:val="en-AU"/>
        </w:rPr>
        <w:t xml:space="preserve"> and procedures, referring to a supervisor any matters which fall outside of standard guidelines and practice.</w:t>
      </w:r>
    </w:p>
    <w:p w14:paraId="14C813B0" w14:textId="77777777" w:rsidR="00855730" w:rsidRPr="00855730" w:rsidRDefault="00855730" w:rsidP="00855730">
      <w:pPr>
        <w:spacing w:after="120" w:line="260" w:lineRule="atLeast"/>
        <w:ind w:left="720"/>
        <w:rPr>
          <w:rFonts w:ascii="Georgia" w:eastAsia="Arial" w:hAnsi="Georgia" w:cs="Times New Roman"/>
          <w:bCs/>
          <w:lang w:val="en-AU"/>
        </w:rPr>
      </w:pPr>
    </w:p>
    <w:p w14:paraId="5AA80F04" w14:textId="77777777" w:rsidR="00855730" w:rsidRPr="00855730" w:rsidRDefault="00855730" w:rsidP="00855730">
      <w:pPr>
        <w:spacing w:after="0" w:line="240" w:lineRule="auto"/>
        <w:jc w:val="both"/>
        <w:rPr>
          <w:rFonts w:eastAsia="Times New Roman" w:cs="Arial"/>
          <w:lang w:val="en-AU"/>
        </w:rPr>
      </w:pPr>
      <w:r w:rsidRPr="00855730">
        <w:rPr>
          <w:rFonts w:eastAsia="Times New Roman" w:cs="Arial"/>
          <w:lang w:val="en-AU"/>
        </w:rPr>
        <w:t>Decisions which are referred to a supervisor include:</w:t>
      </w:r>
    </w:p>
    <w:p w14:paraId="7C55029D" w14:textId="77777777" w:rsidR="00855730" w:rsidRPr="00855730" w:rsidRDefault="00855730" w:rsidP="00855730">
      <w:pPr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284" w:hanging="284"/>
        <w:rPr>
          <w:rFonts w:eastAsia="Arial" w:cs="Times New Roman"/>
          <w:szCs w:val="20"/>
          <w:lang w:val="en-AU"/>
        </w:rPr>
      </w:pPr>
      <w:r w:rsidRPr="00855730">
        <w:rPr>
          <w:rFonts w:eastAsia="Arial" w:cs="Times New Roman"/>
          <w:szCs w:val="20"/>
          <w:lang w:val="en-AU"/>
        </w:rPr>
        <w:t xml:space="preserve">Any decision that will substantially alter the outcomes or timeframe of agreed workplans.  </w:t>
      </w:r>
    </w:p>
    <w:p w14:paraId="64522C08" w14:textId="77777777" w:rsidR="00855730" w:rsidRPr="00855730" w:rsidRDefault="00855730" w:rsidP="00855730">
      <w:pPr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284" w:hanging="284"/>
        <w:rPr>
          <w:rFonts w:eastAsia="Arial" w:cs="Times New Roman"/>
          <w:szCs w:val="20"/>
          <w:lang w:val="en-AU"/>
        </w:rPr>
      </w:pPr>
      <w:r w:rsidRPr="00855730">
        <w:rPr>
          <w:rFonts w:eastAsia="Arial" w:cs="Times New Roman"/>
          <w:szCs w:val="20"/>
          <w:lang w:val="en-AU"/>
        </w:rPr>
        <w:t>Any major conflicts or policy issues that arise in the course of such interaction</w:t>
      </w:r>
    </w:p>
    <w:p w14:paraId="3F70176E" w14:textId="77777777" w:rsidR="00855730" w:rsidRPr="00855730" w:rsidRDefault="00855730" w:rsidP="00855730">
      <w:pPr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284" w:hanging="284"/>
        <w:rPr>
          <w:rFonts w:eastAsia="Arial" w:cs="Times New Roman"/>
          <w:szCs w:val="20"/>
          <w:lang w:val="en-AU"/>
        </w:rPr>
      </w:pPr>
      <w:r w:rsidRPr="00855730">
        <w:rPr>
          <w:rFonts w:eastAsia="Arial" w:cs="Times New Roman"/>
          <w:szCs w:val="20"/>
          <w:lang w:val="en-AU"/>
        </w:rPr>
        <w:t>Matters requiring a higher delegated authority such as approval for expenditure and/or travel.</w:t>
      </w:r>
    </w:p>
    <w:p w14:paraId="4A3FBFB6" w14:textId="77777777" w:rsidR="00855730" w:rsidRPr="00855730" w:rsidRDefault="00855730" w:rsidP="00855730">
      <w:pPr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284" w:hanging="284"/>
        <w:rPr>
          <w:rFonts w:eastAsia="Arial" w:cs="Times New Roman"/>
          <w:szCs w:val="20"/>
          <w:lang w:val="en-AU"/>
        </w:rPr>
      </w:pPr>
      <w:r w:rsidRPr="00855730">
        <w:rPr>
          <w:rFonts w:eastAsia="Arial" w:cs="Times New Roman"/>
          <w:szCs w:val="20"/>
          <w:lang w:val="en-AU"/>
        </w:rPr>
        <w:t>Matters requiring submission to the Secretary, Premier or Minister’s Office.</w:t>
      </w:r>
    </w:p>
    <w:p w14:paraId="0AAA806A" w14:textId="77777777" w:rsidR="00855730" w:rsidRPr="00855730" w:rsidRDefault="00855730" w:rsidP="00855730">
      <w:pPr>
        <w:spacing w:after="120" w:line="260" w:lineRule="atLeast"/>
        <w:jc w:val="both"/>
        <w:rPr>
          <w:rFonts w:eastAsia="Arial" w:cs="Arial"/>
        </w:rPr>
      </w:pPr>
    </w:p>
    <w:p w14:paraId="4A0D0713" w14:textId="77777777" w:rsidR="00855730" w:rsidRPr="00855730" w:rsidRDefault="00855730" w:rsidP="00855730">
      <w:pPr>
        <w:keepNext/>
        <w:spacing w:after="120" w:line="260" w:lineRule="atLeast"/>
        <w:outlineLvl w:val="1"/>
        <w:rPr>
          <w:rFonts w:eastAsia="Arial" w:cs="Arial"/>
          <w:b/>
          <w:bCs/>
          <w:iCs/>
          <w:color w:val="6D6E71"/>
          <w:sz w:val="24"/>
          <w:szCs w:val="28"/>
          <w:lang w:val="en-AU"/>
        </w:rPr>
      </w:pPr>
      <w:r w:rsidRPr="00855730">
        <w:rPr>
          <w:rFonts w:eastAsia="Arial" w:cs="Arial"/>
          <w:b/>
          <w:bCs/>
          <w:iCs/>
          <w:color w:val="6D6E71"/>
          <w:sz w:val="24"/>
          <w:szCs w:val="28"/>
          <w:lang w:val="en-AU"/>
        </w:rPr>
        <w:t>Reporting line</w:t>
      </w:r>
    </w:p>
    <w:p w14:paraId="70D52FF4" w14:textId="23E46684" w:rsidR="00855730" w:rsidRDefault="00855730" w:rsidP="00855730">
      <w:pPr>
        <w:spacing w:after="120" w:line="260" w:lineRule="atLeast"/>
        <w:rPr>
          <w:rFonts w:eastAsia="SimSun" w:cs="Arial"/>
          <w:szCs w:val="20"/>
          <w:lang w:eastAsia="zh-CN"/>
        </w:rPr>
      </w:pPr>
      <w:r w:rsidRPr="00855730">
        <w:rPr>
          <w:rFonts w:eastAsia="SimSun" w:cs="Arial"/>
          <w:szCs w:val="20"/>
          <w:lang w:eastAsia="zh-CN"/>
        </w:rPr>
        <w:t xml:space="preserve">The Event </w:t>
      </w:r>
      <w:r w:rsidR="002E0A15">
        <w:rPr>
          <w:rFonts w:eastAsia="SimSun" w:cs="Arial"/>
          <w:szCs w:val="20"/>
          <w:lang w:eastAsia="zh-CN"/>
        </w:rPr>
        <w:t xml:space="preserve">Production </w:t>
      </w:r>
      <w:r w:rsidRPr="00855730">
        <w:rPr>
          <w:rFonts w:eastAsia="SimSun" w:cs="Arial"/>
          <w:szCs w:val="20"/>
          <w:lang w:eastAsia="zh-CN"/>
        </w:rPr>
        <w:t xml:space="preserve">Officer reports to the </w:t>
      </w:r>
      <w:r w:rsidR="002E0A15">
        <w:rPr>
          <w:rFonts w:eastAsia="SimSun" w:cs="Arial"/>
          <w:szCs w:val="20"/>
          <w:lang w:eastAsia="zh-CN"/>
        </w:rPr>
        <w:t>Associate Director,</w:t>
      </w:r>
      <w:r w:rsidRPr="00855730">
        <w:rPr>
          <w:rFonts w:eastAsia="SimSun" w:cs="Arial"/>
          <w:szCs w:val="20"/>
          <w:lang w:eastAsia="zh-CN"/>
        </w:rPr>
        <w:t xml:space="preserve"> Events.</w:t>
      </w:r>
    </w:p>
    <w:p w14:paraId="19FE49A2" w14:textId="423F6047" w:rsidR="00B544ED" w:rsidRDefault="00B544ED" w:rsidP="00855730">
      <w:pPr>
        <w:spacing w:after="120" w:line="260" w:lineRule="atLeast"/>
        <w:rPr>
          <w:rFonts w:eastAsia="SimSun" w:cs="Arial"/>
          <w:szCs w:val="20"/>
          <w:lang w:eastAsia="zh-CN"/>
        </w:rPr>
      </w:pPr>
    </w:p>
    <w:p w14:paraId="145D6547" w14:textId="5E031455" w:rsidR="00B544ED" w:rsidRDefault="00B544ED" w:rsidP="00855730">
      <w:pPr>
        <w:spacing w:after="120" w:line="260" w:lineRule="atLeast"/>
        <w:rPr>
          <w:rFonts w:eastAsia="SimSun" w:cs="Arial"/>
          <w:szCs w:val="20"/>
          <w:lang w:eastAsia="zh-CN"/>
        </w:rPr>
      </w:pPr>
    </w:p>
    <w:p w14:paraId="372FDBEB" w14:textId="42149472" w:rsidR="00B544ED" w:rsidRDefault="00B544ED" w:rsidP="00855730">
      <w:pPr>
        <w:spacing w:after="120" w:line="260" w:lineRule="atLeast"/>
        <w:rPr>
          <w:rFonts w:eastAsia="SimSun" w:cs="Arial"/>
          <w:szCs w:val="20"/>
          <w:lang w:eastAsia="zh-CN"/>
        </w:rPr>
      </w:pPr>
    </w:p>
    <w:p w14:paraId="2A8FBD98" w14:textId="77777777" w:rsidR="00B544ED" w:rsidRPr="00855730" w:rsidRDefault="00B544ED" w:rsidP="00855730">
      <w:pPr>
        <w:spacing w:after="120" w:line="260" w:lineRule="atLeast"/>
        <w:rPr>
          <w:rFonts w:eastAsia="SimSun" w:cs="Arial"/>
          <w:szCs w:val="20"/>
          <w:lang w:eastAsia="zh-CN"/>
        </w:rPr>
      </w:pPr>
    </w:p>
    <w:p w14:paraId="5358064B" w14:textId="77777777" w:rsidR="003927AE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Essential requirements</w:t>
      </w:r>
    </w:p>
    <w:p w14:paraId="09F530B4" w14:textId="67694470" w:rsidR="00855730" w:rsidRPr="00B544ED" w:rsidRDefault="00855730" w:rsidP="00855730">
      <w:pPr>
        <w:numPr>
          <w:ilvl w:val="0"/>
          <w:numId w:val="15"/>
        </w:numPr>
        <w:spacing w:before="120" w:after="0" w:line="240" w:lineRule="auto"/>
        <w:ind w:left="426" w:hanging="357"/>
        <w:rPr>
          <w:rFonts w:ascii="Georgia" w:eastAsia="Arial" w:hAnsi="Georgia" w:cs="Times New Roman"/>
          <w:szCs w:val="20"/>
          <w:lang w:val="en-AU"/>
        </w:rPr>
      </w:pPr>
      <w:r w:rsidRPr="00855730">
        <w:rPr>
          <w:rFonts w:eastAsia="Arial" w:cs="Arial"/>
          <w:lang w:val="en-AU"/>
        </w:rPr>
        <w:t xml:space="preserve">Experience in the production, coordination and operations and logistics of large scale public special events. </w:t>
      </w:r>
    </w:p>
    <w:p w14:paraId="4C735CD2" w14:textId="77777777" w:rsidR="00B544ED" w:rsidRPr="00855730" w:rsidRDefault="00B544ED" w:rsidP="00B544ED">
      <w:pPr>
        <w:spacing w:before="120" w:after="0" w:line="240" w:lineRule="auto"/>
        <w:ind w:left="426"/>
        <w:rPr>
          <w:rFonts w:ascii="Georgia" w:eastAsia="Arial" w:hAnsi="Georgia" w:cs="Times New Roman"/>
          <w:szCs w:val="20"/>
          <w:lang w:val="en-AU"/>
        </w:rPr>
      </w:pPr>
    </w:p>
    <w:p w14:paraId="6C1B964B" w14:textId="77777777" w:rsidR="003927AE" w:rsidRPr="00C978B9" w:rsidRDefault="003927AE" w:rsidP="003927AE">
      <w:pPr>
        <w:pStyle w:val="Heading1"/>
      </w:pPr>
      <w:r w:rsidRPr="00C978B9">
        <w:t>Capabilities for the role</w:t>
      </w:r>
    </w:p>
    <w:p w14:paraId="7961A1AB" w14:textId="77777777" w:rsidR="003927AE" w:rsidRPr="00175AAF" w:rsidRDefault="003927AE" w:rsidP="003927AE">
      <w:r w:rsidRPr="00175AAF">
        <w:t xml:space="preserve">The </w:t>
      </w:r>
      <w:hyperlink r:id="rId10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proofErr w:type="gramStart"/>
      <w:r w:rsidRPr="00175AAF">
        <w:t>results</w:t>
      </w:r>
      <w:proofErr w:type="gramEnd"/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31842903" w14:textId="1CE79F0D" w:rsidR="003927AE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14:paraId="4430DCF6" w14:textId="77777777" w:rsidR="00F90D06" w:rsidRPr="00C978B9" w:rsidRDefault="00F90D06" w:rsidP="00F90D06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14:paraId="21999280" w14:textId="77777777" w:rsidR="00F90D06" w:rsidRDefault="00F90D06" w:rsidP="00F90D0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0CF3DC33" w14:textId="00BCBFDB" w:rsidR="00F90D06" w:rsidRDefault="00F90D06" w:rsidP="00F90D0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>The focus capabilities for this role are shown below with a brief explanation of what each capability covers and the indicators describing the types of behaviours</w:t>
      </w:r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14:paraId="6418E6AF" w14:textId="2A56B546" w:rsidR="00B544ED" w:rsidRDefault="00B544ED" w:rsidP="00F90D0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p w14:paraId="5B74FA5F" w14:textId="31B5F457" w:rsidR="00B544ED" w:rsidRDefault="00B544ED" w:rsidP="00F90D0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p w14:paraId="2C6B81AD" w14:textId="335A9C0C" w:rsidR="00B544ED" w:rsidRDefault="00B544ED" w:rsidP="00F90D0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p w14:paraId="362135CD" w14:textId="3319D137" w:rsidR="00B544ED" w:rsidRDefault="00B544ED" w:rsidP="00F90D0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p w14:paraId="007BF95C" w14:textId="2F19F1C0" w:rsidR="00B544ED" w:rsidRDefault="00B544ED" w:rsidP="00F90D0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p w14:paraId="115C167D" w14:textId="14D7802F" w:rsidR="00B544ED" w:rsidRDefault="00B544ED" w:rsidP="00F90D0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p w14:paraId="2A5D40D6" w14:textId="568D24F3" w:rsidR="00B544ED" w:rsidRDefault="00B544ED" w:rsidP="00F90D0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p w14:paraId="7FCF603E" w14:textId="51AC2A80" w:rsidR="00B544ED" w:rsidRDefault="00B544ED" w:rsidP="00F90D0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p w14:paraId="54E753A1" w14:textId="49802D3E" w:rsidR="00B544ED" w:rsidRDefault="00B544ED" w:rsidP="00F90D0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p w14:paraId="555470A0" w14:textId="23718072" w:rsidR="00B544ED" w:rsidRDefault="00B544ED" w:rsidP="00F90D0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p w14:paraId="5459527B" w14:textId="01BE13F3" w:rsidR="00B544ED" w:rsidRDefault="00B544ED" w:rsidP="00F90D0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p w14:paraId="74100DE4" w14:textId="26F1E203" w:rsidR="00B544ED" w:rsidRDefault="00B544ED" w:rsidP="00F90D0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p w14:paraId="28785326" w14:textId="2B1AAC47" w:rsidR="00B544ED" w:rsidRDefault="00B544ED" w:rsidP="00F90D0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p w14:paraId="394FE09B" w14:textId="486878B8" w:rsidR="00B544ED" w:rsidRDefault="00B544ED" w:rsidP="00F90D0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p w14:paraId="6AEBFF96" w14:textId="7AB90809" w:rsidR="00B544ED" w:rsidRDefault="00B544ED" w:rsidP="00F90D0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p w14:paraId="501D0921" w14:textId="77777777" w:rsidR="00B544ED" w:rsidRDefault="00B544ED" w:rsidP="00F90D0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p w14:paraId="765B0130" w14:textId="77777777" w:rsidR="00997DB9" w:rsidRPr="00F90D06" w:rsidRDefault="00997DB9" w:rsidP="00F90D06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pPr w:leftFromText="180" w:rightFromText="180" w:vertAnchor="text" w:horzAnchor="margin" w:tblpY="94"/>
        <w:tblW w:w="1077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989"/>
        <w:gridCol w:w="4819"/>
        <w:gridCol w:w="1559"/>
      </w:tblGrid>
      <w:tr w:rsidR="00F90D06" w:rsidRPr="00803E47" w14:paraId="023E1194" w14:textId="77777777" w:rsidTr="00F90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73" w:type="dxa"/>
            <w:gridSpan w:val="4"/>
          </w:tcPr>
          <w:p w14:paraId="67960B58" w14:textId="77777777" w:rsidR="00F90D06" w:rsidRPr="00803E47" w:rsidRDefault="00F90D06" w:rsidP="00F90D06">
            <w:pPr>
              <w:pStyle w:val="TableTextWhite0"/>
              <w:keepNext/>
              <w:ind w:right="142"/>
              <w:jc w:val="both"/>
            </w:pPr>
            <w:r w:rsidRPr="00051E80">
              <w:rPr>
                <w:sz w:val="24"/>
                <w:szCs w:val="24"/>
              </w:rPr>
              <w:t>FOCUS CAPABILITIES</w:t>
            </w:r>
          </w:p>
        </w:tc>
      </w:tr>
      <w:tr w:rsidR="00F90D06" w:rsidRPr="00C978B9" w14:paraId="6021B120" w14:textId="77777777" w:rsidTr="00F90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22350FBE" w14:textId="77777777" w:rsidR="00F90D06" w:rsidRPr="00C978B9" w:rsidRDefault="00F90D06" w:rsidP="00F90D06">
            <w:pPr>
              <w:pStyle w:val="TableText"/>
              <w:keepNext/>
              <w:ind w:right="142"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989" w:type="dxa"/>
            <w:tcBorders>
              <w:bottom w:val="single" w:sz="12" w:space="0" w:color="auto"/>
            </w:tcBorders>
            <w:shd w:val="clear" w:color="auto" w:fill="BCBEC0"/>
          </w:tcPr>
          <w:p w14:paraId="68A9AF9C" w14:textId="77777777" w:rsidR="00F90D06" w:rsidRPr="00C978B9" w:rsidRDefault="00F90D06" w:rsidP="00F90D06">
            <w:pPr>
              <w:pStyle w:val="TableText"/>
              <w:keepNext/>
              <w:ind w:right="142"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shd w:val="clear" w:color="auto" w:fill="BCBEC0"/>
          </w:tcPr>
          <w:p w14:paraId="50C2DE5E" w14:textId="77777777" w:rsidR="00F90D06" w:rsidRDefault="00F90D06" w:rsidP="00F90D06">
            <w:pPr>
              <w:pStyle w:val="TableText"/>
              <w:keepNext/>
              <w:ind w:right="142"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CBEC0"/>
          </w:tcPr>
          <w:p w14:paraId="5ED9AF29" w14:textId="77777777" w:rsidR="00F90D06" w:rsidRDefault="00F90D06" w:rsidP="00F90D06">
            <w:pPr>
              <w:pStyle w:val="TableText"/>
              <w:keepNext/>
              <w:ind w:right="142"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F90D06" w:rsidRPr="00C978B9" w14:paraId="4CA051B8" w14:textId="77777777" w:rsidTr="00F90D06">
        <w:tc>
          <w:tcPr>
            <w:tcW w:w="1406" w:type="dxa"/>
            <w:tcBorders>
              <w:bottom w:val="single" w:sz="4" w:space="0" w:color="BCBEC0"/>
            </w:tcBorders>
          </w:tcPr>
          <w:p w14:paraId="079514C9" w14:textId="77777777" w:rsidR="00F90D06" w:rsidRPr="00C978B9" w:rsidRDefault="00F90D06" w:rsidP="00F90D06">
            <w:pPr>
              <w:keepNext/>
              <w:ind w:right="142"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1703036D" wp14:editId="69A7337A">
                  <wp:extent cx="848995" cy="848995"/>
                  <wp:effectExtent l="0" t="0" r="8255" b="8255"/>
                  <wp:docPr id="11" name="personal-attribu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tcBorders>
              <w:bottom w:val="single" w:sz="4" w:space="0" w:color="BCBEC0"/>
            </w:tcBorders>
          </w:tcPr>
          <w:p w14:paraId="113504D0" w14:textId="77777777" w:rsidR="00F90D06" w:rsidRPr="00A8226F" w:rsidRDefault="00F90D06" w:rsidP="00F90D06">
            <w:pPr>
              <w:pStyle w:val="TableText"/>
              <w:keepNext/>
              <w:ind w:right="142"/>
              <w:rPr>
                <w:b/>
              </w:rPr>
            </w:pPr>
            <w:r>
              <w:rPr>
                <w:b/>
              </w:rPr>
              <w:t>Act with Integrity</w:t>
            </w:r>
          </w:p>
          <w:p w14:paraId="7D4B15AB" w14:textId="3A066579" w:rsidR="00F90D06" w:rsidRPr="00AA57E3" w:rsidRDefault="00F90D06" w:rsidP="00F90D06">
            <w:pPr>
              <w:pStyle w:val="TableText"/>
              <w:keepNext/>
              <w:ind w:right="142"/>
            </w:pPr>
            <w:r>
              <w:t>Be ethical and professional, and uphold and promote the public sector values</w:t>
            </w:r>
          </w:p>
        </w:tc>
        <w:tc>
          <w:tcPr>
            <w:tcW w:w="4819" w:type="dxa"/>
            <w:tcBorders>
              <w:bottom w:val="single" w:sz="4" w:space="0" w:color="BCBEC0"/>
            </w:tcBorders>
          </w:tcPr>
          <w:p w14:paraId="226F987E" w14:textId="77777777" w:rsidR="00F90D06" w:rsidRDefault="00F90D06" w:rsidP="00F90D06">
            <w:pPr>
              <w:pStyle w:val="TableBullet"/>
              <w:ind w:right="142"/>
            </w:pPr>
            <w:r>
              <w:t xml:space="preserve">Represent the organisation in an honest, </w:t>
            </w:r>
            <w:proofErr w:type="gramStart"/>
            <w:r>
              <w:t>ethical</w:t>
            </w:r>
            <w:proofErr w:type="gramEnd"/>
            <w:r>
              <w:t xml:space="preserve"> and professional way and encourage others to do so</w:t>
            </w:r>
          </w:p>
          <w:p w14:paraId="2E39E2D4" w14:textId="77777777" w:rsidR="00F90D06" w:rsidRDefault="00F90D06" w:rsidP="00F90D06">
            <w:pPr>
              <w:pStyle w:val="TableBullet"/>
              <w:ind w:right="142"/>
            </w:pPr>
            <w:r>
              <w:t>Act professionally and support a culture of integrity</w:t>
            </w:r>
          </w:p>
          <w:p w14:paraId="7DBFBCAC" w14:textId="77777777" w:rsidR="00F90D06" w:rsidRDefault="00F90D06" w:rsidP="00F90D06">
            <w:pPr>
              <w:pStyle w:val="TableBullet"/>
              <w:ind w:right="142"/>
            </w:pPr>
            <w:r>
              <w:t>Identify and explain ethical issues and set an example for others to follow</w:t>
            </w:r>
          </w:p>
          <w:p w14:paraId="3FB614A3" w14:textId="77777777" w:rsidR="00F90D06" w:rsidRDefault="00F90D06" w:rsidP="00F90D06">
            <w:pPr>
              <w:pStyle w:val="TableBullet"/>
              <w:ind w:right="142"/>
            </w:pPr>
            <w:r>
              <w:t>Ensure that others are aware of and understand the legislation and policy framework within which they operate</w:t>
            </w:r>
          </w:p>
          <w:p w14:paraId="448B393B" w14:textId="47427852" w:rsidR="00F90D06" w:rsidRPr="00AA57E3" w:rsidRDefault="00F90D06" w:rsidP="00F90D06">
            <w:pPr>
              <w:pStyle w:val="TableBullet"/>
              <w:numPr>
                <w:ilvl w:val="0"/>
                <w:numId w:val="0"/>
              </w:numPr>
              <w:ind w:left="360" w:right="142"/>
            </w:pPr>
            <w:r>
              <w:t>Act to prevent and report misconduct and illegal and inappropriate behaviour</w:t>
            </w:r>
          </w:p>
        </w:tc>
        <w:tc>
          <w:tcPr>
            <w:tcW w:w="1559" w:type="dxa"/>
            <w:tcBorders>
              <w:bottom w:val="single" w:sz="4" w:space="0" w:color="BCBEC0"/>
            </w:tcBorders>
          </w:tcPr>
          <w:p w14:paraId="2C1F6CDE" w14:textId="5C0ECA16" w:rsidR="00F90D06" w:rsidRDefault="00F90D06" w:rsidP="00F90D06">
            <w:pPr>
              <w:pStyle w:val="TableBullet"/>
              <w:numPr>
                <w:ilvl w:val="0"/>
                <w:numId w:val="0"/>
              </w:numPr>
              <w:ind w:right="142"/>
              <w:jc w:val="both"/>
            </w:pPr>
            <w:r>
              <w:t>Adept</w:t>
            </w:r>
          </w:p>
        </w:tc>
      </w:tr>
      <w:tr w:rsidR="00F90D06" w:rsidRPr="00C978B9" w14:paraId="6E72D00B" w14:textId="77777777" w:rsidTr="00F90D06">
        <w:trPr>
          <w:trHeight w:val="408"/>
        </w:trPr>
        <w:tc>
          <w:tcPr>
            <w:tcW w:w="1406" w:type="dxa"/>
            <w:vMerge w:val="restart"/>
            <w:tcBorders>
              <w:bottom w:val="single" w:sz="8" w:space="0" w:color="BCBEC0"/>
            </w:tcBorders>
          </w:tcPr>
          <w:p w14:paraId="173A2709" w14:textId="77777777" w:rsidR="00F90D06" w:rsidRPr="00C978B9" w:rsidRDefault="00F90D06" w:rsidP="00F90D06">
            <w:pPr>
              <w:keepNext/>
              <w:ind w:right="142"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E6EC914" wp14:editId="0B24E47A">
                  <wp:extent cx="854016" cy="854016"/>
                  <wp:effectExtent l="0" t="0" r="3810" b="3810"/>
                  <wp:docPr id="13" name="relationsh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tcBorders>
              <w:bottom w:val="single" w:sz="4" w:space="0" w:color="BCBEC0"/>
            </w:tcBorders>
          </w:tcPr>
          <w:p w14:paraId="11BBA25C" w14:textId="77777777" w:rsidR="00F90D06" w:rsidRPr="00A8226F" w:rsidRDefault="00F90D06" w:rsidP="00F90D06">
            <w:pPr>
              <w:pStyle w:val="TableText"/>
              <w:keepNext/>
              <w:ind w:right="142"/>
              <w:rPr>
                <w:b/>
              </w:rPr>
            </w:pPr>
            <w:r>
              <w:rPr>
                <w:b/>
              </w:rPr>
              <w:t>Communicate Effectively</w:t>
            </w:r>
          </w:p>
          <w:p w14:paraId="2CF845AF" w14:textId="665055FF" w:rsidR="00F90D06" w:rsidRPr="00AA57E3" w:rsidRDefault="00F90D06" w:rsidP="00F90D06">
            <w:pPr>
              <w:pStyle w:val="TableText"/>
              <w:keepNext/>
              <w:ind w:right="142"/>
            </w:pPr>
            <w:r>
              <w:t>Communicate clearly, actively listen to others, and respond with understanding and respect</w:t>
            </w:r>
          </w:p>
        </w:tc>
        <w:tc>
          <w:tcPr>
            <w:tcW w:w="4819" w:type="dxa"/>
            <w:tcBorders>
              <w:bottom w:val="single" w:sz="4" w:space="0" w:color="BCBEC0"/>
            </w:tcBorders>
          </w:tcPr>
          <w:p w14:paraId="330008C8" w14:textId="77777777" w:rsidR="00F90D06" w:rsidRDefault="00F90D06" w:rsidP="00F90D06">
            <w:pPr>
              <w:pStyle w:val="TableBullet"/>
              <w:ind w:right="142"/>
            </w:pPr>
            <w:r>
              <w:t>Tailor communication to diverse audiences</w:t>
            </w:r>
          </w:p>
          <w:p w14:paraId="235D9EC6" w14:textId="77777777" w:rsidR="00F90D06" w:rsidRDefault="00F90D06" w:rsidP="00F90D06">
            <w:pPr>
              <w:pStyle w:val="TableBullet"/>
              <w:ind w:right="142"/>
            </w:pPr>
            <w:r>
              <w:t>Clearly explain complex concepts and arguments to individuals and groups</w:t>
            </w:r>
          </w:p>
          <w:p w14:paraId="59A0DBA8" w14:textId="77777777" w:rsidR="00F90D06" w:rsidRDefault="00F90D06" w:rsidP="00F90D06">
            <w:pPr>
              <w:pStyle w:val="TableBullet"/>
              <w:ind w:right="142"/>
            </w:pPr>
            <w:r>
              <w:t xml:space="preserve">Create opportunities for others to be heard, listen </w:t>
            </w:r>
            <w:proofErr w:type="gramStart"/>
            <w:r>
              <w:t>attentively</w:t>
            </w:r>
            <w:proofErr w:type="gramEnd"/>
            <w:r>
              <w:t xml:space="preserve"> and encourage them to express their views</w:t>
            </w:r>
          </w:p>
          <w:p w14:paraId="0B17B20C" w14:textId="77777777" w:rsidR="00F90D06" w:rsidRDefault="00F90D06" w:rsidP="00F90D06">
            <w:pPr>
              <w:pStyle w:val="TableBullet"/>
              <w:ind w:right="142"/>
            </w:pPr>
            <w:r>
              <w:t xml:space="preserve">Share information across teams and units to enable informed decision making </w:t>
            </w:r>
          </w:p>
          <w:p w14:paraId="27162D0F" w14:textId="77777777" w:rsidR="00F90D06" w:rsidRDefault="00F90D06" w:rsidP="00F90D06">
            <w:pPr>
              <w:pStyle w:val="TableBullet"/>
              <w:ind w:right="142"/>
            </w:pPr>
            <w:r>
              <w:t>Write fluently in plain English and in a range of styles and formats</w:t>
            </w:r>
          </w:p>
          <w:p w14:paraId="4B961401" w14:textId="18CB62DB" w:rsidR="00F90D06" w:rsidRPr="00AA57E3" w:rsidRDefault="00F90D06" w:rsidP="00F90D06">
            <w:pPr>
              <w:pStyle w:val="TableBullet"/>
              <w:numPr>
                <w:ilvl w:val="0"/>
                <w:numId w:val="0"/>
              </w:numPr>
              <w:ind w:left="360" w:right="142" w:hanging="360"/>
            </w:pPr>
            <w:r>
              <w:t>Use contemporary communication channels to share information, engage and interact with diverse audiences</w:t>
            </w:r>
          </w:p>
        </w:tc>
        <w:tc>
          <w:tcPr>
            <w:tcW w:w="1559" w:type="dxa"/>
            <w:tcBorders>
              <w:bottom w:val="single" w:sz="4" w:space="0" w:color="BCBEC0"/>
            </w:tcBorders>
          </w:tcPr>
          <w:p w14:paraId="578A4480" w14:textId="4D9C2D32" w:rsidR="00F90D06" w:rsidRDefault="00F90D06" w:rsidP="00F90D06">
            <w:pPr>
              <w:pStyle w:val="TableBullet"/>
              <w:numPr>
                <w:ilvl w:val="0"/>
                <w:numId w:val="0"/>
              </w:numPr>
              <w:ind w:right="142"/>
              <w:jc w:val="both"/>
            </w:pPr>
            <w:r>
              <w:t>Adept</w:t>
            </w:r>
          </w:p>
        </w:tc>
      </w:tr>
      <w:tr w:rsidR="00F90D06" w:rsidRPr="00C978B9" w14:paraId="783F27D7" w14:textId="77777777" w:rsidTr="00F90D06">
        <w:trPr>
          <w:trHeight w:val="1276"/>
        </w:trPr>
        <w:tc>
          <w:tcPr>
            <w:tcW w:w="1406" w:type="dxa"/>
            <w:vMerge/>
            <w:tcBorders>
              <w:bottom w:val="single" w:sz="8" w:space="0" w:color="BCBEC0"/>
            </w:tcBorders>
          </w:tcPr>
          <w:p w14:paraId="45A42544" w14:textId="77777777" w:rsidR="00F90D06" w:rsidRPr="00C978B9" w:rsidRDefault="00F90D06" w:rsidP="00F90D06">
            <w:pPr>
              <w:keepNext/>
              <w:ind w:right="142"/>
              <w:rPr>
                <w:noProof/>
                <w:lang w:eastAsia="en-AU"/>
              </w:rPr>
            </w:pPr>
          </w:p>
        </w:tc>
        <w:tc>
          <w:tcPr>
            <w:tcW w:w="2989" w:type="dxa"/>
            <w:tcBorders>
              <w:bottom w:val="single" w:sz="4" w:space="0" w:color="BCBEC0"/>
            </w:tcBorders>
          </w:tcPr>
          <w:p w14:paraId="4705BD47" w14:textId="77777777" w:rsidR="00F90D06" w:rsidRPr="00A8226F" w:rsidRDefault="00F90D06" w:rsidP="00F90D06">
            <w:pPr>
              <w:pStyle w:val="TableText"/>
              <w:keepNext/>
              <w:ind w:right="142"/>
              <w:rPr>
                <w:b/>
              </w:rPr>
            </w:pPr>
            <w:r>
              <w:rPr>
                <w:b/>
              </w:rPr>
              <w:t>Work Collaboratively</w:t>
            </w:r>
          </w:p>
          <w:p w14:paraId="54AD267F" w14:textId="423B1540" w:rsidR="00F90D06" w:rsidRDefault="00F90D06" w:rsidP="00F90D06">
            <w:pPr>
              <w:pStyle w:val="TableText"/>
              <w:keepNext/>
              <w:ind w:right="142"/>
              <w:rPr>
                <w:b/>
              </w:rPr>
            </w:pPr>
            <w:r>
              <w:t>Collaborate with others and value their contribution</w:t>
            </w:r>
          </w:p>
        </w:tc>
        <w:tc>
          <w:tcPr>
            <w:tcW w:w="4819" w:type="dxa"/>
            <w:tcBorders>
              <w:bottom w:val="single" w:sz="4" w:space="0" w:color="BCBEC0"/>
            </w:tcBorders>
          </w:tcPr>
          <w:p w14:paraId="0ED98570" w14:textId="77777777" w:rsidR="00F90D06" w:rsidRDefault="00F90D06" w:rsidP="00F90D06">
            <w:pPr>
              <w:pStyle w:val="TableBullet"/>
              <w:ind w:right="142"/>
            </w:pPr>
            <w:r>
              <w:t>Build a supportive and cooperative team environment</w:t>
            </w:r>
          </w:p>
          <w:p w14:paraId="49E0DDCC" w14:textId="77777777" w:rsidR="00F90D06" w:rsidRDefault="00F90D06" w:rsidP="00F90D06">
            <w:pPr>
              <w:pStyle w:val="TableBullet"/>
              <w:ind w:right="142"/>
            </w:pPr>
            <w:r>
              <w:t>Share information and learning across teams</w:t>
            </w:r>
          </w:p>
          <w:p w14:paraId="52A9B938" w14:textId="77777777" w:rsidR="00F90D06" w:rsidRDefault="00F90D06" w:rsidP="00F90D06">
            <w:pPr>
              <w:pStyle w:val="TableBullet"/>
              <w:ind w:right="142"/>
            </w:pPr>
            <w:r>
              <w:t>Acknowledge outcomes that were achieved by effective collaboration</w:t>
            </w:r>
          </w:p>
          <w:p w14:paraId="54337894" w14:textId="77777777" w:rsidR="00F90D06" w:rsidRDefault="00F90D06" w:rsidP="00F90D06">
            <w:pPr>
              <w:pStyle w:val="TableBullet"/>
              <w:ind w:right="142"/>
            </w:pPr>
            <w:r>
              <w:t>Engage other teams and units to share information and jointly solve issues and problems</w:t>
            </w:r>
          </w:p>
          <w:p w14:paraId="55A59A6F" w14:textId="77777777" w:rsidR="00F90D06" w:rsidRDefault="00F90D06" w:rsidP="00F90D06">
            <w:pPr>
              <w:pStyle w:val="TableBullet"/>
              <w:ind w:right="142"/>
            </w:pPr>
            <w:r>
              <w:t>Support others in challenging situations</w:t>
            </w:r>
          </w:p>
          <w:p w14:paraId="15D3B11D" w14:textId="4D2277E7" w:rsidR="00F90D06" w:rsidRDefault="00F90D06" w:rsidP="00F90D06">
            <w:pPr>
              <w:pStyle w:val="TableBullet"/>
              <w:ind w:right="142"/>
            </w:pPr>
            <w:r>
              <w:t>Use collaboration tools, including digital technologies, to work with others</w:t>
            </w:r>
          </w:p>
        </w:tc>
        <w:tc>
          <w:tcPr>
            <w:tcW w:w="1559" w:type="dxa"/>
            <w:tcBorders>
              <w:bottom w:val="single" w:sz="4" w:space="0" w:color="BCBEC0"/>
            </w:tcBorders>
          </w:tcPr>
          <w:p w14:paraId="753E75EE" w14:textId="5449D3A3" w:rsidR="00F90D06" w:rsidRDefault="00F90D06" w:rsidP="00F90D06">
            <w:pPr>
              <w:pStyle w:val="TableBullet"/>
              <w:numPr>
                <w:ilvl w:val="0"/>
                <w:numId w:val="0"/>
              </w:numPr>
              <w:ind w:right="142"/>
              <w:jc w:val="both"/>
            </w:pPr>
            <w:r>
              <w:t>Intermediate</w:t>
            </w:r>
          </w:p>
        </w:tc>
      </w:tr>
      <w:tr w:rsidR="00F90D06" w:rsidRPr="00C978B9" w14:paraId="4F2B2D24" w14:textId="77777777" w:rsidTr="00F90D06">
        <w:tc>
          <w:tcPr>
            <w:tcW w:w="1406" w:type="dxa"/>
            <w:tcBorders>
              <w:top w:val="single" w:sz="8" w:space="0" w:color="BCBEC0"/>
              <w:bottom w:val="nil"/>
            </w:tcBorders>
          </w:tcPr>
          <w:p w14:paraId="651038A4" w14:textId="77777777" w:rsidR="00F90D06" w:rsidRPr="00C978B9" w:rsidRDefault="00F90D06" w:rsidP="00F90D06">
            <w:pPr>
              <w:keepNext/>
              <w:ind w:right="142"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15DD87D" wp14:editId="284707C8">
                  <wp:extent cx="854015" cy="854015"/>
                  <wp:effectExtent l="0" t="0" r="3810" b="3810"/>
                  <wp:docPr id="14" name="resul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tcBorders>
              <w:bottom w:val="nil"/>
            </w:tcBorders>
          </w:tcPr>
          <w:p w14:paraId="620D7E6D" w14:textId="77777777" w:rsidR="00F90D06" w:rsidRPr="00A8226F" w:rsidRDefault="00F90D06" w:rsidP="00F90D06">
            <w:pPr>
              <w:pStyle w:val="TableText"/>
              <w:keepNext/>
              <w:ind w:right="142"/>
              <w:rPr>
                <w:b/>
              </w:rPr>
            </w:pPr>
            <w:r>
              <w:rPr>
                <w:b/>
              </w:rPr>
              <w:t>Plan and Prioritise</w:t>
            </w:r>
          </w:p>
          <w:p w14:paraId="3A59DC7F" w14:textId="3AB7FCDB" w:rsidR="00F90D06" w:rsidRPr="00AA57E3" w:rsidRDefault="00F90D06" w:rsidP="00F90D06">
            <w:pPr>
              <w:pStyle w:val="TableText"/>
              <w:keepNext/>
              <w:ind w:right="142"/>
            </w:pPr>
            <w:r>
              <w:t>Plan to achieve priority outcomes and respond flexibly to changing circumstances</w:t>
            </w:r>
          </w:p>
        </w:tc>
        <w:tc>
          <w:tcPr>
            <w:tcW w:w="4819" w:type="dxa"/>
            <w:tcBorders>
              <w:bottom w:val="nil"/>
            </w:tcBorders>
          </w:tcPr>
          <w:p w14:paraId="3F6C2E8E" w14:textId="77777777" w:rsidR="00F90D06" w:rsidRDefault="00F90D06" w:rsidP="00F90D06">
            <w:pPr>
              <w:pStyle w:val="TableBullet"/>
              <w:ind w:right="142"/>
            </w:pPr>
            <w:r>
              <w:t>Understand the team and unit objectives and align operational activities accordingly</w:t>
            </w:r>
          </w:p>
          <w:p w14:paraId="3442E4FD" w14:textId="77777777" w:rsidR="00F90D06" w:rsidRDefault="00F90D06" w:rsidP="00F90D06">
            <w:pPr>
              <w:pStyle w:val="TableBullet"/>
              <w:ind w:right="142"/>
            </w:pPr>
            <w:r>
              <w:t>Initiate and develop team goals and plans, and use feedback to inform future planning</w:t>
            </w:r>
          </w:p>
          <w:p w14:paraId="05578ADE" w14:textId="77777777" w:rsidR="00F90D06" w:rsidRDefault="00F90D06" w:rsidP="00F90D06">
            <w:pPr>
              <w:pStyle w:val="TableBullet"/>
              <w:ind w:right="142"/>
            </w:pPr>
            <w:r>
              <w:t>Respond proactively to changing circumstances and adjust plans and schedules when necessary</w:t>
            </w:r>
          </w:p>
          <w:p w14:paraId="0A7708AB" w14:textId="77777777" w:rsidR="00F90D06" w:rsidRDefault="00F90D06" w:rsidP="00F90D06">
            <w:pPr>
              <w:pStyle w:val="TableBullet"/>
              <w:ind w:right="142"/>
            </w:pPr>
            <w:r>
              <w:t>Consider the implications of immediate and longer-term organisational issues and how these might affect the achievement of team and unit goals</w:t>
            </w:r>
          </w:p>
          <w:p w14:paraId="246CC3B6" w14:textId="13944D6F" w:rsidR="00F90D06" w:rsidRPr="00AA57E3" w:rsidRDefault="00F90D06" w:rsidP="00F90D06">
            <w:pPr>
              <w:pStyle w:val="TableBullet"/>
              <w:numPr>
                <w:ilvl w:val="0"/>
                <w:numId w:val="0"/>
              </w:numPr>
              <w:ind w:left="360" w:right="142"/>
            </w:pPr>
            <w:r>
              <w:t>Accommodate and respond with initiative to changing priorities and operating environments</w:t>
            </w:r>
          </w:p>
        </w:tc>
        <w:tc>
          <w:tcPr>
            <w:tcW w:w="1559" w:type="dxa"/>
            <w:tcBorders>
              <w:bottom w:val="nil"/>
            </w:tcBorders>
          </w:tcPr>
          <w:p w14:paraId="7B9CF335" w14:textId="3B6B4F7A" w:rsidR="00F90D06" w:rsidRDefault="00F90D06" w:rsidP="00F90D06">
            <w:pPr>
              <w:pStyle w:val="TableBullet"/>
              <w:numPr>
                <w:ilvl w:val="0"/>
                <w:numId w:val="0"/>
              </w:numPr>
              <w:ind w:right="142"/>
              <w:jc w:val="both"/>
            </w:pPr>
            <w:r>
              <w:t>Intermediate</w:t>
            </w:r>
          </w:p>
        </w:tc>
      </w:tr>
      <w:tr w:rsidR="00F90D06" w:rsidRPr="00C978B9" w14:paraId="78C3BD07" w14:textId="77777777" w:rsidTr="00F90D06">
        <w:tc>
          <w:tcPr>
            <w:tcW w:w="1406" w:type="dxa"/>
            <w:tcBorders>
              <w:top w:val="nil"/>
              <w:bottom w:val="nil"/>
            </w:tcBorders>
          </w:tcPr>
          <w:p w14:paraId="5A0B87AA" w14:textId="77777777" w:rsidR="00F90D06" w:rsidRPr="00C978B9" w:rsidRDefault="00F90D06" w:rsidP="00F90D06">
            <w:pPr>
              <w:keepNext/>
              <w:ind w:right="142"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8024B5D" wp14:editId="1B12021C">
                  <wp:extent cx="845388" cy="845388"/>
                  <wp:effectExtent l="0" t="0" r="0" b="0"/>
                  <wp:docPr id="1" name="business-enabl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14:paraId="036BB163" w14:textId="77777777" w:rsidR="00F90D06" w:rsidRPr="00A8226F" w:rsidRDefault="00F90D06" w:rsidP="00F90D06">
            <w:pPr>
              <w:pStyle w:val="TableText"/>
              <w:keepNext/>
              <w:ind w:right="142"/>
              <w:rPr>
                <w:b/>
              </w:rPr>
            </w:pPr>
            <w:r>
              <w:rPr>
                <w:b/>
              </w:rPr>
              <w:t>Project Management</w:t>
            </w:r>
          </w:p>
          <w:p w14:paraId="07606A97" w14:textId="5580CEF3" w:rsidR="00F90D06" w:rsidRPr="00AA57E3" w:rsidRDefault="00F90D06" w:rsidP="00F90D06">
            <w:pPr>
              <w:pStyle w:val="TableText"/>
              <w:keepNext/>
              <w:ind w:right="142"/>
            </w:pPr>
            <w:r>
              <w:t xml:space="preserve">Understand and apply effective planning, </w:t>
            </w:r>
            <w:proofErr w:type="gramStart"/>
            <w:r>
              <w:t>coordination</w:t>
            </w:r>
            <w:proofErr w:type="gramEnd"/>
            <w:r>
              <w:t xml:space="preserve"> and control methods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9901727" w14:textId="77777777" w:rsidR="00F90D06" w:rsidRDefault="00F90D06" w:rsidP="00F90D06">
            <w:pPr>
              <w:pStyle w:val="TableBullet"/>
              <w:ind w:right="142"/>
            </w:pPr>
            <w:r>
              <w:t>Perform basic research and analysis to inform and support the achievement of project deliverables</w:t>
            </w:r>
          </w:p>
          <w:p w14:paraId="37D509B6" w14:textId="77777777" w:rsidR="00F90D06" w:rsidRDefault="00F90D06" w:rsidP="00F90D06">
            <w:pPr>
              <w:pStyle w:val="TableBullet"/>
              <w:ind w:right="142"/>
            </w:pPr>
            <w:r>
              <w:t>Contribute to developing project documentation and resource estimates</w:t>
            </w:r>
          </w:p>
          <w:p w14:paraId="02E25D18" w14:textId="77777777" w:rsidR="00F90D06" w:rsidRDefault="00F90D06" w:rsidP="00F90D06">
            <w:pPr>
              <w:pStyle w:val="TableBullet"/>
              <w:ind w:right="142"/>
            </w:pPr>
            <w:r>
              <w:t xml:space="preserve">Contribute to reviews of progress, </w:t>
            </w:r>
            <w:proofErr w:type="gramStart"/>
            <w:r>
              <w:t>outcomes</w:t>
            </w:r>
            <w:proofErr w:type="gramEnd"/>
            <w:r>
              <w:t xml:space="preserve"> and future improvements</w:t>
            </w:r>
          </w:p>
          <w:p w14:paraId="18E5D090" w14:textId="411A0A41" w:rsidR="00F90D06" w:rsidRPr="00AA57E3" w:rsidRDefault="00F90D06" w:rsidP="00F90D06">
            <w:pPr>
              <w:pStyle w:val="TableBullet"/>
              <w:numPr>
                <w:ilvl w:val="0"/>
                <w:numId w:val="0"/>
              </w:numPr>
              <w:ind w:left="360" w:right="142"/>
            </w:pPr>
            <w:r>
              <w:t>Identify and escalate possible variances from project plans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37EF682" w14:textId="1F0843B9" w:rsidR="00F90D06" w:rsidRDefault="00F90D06" w:rsidP="00F90D06">
            <w:pPr>
              <w:pStyle w:val="TableBullet"/>
              <w:numPr>
                <w:ilvl w:val="0"/>
                <w:numId w:val="0"/>
              </w:numPr>
              <w:ind w:right="142"/>
              <w:jc w:val="both"/>
            </w:pPr>
            <w:r>
              <w:t>Intermediate</w:t>
            </w:r>
          </w:p>
        </w:tc>
      </w:tr>
    </w:tbl>
    <w:p w14:paraId="5E37870C" w14:textId="1344C582" w:rsidR="00CC2175" w:rsidRDefault="00CC2175" w:rsidP="003927AE"/>
    <w:p w14:paraId="75882012" w14:textId="04F413AE" w:rsidR="00F90D06" w:rsidRDefault="00F90D06" w:rsidP="003927AE">
      <w:pPr>
        <w:pStyle w:val="Heading1"/>
      </w:pPr>
    </w:p>
    <w:p w14:paraId="22A3AD3D" w14:textId="7C39CB62" w:rsidR="00B544ED" w:rsidRDefault="00B544ED" w:rsidP="00B544ED">
      <w:pPr>
        <w:rPr>
          <w:lang w:val="en-AU"/>
        </w:rPr>
      </w:pPr>
    </w:p>
    <w:p w14:paraId="503C60B7" w14:textId="37573EE6" w:rsidR="00B544ED" w:rsidRDefault="00B544ED" w:rsidP="00B544ED">
      <w:pPr>
        <w:rPr>
          <w:lang w:val="en-AU"/>
        </w:rPr>
      </w:pPr>
    </w:p>
    <w:p w14:paraId="2914BF0B" w14:textId="1BF1D966" w:rsidR="00B544ED" w:rsidRDefault="00B544ED" w:rsidP="00B544ED">
      <w:pPr>
        <w:rPr>
          <w:lang w:val="en-AU"/>
        </w:rPr>
      </w:pPr>
    </w:p>
    <w:p w14:paraId="282DCDB6" w14:textId="003986AE" w:rsidR="00B544ED" w:rsidRDefault="00B544ED" w:rsidP="00B544ED">
      <w:pPr>
        <w:rPr>
          <w:lang w:val="en-AU"/>
        </w:rPr>
      </w:pPr>
    </w:p>
    <w:p w14:paraId="39F0603B" w14:textId="55A898EA" w:rsidR="00B544ED" w:rsidRDefault="00B544ED" w:rsidP="00B544ED">
      <w:pPr>
        <w:rPr>
          <w:lang w:val="en-AU"/>
        </w:rPr>
      </w:pPr>
    </w:p>
    <w:p w14:paraId="3FFF3D4C" w14:textId="3DDF62DA" w:rsidR="00B544ED" w:rsidRDefault="00B544ED" w:rsidP="00B544ED">
      <w:pPr>
        <w:rPr>
          <w:lang w:val="en-AU"/>
        </w:rPr>
      </w:pPr>
    </w:p>
    <w:p w14:paraId="3DE021A8" w14:textId="3AE44357" w:rsidR="00B544ED" w:rsidRDefault="00B544ED" w:rsidP="00B544ED">
      <w:pPr>
        <w:rPr>
          <w:lang w:val="en-AU"/>
        </w:rPr>
      </w:pPr>
    </w:p>
    <w:p w14:paraId="61F8441C" w14:textId="0C59C868" w:rsidR="00B6405F" w:rsidRDefault="00B6405F" w:rsidP="00B544ED">
      <w:pPr>
        <w:rPr>
          <w:lang w:val="en-AU"/>
        </w:rPr>
      </w:pPr>
    </w:p>
    <w:p w14:paraId="6B69F646" w14:textId="5B19D9FB" w:rsidR="00B6405F" w:rsidRDefault="00B6405F" w:rsidP="00B544ED">
      <w:pPr>
        <w:rPr>
          <w:lang w:val="en-AU"/>
        </w:rPr>
      </w:pPr>
    </w:p>
    <w:p w14:paraId="09CC6A72" w14:textId="021C5F59" w:rsidR="00B6405F" w:rsidRDefault="00B6405F" w:rsidP="00B544ED">
      <w:pPr>
        <w:rPr>
          <w:lang w:val="en-AU"/>
        </w:rPr>
      </w:pPr>
    </w:p>
    <w:p w14:paraId="15829B32" w14:textId="4E889A0B" w:rsidR="00B6405F" w:rsidRDefault="00B6405F" w:rsidP="00B544ED">
      <w:pPr>
        <w:rPr>
          <w:lang w:val="en-AU"/>
        </w:rPr>
      </w:pPr>
    </w:p>
    <w:p w14:paraId="698A7069" w14:textId="7F0752DE" w:rsidR="00B6405F" w:rsidRDefault="00B6405F" w:rsidP="00B544ED">
      <w:pPr>
        <w:rPr>
          <w:lang w:val="en-AU"/>
        </w:rPr>
      </w:pPr>
    </w:p>
    <w:p w14:paraId="57030FF9" w14:textId="2B88B114" w:rsidR="00B6405F" w:rsidRDefault="00B6405F" w:rsidP="00B544ED">
      <w:pPr>
        <w:rPr>
          <w:lang w:val="en-AU"/>
        </w:rPr>
      </w:pPr>
    </w:p>
    <w:p w14:paraId="35FE1C24" w14:textId="708A5CAE" w:rsidR="00B6405F" w:rsidRDefault="00B6405F" w:rsidP="00B544ED">
      <w:pPr>
        <w:rPr>
          <w:lang w:val="en-AU"/>
        </w:rPr>
      </w:pPr>
    </w:p>
    <w:p w14:paraId="0712639E" w14:textId="67846728" w:rsidR="00B6405F" w:rsidRDefault="00B6405F" w:rsidP="00B544ED">
      <w:pPr>
        <w:rPr>
          <w:lang w:val="en-AU"/>
        </w:rPr>
      </w:pPr>
    </w:p>
    <w:p w14:paraId="5D7663AA" w14:textId="21DA4D72" w:rsidR="00B6405F" w:rsidRDefault="00B6405F" w:rsidP="00B544ED">
      <w:pPr>
        <w:rPr>
          <w:lang w:val="en-AU"/>
        </w:rPr>
      </w:pPr>
    </w:p>
    <w:p w14:paraId="4ED9DC57" w14:textId="16E6CBDA" w:rsidR="00B6405F" w:rsidRDefault="00B6405F" w:rsidP="00B544ED">
      <w:pPr>
        <w:rPr>
          <w:lang w:val="en-AU"/>
        </w:rPr>
      </w:pPr>
    </w:p>
    <w:p w14:paraId="2F27204B" w14:textId="77777777" w:rsidR="00B6405F" w:rsidRPr="00B544ED" w:rsidRDefault="00B6405F" w:rsidP="00B544ED">
      <w:pPr>
        <w:rPr>
          <w:lang w:val="en-AU"/>
        </w:rPr>
      </w:pPr>
    </w:p>
    <w:p w14:paraId="569B6700" w14:textId="029DA9CF" w:rsidR="003927AE" w:rsidRDefault="003927AE" w:rsidP="003927AE">
      <w:pPr>
        <w:pStyle w:val="Heading1"/>
      </w:pPr>
      <w:r>
        <w:t>Complementary capabilities</w:t>
      </w:r>
    </w:p>
    <w:p w14:paraId="22CB5CF8" w14:textId="77777777"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6EBA5422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7D3A8579" w14:textId="77777777"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7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349"/>
        <w:gridCol w:w="2881"/>
        <w:gridCol w:w="90"/>
        <w:gridCol w:w="4770"/>
        <w:gridCol w:w="1683"/>
      </w:tblGrid>
      <w:tr w:rsidR="002B5704" w:rsidRPr="00803E47" w14:paraId="55ABC7FD" w14:textId="77777777" w:rsidTr="00997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73" w:type="dxa"/>
            <w:gridSpan w:val="5"/>
          </w:tcPr>
          <w:p w14:paraId="491F6D2A" w14:textId="77777777" w:rsidR="002B5704" w:rsidRPr="00803E47" w:rsidRDefault="002B5704" w:rsidP="006657CF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5C0A16" w:rsidRPr="00C978B9" w14:paraId="616D95F8" w14:textId="77777777" w:rsidTr="00997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49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660B7088" w14:textId="77777777" w:rsidR="005C0A16" w:rsidRPr="00C978B9" w:rsidRDefault="005C0A16" w:rsidP="006657CF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5FE8F1EA" w14:textId="77777777" w:rsidR="005C0A16" w:rsidRPr="00C978B9" w:rsidRDefault="005C0A16" w:rsidP="006657CF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0695760D" w14:textId="77777777" w:rsidR="005C0A16" w:rsidRDefault="005C0A16" w:rsidP="006657CF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2EDE949C" w14:textId="77777777" w:rsidR="005C0A16" w:rsidRDefault="005C0A16" w:rsidP="006657CF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BCBEC0"/>
          </w:tcPr>
          <w:p w14:paraId="2BF7EDE1" w14:textId="77777777" w:rsidR="005C0A16" w:rsidRDefault="005C0A16" w:rsidP="006657CF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855730" w:rsidRPr="00C978B9" w14:paraId="1CD7CD49" w14:textId="77777777" w:rsidTr="00997DB9">
        <w:trPr>
          <w:trHeight w:val="657"/>
        </w:trPr>
        <w:tc>
          <w:tcPr>
            <w:tcW w:w="1349" w:type="dxa"/>
            <w:vMerge w:val="restart"/>
            <w:tcBorders>
              <w:top w:val="single" w:sz="12" w:space="0" w:color="auto"/>
            </w:tcBorders>
          </w:tcPr>
          <w:p w14:paraId="41B9DC6A" w14:textId="19D42455" w:rsidR="00855730" w:rsidRDefault="00855730" w:rsidP="00855730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A829835" wp14:editId="7F162675">
                  <wp:extent cx="848995" cy="848995"/>
                  <wp:effectExtent l="0" t="0" r="8255" b="8255"/>
                  <wp:docPr id="5" name="personal-attribu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bottom w:val="nil"/>
            </w:tcBorders>
          </w:tcPr>
          <w:p w14:paraId="12499698" w14:textId="5458FE50" w:rsidR="00855730" w:rsidRDefault="00855730" w:rsidP="00350C72">
            <w:pPr>
              <w:spacing w:line="276" w:lineRule="auto"/>
            </w:pPr>
            <w:r>
              <w:t>Display Resilience and Courage</w:t>
            </w:r>
          </w:p>
        </w:tc>
        <w:tc>
          <w:tcPr>
            <w:tcW w:w="4770" w:type="dxa"/>
            <w:tcBorders>
              <w:top w:val="single" w:sz="12" w:space="0" w:color="auto"/>
              <w:bottom w:val="nil"/>
            </w:tcBorders>
          </w:tcPr>
          <w:p w14:paraId="2C22EEA8" w14:textId="75211375" w:rsidR="00855730" w:rsidRDefault="00855730" w:rsidP="00350C72">
            <w:pPr>
              <w:spacing w:line="276" w:lineRule="auto"/>
            </w:pPr>
            <w:r>
              <w:t>Be open and honest, prepared to express your views, and willing to accept and commit to change</w:t>
            </w:r>
          </w:p>
        </w:tc>
        <w:tc>
          <w:tcPr>
            <w:tcW w:w="1683" w:type="dxa"/>
            <w:tcBorders>
              <w:top w:val="single" w:sz="12" w:space="0" w:color="auto"/>
              <w:bottom w:val="nil"/>
            </w:tcBorders>
          </w:tcPr>
          <w:p w14:paraId="532A67AA" w14:textId="5D3EC3AB" w:rsidR="00855730" w:rsidRDefault="00855730" w:rsidP="00350C72">
            <w:pPr>
              <w:pStyle w:val="TableBullet"/>
              <w:numPr>
                <w:ilvl w:val="0"/>
                <w:numId w:val="0"/>
              </w:numPr>
              <w:spacing w:line="276" w:lineRule="auto"/>
              <w:jc w:val="both"/>
            </w:pPr>
            <w:r w:rsidRPr="004C0336">
              <w:t>Intermediate</w:t>
            </w:r>
          </w:p>
        </w:tc>
      </w:tr>
      <w:tr w:rsidR="00855730" w:rsidRPr="00C978B9" w14:paraId="2D597CB8" w14:textId="77777777" w:rsidTr="00350C72">
        <w:trPr>
          <w:trHeight w:val="677"/>
        </w:trPr>
        <w:tc>
          <w:tcPr>
            <w:tcW w:w="1349" w:type="dxa"/>
            <w:vMerge/>
          </w:tcPr>
          <w:p w14:paraId="635398BD" w14:textId="77777777" w:rsidR="00855730" w:rsidRDefault="00855730" w:rsidP="00855730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top w:val="nil"/>
              <w:bottom w:val="nil"/>
            </w:tcBorders>
          </w:tcPr>
          <w:p w14:paraId="19178013" w14:textId="77777777" w:rsidR="00855730" w:rsidRPr="00A8226F" w:rsidRDefault="00855730" w:rsidP="00350C72">
            <w:pPr>
              <w:spacing w:line="276" w:lineRule="auto"/>
            </w:pPr>
            <w:r>
              <w:t>Manage Self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14:paraId="35992495" w14:textId="77777777" w:rsidR="00855730" w:rsidRDefault="00855730" w:rsidP="00350C72">
            <w:pPr>
              <w:spacing w:line="276" w:lineRule="auto"/>
            </w:pPr>
            <w:r>
              <w:t>Show drive and motivation, an ability to self-reflect and a commitment to learning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14:paraId="4F1D2D23" w14:textId="3124D7E4" w:rsidR="00855730" w:rsidRDefault="00855730" w:rsidP="00350C72">
            <w:pPr>
              <w:pStyle w:val="TableBullet"/>
              <w:numPr>
                <w:ilvl w:val="0"/>
                <w:numId w:val="0"/>
              </w:numPr>
              <w:spacing w:line="276" w:lineRule="auto"/>
              <w:jc w:val="both"/>
            </w:pPr>
            <w:r>
              <w:t xml:space="preserve">Adept </w:t>
            </w:r>
          </w:p>
        </w:tc>
      </w:tr>
      <w:tr w:rsidR="00855730" w:rsidRPr="00C978B9" w14:paraId="68974E86" w14:textId="77777777" w:rsidTr="00350C72">
        <w:tc>
          <w:tcPr>
            <w:tcW w:w="1349" w:type="dxa"/>
            <w:vMerge/>
            <w:tcBorders>
              <w:bottom w:val="single" w:sz="4" w:space="0" w:color="BCBEC0"/>
            </w:tcBorders>
          </w:tcPr>
          <w:p w14:paraId="5D1272FD" w14:textId="77777777" w:rsidR="00855730" w:rsidRDefault="00855730" w:rsidP="00855730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top w:val="nil"/>
              <w:bottom w:val="nil"/>
            </w:tcBorders>
          </w:tcPr>
          <w:p w14:paraId="27D22D14" w14:textId="77777777" w:rsidR="00855730" w:rsidRPr="00A8226F" w:rsidRDefault="00855730" w:rsidP="00350C72">
            <w:pPr>
              <w:spacing w:line="276" w:lineRule="auto"/>
            </w:pPr>
            <w:r>
              <w:t>Value Diversity and Inclusion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14:paraId="45181196" w14:textId="77777777" w:rsidR="00855730" w:rsidRDefault="00855730" w:rsidP="00350C72">
            <w:pPr>
              <w:spacing w:line="276" w:lineRule="auto"/>
            </w:pPr>
            <w:r>
              <w:t xml:space="preserve">Demonstrate inclusive behaviour and show respect for diverse backgrounds, </w:t>
            </w:r>
            <w:proofErr w:type="gramStart"/>
            <w:r>
              <w:t>experiences</w:t>
            </w:r>
            <w:proofErr w:type="gramEnd"/>
            <w:r>
              <w:t xml:space="preserve"> and perspectives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14:paraId="47677F9C" w14:textId="248996AE" w:rsidR="00855730" w:rsidRDefault="00855730" w:rsidP="00350C72">
            <w:pPr>
              <w:pStyle w:val="TableBullet"/>
              <w:numPr>
                <w:ilvl w:val="0"/>
                <w:numId w:val="0"/>
              </w:numPr>
              <w:spacing w:line="276" w:lineRule="auto"/>
              <w:jc w:val="both"/>
            </w:pPr>
            <w:r>
              <w:t>Foundational</w:t>
            </w:r>
          </w:p>
        </w:tc>
      </w:tr>
      <w:tr w:rsidR="00350C72" w:rsidRPr="00C978B9" w14:paraId="55E9DB9E" w14:textId="77777777" w:rsidTr="00350C72">
        <w:trPr>
          <w:trHeight w:val="742"/>
        </w:trPr>
        <w:tc>
          <w:tcPr>
            <w:tcW w:w="1349" w:type="dxa"/>
            <w:vMerge w:val="restart"/>
          </w:tcPr>
          <w:p w14:paraId="105B9C62" w14:textId="0054D910" w:rsidR="00350C72" w:rsidRDefault="00350C72" w:rsidP="00350C72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217FDDF" wp14:editId="7D7343A7">
                  <wp:extent cx="854016" cy="854016"/>
                  <wp:effectExtent l="0" t="0" r="3810" b="3810"/>
                  <wp:docPr id="9" name="relationsh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top w:val="nil"/>
              <w:bottom w:val="nil"/>
            </w:tcBorders>
          </w:tcPr>
          <w:p w14:paraId="258B04F7" w14:textId="3E37B9CE" w:rsidR="00350C72" w:rsidRPr="00855730" w:rsidRDefault="00350C72" w:rsidP="00350C72">
            <w:pPr>
              <w:spacing w:line="276" w:lineRule="auto"/>
              <w:rPr>
                <w:b/>
                <w:bCs/>
              </w:rPr>
            </w:pPr>
            <w:r>
              <w:t>Commit to Customer Service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14:paraId="614A3565" w14:textId="7CB36BBF" w:rsidR="00350C72" w:rsidRPr="00855730" w:rsidRDefault="00350C72" w:rsidP="00350C72">
            <w:pPr>
              <w:spacing w:line="276" w:lineRule="auto"/>
              <w:rPr>
                <w:b/>
                <w:bCs/>
              </w:rPr>
            </w:pPr>
            <w:r>
              <w:t>Provide customer-focused services in line with public sector and organisational objectives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14:paraId="76EF5056" w14:textId="5BF66A60" w:rsidR="00350C72" w:rsidRPr="00855730" w:rsidRDefault="00350C72" w:rsidP="00350C72">
            <w:pPr>
              <w:pStyle w:val="TableBullet"/>
              <w:numPr>
                <w:ilvl w:val="0"/>
                <w:numId w:val="0"/>
              </w:numPr>
              <w:spacing w:line="276" w:lineRule="auto"/>
              <w:jc w:val="both"/>
              <w:rPr>
                <w:b/>
                <w:bCs/>
              </w:rPr>
            </w:pPr>
            <w:r>
              <w:t>Intermediate</w:t>
            </w:r>
          </w:p>
        </w:tc>
      </w:tr>
      <w:tr w:rsidR="00855730" w:rsidRPr="00C978B9" w14:paraId="508B1CF7" w14:textId="77777777" w:rsidTr="00350C72">
        <w:trPr>
          <w:trHeight w:val="681"/>
        </w:trPr>
        <w:tc>
          <w:tcPr>
            <w:tcW w:w="1349" w:type="dxa"/>
            <w:vMerge/>
            <w:tcBorders>
              <w:bottom w:val="single" w:sz="4" w:space="0" w:color="BCBEC0"/>
            </w:tcBorders>
          </w:tcPr>
          <w:p w14:paraId="20390F50" w14:textId="77777777" w:rsidR="00855730" w:rsidRDefault="00855730" w:rsidP="00855730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top w:val="nil"/>
              <w:bottom w:val="nil"/>
            </w:tcBorders>
          </w:tcPr>
          <w:p w14:paraId="480D3B11" w14:textId="77777777" w:rsidR="00855730" w:rsidRPr="00A8226F" w:rsidRDefault="00855730" w:rsidP="00350C72">
            <w:pPr>
              <w:spacing w:line="276" w:lineRule="auto"/>
            </w:pPr>
            <w:r>
              <w:t xml:space="preserve">Influence and </w:t>
            </w:r>
            <w:proofErr w:type="gramStart"/>
            <w:r>
              <w:t>Negotiate</w:t>
            </w:r>
            <w:proofErr w:type="gramEnd"/>
          </w:p>
        </w:tc>
        <w:tc>
          <w:tcPr>
            <w:tcW w:w="4770" w:type="dxa"/>
            <w:tcBorders>
              <w:top w:val="nil"/>
              <w:bottom w:val="nil"/>
            </w:tcBorders>
          </w:tcPr>
          <w:p w14:paraId="3E9FCE32" w14:textId="77777777" w:rsidR="00855730" w:rsidRDefault="00855730" w:rsidP="00350C72">
            <w:pPr>
              <w:spacing w:line="276" w:lineRule="auto"/>
            </w:pPr>
            <w:r>
              <w:t>Gain consensus and commitment from others, and resolve issues and conflicts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14:paraId="13B637E6" w14:textId="28F67882" w:rsidR="00855730" w:rsidRDefault="00855730" w:rsidP="00350C72">
            <w:pPr>
              <w:pStyle w:val="TableBullet"/>
              <w:numPr>
                <w:ilvl w:val="0"/>
                <w:numId w:val="0"/>
              </w:numPr>
              <w:spacing w:line="276" w:lineRule="auto"/>
              <w:jc w:val="both"/>
            </w:pPr>
            <w:r w:rsidRPr="00E62DE5">
              <w:t>Intermediate</w:t>
            </w:r>
          </w:p>
        </w:tc>
      </w:tr>
      <w:tr w:rsidR="00855730" w:rsidRPr="00C978B9" w14:paraId="46BEADBE" w14:textId="77777777" w:rsidTr="00350C72">
        <w:trPr>
          <w:trHeight w:val="691"/>
        </w:trPr>
        <w:tc>
          <w:tcPr>
            <w:tcW w:w="1349" w:type="dxa"/>
            <w:vMerge w:val="restart"/>
          </w:tcPr>
          <w:p w14:paraId="4FBD4160" w14:textId="2CFA3DDF" w:rsidR="00855730" w:rsidRDefault="00855730" w:rsidP="00855730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17245DAB" wp14:editId="692A31CD">
                  <wp:extent cx="854015" cy="854015"/>
                  <wp:effectExtent l="0" t="0" r="3810" b="3810"/>
                  <wp:docPr id="10" name="resul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top w:val="nil"/>
              <w:bottom w:val="nil"/>
            </w:tcBorders>
          </w:tcPr>
          <w:p w14:paraId="2A81E913" w14:textId="156FDCD0" w:rsidR="00855730" w:rsidRDefault="00855730" w:rsidP="00350C72">
            <w:pPr>
              <w:spacing w:line="276" w:lineRule="auto"/>
            </w:pPr>
            <w:r>
              <w:t>Deliver Results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14:paraId="54D758A4" w14:textId="7F76DC45" w:rsidR="00855730" w:rsidRDefault="00855730" w:rsidP="00350C72">
            <w:pPr>
              <w:spacing w:line="276" w:lineRule="auto"/>
            </w:pPr>
            <w:r>
              <w:t>Achieve results through the efficient use of resources and a commitment to quality outcomes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14:paraId="64706424" w14:textId="666C662E" w:rsidR="00855730" w:rsidRDefault="00855730" w:rsidP="00350C72">
            <w:pPr>
              <w:pStyle w:val="TableBullet"/>
              <w:numPr>
                <w:ilvl w:val="0"/>
                <w:numId w:val="0"/>
              </w:numPr>
              <w:spacing w:line="276" w:lineRule="auto"/>
              <w:jc w:val="both"/>
            </w:pPr>
            <w:r>
              <w:t>Intermediate</w:t>
            </w:r>
          </w:p>
        </w:tc>
      </w:tr>
      <w:tr w:rsidR="00855730" w:rsidRPr="00C978B9" w14:paraId="01DFBB1F" w14:textId="77777777" w:rsidTr="00350C72">
        <w:trPr>
          <w:trHeight w:val="688"/>
        </w:trPr>
        <w:tc>
          <w:tcPr>
            <w:tcW w:w="1349" w:type="dxa"/>
            <w:vMerge/>
          </w:tcPr>
          <w:p w14:paraId="37AE085E" w14:textId="77777777" w:rsidR="00855730" w:rsidRDefault="00855730" w:rsidP="00855730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top w:val="nil"/>
              <w:bottom w:val="nil"/>
            </w:tcBorders>
          </w:tcPr>
          <w:p w14:paraId="2A83D1EB" w14:textId="77777777" w:rsidR="00855730" w:rsidRPr="00A8226F" w:rsidRDefault="00855730" w:rsidP="00350C72">
            <w:pPr>
              <w:spacing w:line="276" w:lineRule="auto"/>
            </w:pPr>
            <w:r>
              <w:t>Think and Solve Problems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14:paraId="1E19010F" w14:textId="77777777" w:rsidR="00855730" w:rsidRDefault="00855730" w:rsidP="00350C72">
            <w:pPr>
              <w:spacing w:line="276" w:lineRule="auto"/>
            </w:pPr>
            <w:r>
              <w:t xml:space="preserve">Think, </w:t>
            </w:r>
            <w:proofErr w:type="gramStart"/>
            <w:r>
              <w:t>analyse</w:t>
            </w:r>
            <w:proofErr w:type="gramEnd"/>
            <w:r>
              <w:t xml:space="preserve"> and consider the broader context to develop practical solutions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14:paraId="404A6A60" w14:textId="72AF420F" w:rsidR="00855730" w:rsidRDefault="00855730" w:rsidP="00350C72">
            <w:pPr>
              <w:pStyle w:val="TableBullet"/>
              <w:numPr>
                <w:ilvl w:val="0"/>
                <w:numId w:val="0"/>
              </w:numPr>
              <w:spacing w:line="276" w:lineRule="auto"/>
              <w:jc w:val="both"/>
            </w:pPr>
            <w:r>
              <w:t>Adept</w:t>
            </w:r>
          </w:p>
        </w:tc>
      </w:tr>
      <w:tr w:rsidR="00855730" w:rsidRPr="00C978B9" w14:paraId="2C345959" w14:textId="77777777" w:rsidTr="00350C72">
        <w:trPr>
          <w:trHeight w:val="684"/>
        </w:trPr>
        <w:tc>
          <w:tcPr>
            <w:tcW w:w="1349" w:type="dxa"/>
            <w:vMerge/>
            <w:tcBorders>
              <w:bottom w:val="single" w:sz="4" w:space="0" w:color="BCBEC0"/>
            </w:tcBorders>
          </w:tcPr>
          <w:p w14:paraId="7F1A4A5B" w14:textId="77777777" w:rsidR="00855730" w:rsidRDefault="00855730" w:rsidP="00855730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top w:val="nil"/>
              <w:bottom w:val="nil"/>
            </w:tcBorders>
          </w:tcPr>
          <w:p w14:paraId="2EA38ACF" w14:textId="77777777" w:rsidR="00855730" w:rsidRPr="00A8226F" w:rsidRDefault="00855730" w:rsidP="00350C72">
            <w:pPr>
              <w:spacing w:line="276" w:lineRule="auto"/>
            </w:pPr>
            <w:r>
              <w:t>Demonstrate Accountability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14:paraId="5310FA72" w14:textId="77777777" w:rsidR="00855730" w:rsidRDefault="00855730" w:rsidP="00350C72">
            <w:pPr>
              <w:spacing w:line="276" w:lineRule="auto"/>
            </w:pPr>
            <w:r>
              <w:t xml:space="preserve">Be proactive and responsible for own actions, and adhere to legislation, </w:t>
            </w:r>
            <w:proofErr w:type="gramStart"/>
            <w:r>
              <w:t>policy</w:t>
            </w:r>
            <w:proofErr w:type="gramEnd"/>
            <w:r>
              <w:t xml:space="preserve"> and guidelines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14:paraId="4D64B9AF" w14:textId="5D760ED5" w:rsidR="00855730" w:rsidRDefault="00855730" w:rsidP="00350C72">
            <w:pPr>
              <w:pStyle w:val="TableBullet"/>
              <w:numPr>
                <w:ilvl w:val="0"/>
                <w:numId w:val="0"/>
              </w:numPr>
              <w:spacing w:line="276" w:lineRule="auto"/>
              <w:jc w:val="both"/>
            </w:pPr>
            <w:r>
              <w:t>Intermediate</w:t>
            </w:r>
          </w:p>
        </w:tc>
      </w:tr>
      <w:tr w:rsidR="00855730" w:rsidRPr="00C978B9" w14:paraId="3A742DB5" w14:textId="77777777" w:rsidTr="00350C72">
        <w:trPr>
          <w:trHeight w:val="679"/>
        </w:trPr>
        <w:tc>
          <w:tcPr>
            <w:tcW w:w="1349" w:type="dxa"/>
            <w:vMerge w:val="restart"/>
            <w:tcBorders>
              <w:bottom w:val="single" w:sz="4" w:space="0" w:color="BCBEC0"/>
            </w:tcBorders>
          </w:tcPr>
          <w:p w14:paraId="17972565" w14:textId="77777777" w:rsidR="00855730" w:rsidRPr="00C978B9" w:rsidRDefault="00855730" w:rsidP="00855730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E2A492D" wp14:editId="374646FF">
                  <wp:extent cx="845388" cy="845388"/>
                  <wp:effectExtent l="0" t="0" r="0" b="0"/>
                  <wp:docPr id="4" name="business-enabl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top w:val="nil"/>
              <w:bottom w:val="nil"/>
            </w:tcBorders>
          </w:tcPr>
          <w:p w14:paraId="1C824393" w14:textId="77777777" w:rsidR="00855730" w:rsidRPr="00AA57E3" w:rsidRDefault="00855730" w:rsidP="00350C72">
            <w:pPr>
              <w:spacing w:line="276" w:lineRule="auto"/>
            </w:pPr>
            <w:r>
              <w:t>Finance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14:paraId="4C671480" w14:textId="77777777" w:rsidR="00855730" w:rsidRPr="00AA57E3" w:rsidRDefault="00855730" w:rsidP="00350C72">
            <w:pPr>
              <w:spacing w:line="276" w:lineRule="auto"/>
            </w:pPr>
            <w:r>
              <w:t>Understand and apply financial processes to achieve value for money and minimise financial risk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14:paraId="298A51E3" w14:textId="2046AF59" w:rsidR="00855730" w:rsidRDefault="00855730" w:rsidP="00350C72">
            <w:pPr>
              <w:pStyle w:val="TableBullet"/>
              <w:numPr>
                <w:ilvl w:val="0"/>
                <w:numId w:val="0"/>
              </w:numPr>
              <w:spacing w:line="276" w:lineRule="auto"/>
              <w:jc w:val="both"/>
            </w:pPr>
            <w:r>
              <w:t>Foundational</w:t>
            </w:r>
          </w:p>
        </w:tc>
      </w:tr>
      <w:tr w:rsidR="00855730" w:rsidRPr="00C978B9" w14:paraId="298DB82C" w14:textId="77777777" w:rsidTr="00350C72">
        <w:trPr>
          <w:trHeight w:val="703"/>
        </w:trPr>
        <w:tc>
          <w:tcPr>
            <w:tcW w:w="1349" w:type="dxa"/>
            <w:vMerge/>
            <w:tcBorders>
              <w:bottom w:val="single" w:sz="4" w:space="0" w:color="BCBEC0"/>
            </w:tcBorders>
          </w:tcPr>
          <w:p w14:paraId="160A5418" w14:textId="77777777" w:rsidR="00855730" w:rsidRDefault="00855730" w:rsidP="00855730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top w:val="nil"/>
              <w:bottom w:val="nil"/>
            </w:tcBorders>
          </w:tcPr>
          <w:p w14:paraId="2548E04E" w14:textId="77777777" w:rsidR="00855730" w:rsidRPr="00A8226F" w:rsidRDefault="00855730" w:rsidP="00350C72">
            <w:pPr>
              <w:spacing w:line="276" w:lineRule="auto"/>
            </w:pPr>
            <w:r>
              <w:t>Technology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14:paraId="77D1E407" w14:textId="77777777" w:rsidR="00855730" w:rsidRDefault="00855730" w:rsidP="00350C72">
            <w:pPr>
              <w:spacing w:line="276" w:lineRule="auto"/>
            </w:pPr>
            <w:r>
              <w:t>Understand and use available technologies to maximise efficiencies and effectiveness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14:paraId="4A25DCA0" w14:textId="6B0247D7" w:rsidR="00855730" w:rsidRDefault="00855730" w:rsidP="00350C72">
            <w:pPr>
              <w:pStyle w:val="TableBullet"/>
              <w:numPr>
                <w:ilvl w:val="0"/>
                <w:numId w:val="0"/>
              </w:numPr>
              <w:spacing w:line="276" w:lineRule="auto"/>
              <w:jc w:val="both"/>
            </w:pPr>
            <w:r>
              <w:t>Intermediate</w:t>
            </w:r>
          </w:p>
        </w:tc>
      </w:tr>
      <w:tr w:rsidR="00855730" w:rsidRPr="00C978B9" w14:paraId="35E6E267" w14:textId="77777777" w:rsidTr="00350C72">
        <w:tc>
          <w:tcPr>
            <w:tcW w:w="1349" w:type="dxa"/>
            <w:vMerge/>
            <w:tcBorders>
              <w:bottom w:val="single" w:sz="4" w:space="0" w:color="BCBEC0"/>
            </w:tcBorders>
          </w:tcPr>
          <w:p w14:paraId="3CDF45DA" w14:textId="77777777" w:rsidR="00855730" w:rsidRDefault="00855730" w:rsidP="00855730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top w:val="nil"/>
              <w:bottom w:val="nil"/>
            </w:tcBorders>
          </w:tcPr>
          <w:p w14:paraId="5C879C2D" w14:textId="77777777" w:rsidR="00855730" w:rsidRPr="00A8226F" w:rsidRDefault="00855730" w:rsidP="00350C72">
            <w:pPr>
              <w:spacing w:line="276" w:lineRule="auto"/>
            </w:pPr>
            <w:r>
              <w:t>Procurement and Contract Management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14:paraId="597F5E56" w14:textId="77777777" w:rsidR="00855730" w:rsidRDefault="00855730" w:rsidP="00350C72">
            <w:pPr>
              <w:spacing w:line="276" w:lineRule="auto"/>
            </w:pPr>
            <w:r>
              <w:t>Understand and apply procurement processes to ensure effective purchasing and contract performance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14:paraId="0652E9FA" w14:textId="5A617E2B" w:rsidR="00855730" w:rsidRDefault="00855730" w:rsidP="00350C72">
            <w:pPr>
              <w:pStyle w:val="TableBullet"/>
              <w:numPr>
                <w:ilvl w:val="0"/>
                <w:numId w:val="0"/>
              </w:numPr>
              <w:spacing w:line="276" w:lineRule="auto"/>
              <w:jc w:val="both"/>
            </w:pPr>
            <w:r>
              <w:t>Intermediate</w:t>
            </w:r>
          </w:p>
        </w:tc>
      </w:tr>
    </w:tbl>
    <w:p w14:paraId="36D30F39" w14:textId="77777777" w:rsidR="004D15E4" w:rsidRPr="003927AE" w:rsidRDefault="004D15E4" w:rsidP="003927AE"/>
    <w:sectPr w:rsidR="004D15E4" w:rsidRPr="003927AE" w:rsidSect="009D747B"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E3E6" w14:textId="77777777" w:rsidR="00FD21C5" w:rsidRDefault="00FD21C5" w:rsidP="00BB532F">
      <w:pPr>
        <w:spacing w:after="0" w:line="240" w:lineRule="auto"/>
      </w:pPr>
      <w:r>
        <w:separator/>
      </w:r>
    </w:p>
  </w:endnote>
  <w:endnote w:type="continuationSeparator" w:id="0">
    <w:p w14:paraId="3F984432" w14:textId="77777777" w:rsidR="00FD21C5" w:rsidRDefault="00FD21C5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4D25E9" w14:paraId="51228467" w14:textId="77777777" w:rsidTr="00C03AFD">
      <w:tc>
        <w:tcPr>
          <w:tcW w:w="2250" w:type="pct"/>
          <w:vAlign w:val="center"/>
        </w:tcPr>
        <w:p w14:paraId="7001320F" w14:textId="1D3A4A5C" w:rsidR="004D25E9" w:rsidRDefault="004D25E9" w:rsidP="00C03AFD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>
            <w:rPr>
              <w:color w:val="928B81"/>
              <w:sz w:val="18"/>
            </w:rPr>
            <w:t xml:space="preserve"> </w:t>
          </w:r>
          <w:r w:rsidR="002E0A15">
            <w:rPr>
              <w:b/>
              <w:bCs/>
              <w:color w:val="928B81"/>
              <w:sz w:val="18"/>
            </w:rPr>
            <w:t>Event Production Officer</w:t>
          </w:r>
        </w:p>
      </w:tc>
      <w:tc>
        <w:tcPr>
          <w:tcW w:w="250" w:type="pct"/>
          <w:vAlign w:val="center"/>
        </w:tcPr>
        <w:p w14:paraId="78EA611B" w14:textId="77777777" w:rsidR="004D25E9" w:rsidRPr="00C03AFD" w:rsidRDefault="004D25E9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14:paraId="529C4C28" w14:textId="05C9FCB9" w:rsidR="004D25E9" w:rsidRDefault="004D25E9" w:rsidP="00C03AFD">
          <w:pPr>
            <w:pStyle w:val="Footer"/>
            <w:jc w:val="right"/>
          </w:pPr>
        </w:p>
      </w:tc>
    </w:tr>
  </w:tbl>
  <w:p w14:paraId="343E5682" w14:textId="77777777" w:rsidR="004D25E9" w:rsidRDefault="004D25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4D25E9" w14:paraId="012CFC23" w14:textId="77777777" w:rsidTr="0047547E">
      <w:trPr>
        <w:trHeight w:val="811"/>
      </w:trPr>
      <w:tc>
        <w:tcPr>
          <w:tcW w:w="10005" w:type="dxa"/>
          <w:vAlign w:val="bottom"/>
        </w:tcPr>
        <w:p w14:paraId="2FBC542C" w14:textId="77777777" w:rsidR="004D25E9" w:rsidRPr="00051237" w:rsidRDefault="004D25E9" w:rsidP="006657CF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14:paraId="66F5DD05" w14:textId="4FA58AAE" w:rsidR="004D25E9" w:rsidRDefault="004D25E9" w:rsidP="006657CF">
          <w:pPr>
            <w:pStyle w:val="Footer"/>
            <w:jc w:val="right"/>
          </w:pPr>
        </w:p>
      </w:tc>
    </w:tr>
  </w:tbl>
  <w:p w14:paraId="35D16CBC" w14:textId="77777777" w:rsidR="004D25E9" w:rsidRDefault="004D2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65C2" w14:textId="77777777" w:rsidR="00FD21C5" w:rsidRDefault="00FD21C5" w:rsidP="00BB532F">
      <w:pPr>
        <w:spacing w:after="0" w:line="240" w:lineRule="auto"/>
      </w:pPr>
      <w:r>
        <w:separator/>
      </w:r>
    </w:p>
  </w:footnote>
  <w:footnote w:type="continuationSeparator" w:id="0">
    <w:p w14:paraId="601D1E2B" w14:textId="77777777" w:rsidR="00FD21C5" w:rsidRDefault="00FD21C5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4D25E9" w14:paraId="23741673" w14:textId="77777777" w:rsidTr="00894A73">
      <w:trPr>
        <w:trHeight w:val="813"/>
      </w:trPr>
      <w:tc>
        <w:tcPr>
          <w:tcW w:w="7082" w:type="dxa"/>
        </w:tcPr>
        <w:p w14:paraId="76DBC4D8" w14:textId="3C1B02AA" w:rsidR="004D25E9" w:rsidRDefault="004D25E9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  <w:r>
            <w:rPr>
              <w:rFonts w:ascii="Arial" w:hAnsi="Arial" w:cs="Arial"/>
            </w:rPr>
            <w:t xml:space="preserve"> </w:t>
          </w:r>
        </w:p>
        <w:p w14:paraId="681B9238" w14:textId="6586A4DB" w:rsidR="004D25E9" w:rsidRPr="00862D8A" w:rsidRDefault="004D25E9" w:rsidP="001C2248">
          <w:pPr>
            <w:pStyle w:val="TitleSub"/>
            <w:spacing w:after="0"/>
            <w:rPr>
              <w:rFonts w:ascii="Arial" w:hAnsi="Arial" w:cs="Arial"/>
              <w:b/>
              <w:bCs/>
            </w:rPr>
          </w:pPr>
          <w:r w:rsidRPr="00862D8A">
            <w:rPr>
              <w:b/>
              <w:bCs/>
            </w:rPr>
            <w:t>Event Production Officer</w:t>
          </w:r>
        </w:p>
      </w:tc>
      <w:tc>
        <w:tcPr>
          <w:tcW w:w="3688" w:type="dxa"/>
        </w:tcPr>
        <w:p w14:paraId="04C56303" w14:textId="77777777" w:rsidR="004D25E9" w:rsidRPr="000477E1" w:rsidRDefault="004D25E9" w:rsidP="00030565">
          <w:pPr>
            <w:jc w:val="right"/>
          </w:pPr>
        </w:p>
      </w:tc>
    </w:tr>
  </w:tbl>
  <w:p w14:paraId="378E01A2" w14:textId="77777777" w:rsidR="004D25E9" w:rsidRDefault="004D25E9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58B"/>
    <w:multiLevelType w:val="hybridMultilevel"/>
    <w:tmpl w:val="B5D2A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38E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D20AD"/>
    <w:multiLevelType w:val="hybridMultilevel"/>
    <w:tmpl w:val="65503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F73F2"/>
    <w:multiLevelType w:val="hybridMultilevel"/>
    <w:tmpl w:val="743C8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D21A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D37E35"/>
    <w:multiLevelType w:val="hybridMultilevel"/>
    <w:tmpl w:val="174287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9"/>
  </w:num>
  <w:num w:numId="11">
    <w:abstractNumId w:val="8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2F"/>
    <w:rsid w:val="00005219"/>
    <w:rsid w:val="0001016C"/>
    <w:rsid w:val="0001706E"/>
    <w:rsid w:val="00020023"/>
    <w:rsid w:val="00022223"/>
    <w:rsid w:val="00024E73"/>
    <w:rsid w:val="00026543"/>
    <w:rsid w:val="00027E23"/>
    <w:rsid w:val="00030565"/>
    <w:rsid w:val="0003263C"/>
    <w:rsid w:val="00035639"/>
    <w:rsid w:val="0003564E"/>
    <w:rsid w:val="00037FD5"/>
    <w:rsid w:val="000411F6"/>
    <w:rsid w:val="000477E1"/>
    <w:rsid w:val="00060B58"/>
    <w:rsid w:val="000645C8"/>
    <w:rsid w:val="00067161"/>
    <w:rsid w:val="00071332"/>
    <w:rsid w:val="000A2621"/>
    <w:rsid w:val="000C00E5"/>
    <w:rsid w:val="000C3CC8"/>
    <w:rsid w:val="000D12B3"/>
    <w:rsid w:val="000D799A"/>
    <w:rsid w:val="000F231F"/>
    <w:rsid w:val="000F48A4"/>
    <w:rsid w:val="000F6704"/>
    <w:rsid w:val="00101763"/>
    <w:rsid w:val="00104EC7"/>
    <w:rsid w:val="001336E8"/>
    <w:rsid w:val="0013413E"/>
    <w:rsid w:val="00134F5E"/>
    <w:rsid w:val="00153F10"/>
    <w:rsid w:val="00162560"/>
    <w:rsid w:val="00165754"/>
    <w:rsid w:val="001671DC"/>
    <w:rsid w:val="00170F53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4D5D"/>
    <w:rsid w:val="001B5DFD"/>
    <w:rsid w:val="001B75A6"/>
    <w:rsid w:val="001C0E5F"/>
    <w:rsid w:val="001C2248"/>
    <w:rsid w:val="001C23F4"/>
    <w:rsid w:val="001C5166"/>
    <w:rsid w:val="001C5A46"/>
    <w:rsid w:val="001D097C"/>
    <w:rsid w:val="001E2792"/>
    <w:rsid w:val="001E27DB"/>
    <w:rsid w:val="001E4124"/>
    <w:rsid w:val="001E49B2"/>
    <w:rsid w:val="001F2503"/>
    <w:rsid w:val="001F4B2B"/>
    <w:rsid w:val="00201E8B"/>
    <w:rsid w:val="0020219E"/>
    <w:rsid w:val="00205A8A"/>
    <w:rsid w:val="00211F68"/>
    <w:rsid w:val="00237421"/>
    <w:rsid w:val="00240A8E"/>
    <w:rsid w:val="00263ACB"/>
    <w:rsid w:val="00266912"/>
    <w:rsid w:val="00280887"/>
    <w:rsid w:val="0028314F"/>
    <w:rsid w:val="00287C54"/>
    <w:rsid w:val="00297D58"/>
    <w:rsid w:val="002A648F"/>
    <w:rsid w:val="002B0B83"/>
    <w:rsid w:val="002B1F76"/>
    <w:rsid w:val="002B5704"/>
    <w:rsid w:val="002B6409"/>
    <w:rsid w:val="002C02EF"/>
    <w:rsid w:val="002C2823"/>
    <w:rsid w:val="002C616A"/>
    <w:rsid w:val="002D336D"/>
    <w:rsid w:val="002D36BB"/>
    <w:rsid w:val="002E0A15"/>
    <w:rsid w:val="00300C40"/>
    <w:rsid w:val="00301747"/>
    <w:rsid w:val="00302CDC"/>
    <w:rsid w:val="00325E9D"/>
    <w:rsid w:val="00327F5C"/>
    <w:rsid w:val="00336011"/>
    <w:rsid w:val="00340ADC"/>
    <w:rsid w:val="00343491"/>
    <w:rsid w:val="0034500C"/>
    <w:rsid w:val="00345199"/>
    <w:rsid w:val="00346D51"/>
    <w:rsid w:val="00350C72"/>
    <w:rsid w:val="00351826"/>
    <w:rsid w:val="00351C3F"/>
    <w:rsid w:val="00351D50"/>
    <w:rsid w:val="00361F4E"/>
    <w:rsid w:val="0036462D"/>
    <w:rsid w:val="00372A99"/>
    <w:rsid w:val="00373737"/>
    <w:rsid w:val="00375289"/>
    <w:rsid w:val="00375335"/>
    <w:rsid w:val="00377118"/>
    <w:rsid w:val="003927AE"/>
    <w:rsid w:val="0039395B"/>
    <w:rsid w:val="00396278"/>
    <w:rsid w:val="003A1185"/>
    <w:rsid w:val="003A1A14"/>
    <w:rsid w:val="003A2AFA"/>
    <w:rsid w:val="003A3538"/>
    <w:rsid w:val="003B0F42"/>
    <w:rsid w:val="003B2594"/>
    <w:rsid w:val="003B403A"/>
    <w:rsid w:val="003C00FD"/>
    <w:rsid w:val="003C031F"/>
    <w:rsid w:val="003C2846"/>
    <w:rsid w:val="003C5EB3"/>
    <w:rsid w:val="003D5227"/>
    <w:rsid w:val="003D6552"/>
    <w:rsid w:val="003E2663"/>
    <w:rsid w:val="003E5CF2"/>
    <w:rsid w:val="00411F3E"/>
    <w:rsid w:val="00413D11"/>
    <w:rsid w:val="0041525E"/>
    <w:rsid w:val="00416D58"/>
    <w:rsid w:val="004203B4"/>
    <w:rsid w:val="00436621"/>
    <w:rsid w:val="00442732"/>
    <w:rsid w:val="00443BCB"/>
    <w:rsid w:val="0045299A"/>
    <w:rsid w:val="00466287"/>
    <w:rsid w:val="0047547E"/>
    <w:rsid w:val="00477EB1"/>
    <w:rsid w:val="00492AA6"/>
    <w:rsid w:val="004951A1"/>
    <w:rsid w:val="00497EC1"/>
    <w:rsid w:val="004C45E2"/>
    <w:rsid w:val="004D0C22"/>
    <w:rsid w:val="004D15E4"/>
    <w:rsid w:val="004D20F2"/>
    <w:rsid w:val="004D25E9"/>
    <w:rsid w:val="004D27C8"/>
    <w:rsid w:val="004D3F0A"/>
    <w:rsid w:val="004D68A6"/>
    <w:rsid w:val="004E44A5"/>
    <w:rsid w:val="004E474E"/>
    <w:rsid w:val="004E7F32"/>
    <w:rsid w:val="00502DBF"/>
    <w:rsid w:val="00506B3A"/>
    <w:rsid w:val="00521D19"/>
    <w:rsid w:val="00523CFF"/>
    <w:rsid w:val="00527FCF"/>
    <w:rsid w:val="005307BA"/>
    <w:rsid w:val="00545AC6"/>
    <w:rsid w:val="00551038"/>
    <w:rsid w:val="0059035B"/>
    <w:rsid w:val="005A397B"/>
    <w:rsid w:val="005B10E1"/>
    <w:rsid w:val="005B5053"/>
    <w:rsid w:val="005C0A16"/>
    <w:rsid w:val="005C7AF5"/>
    <w:rsid w:val="005D1C3A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40189"/>
    <w:rsid w:val="00650234"/>
    <w:rsid w:val="006538BF"/>
    <w:rsid w:val="006657CF"/>
    <w:rsid w:val="00674D4C"/>
    <w:rsid w:val="00683870"/>
    <w:rsid w:val="00695EAB"/>
    <w:rsid w:val="006A2280"/>
    <w:rsid w:val="006A2A7F"/>
    <w:rsid w:val="006B723B"/>
    <w:rsid w:val="006C2473"/>
    <w:rsid w:val="006C4218"/>
    <w:rsid w:val="006D1FBC"/>
    <w:rsid w:val="006E28E7"/>
    <w:rsid w:val="006F6652"/>
    <w:rsid w:val="006F7124"/>
    <w:rsid w:val="006F7FA4"/>
    <w:rsid w:val="00701F8B"/>
    <w:rsid w:val="007041EA"/>
    <w:rsid w:val="007249EC"/>
    <w:rsid w:val="00735B28"/>
    <w:rsid w:val="00735E89"/>
    <w:rsid w:val="00742966"/>
    <w:rsid w:val="00753EEE"/>
    <w:rsid w:val="00767553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B32AB"/>
    <w:rsid w:val="007B7C1F"/>
    <w:rsid w:val="007C0486"/>
    <w:rsid w:val="007C21C8"/>
    <w:rsid w:val="007D0E2E"/>
    <w:rsid w:val="007D202A"/>
    <w:rsid w:val="007E2572"/>
    <w:rsid w:val="007E2FB7"/>
    <w:rsid w:val="007E77DC"/>
    <w:rsid w:val="00801E41"/>
    <w:rsid w:val="008044BB"/>
    <w:rsid w:val="00805561"/>
    <w:rsid w:val="00806FE1"/>
    <w:rsid w:val="00807ED1"/>
    <w:rsid w:val="00812427"/>
    <w:rsid w:val="00817B11"/>
    <w:rsid w:val="008203EE"/>
    <w:rsid w:val="008267A0"/>
    <w:rsid w:val="008308A7"/>
    <w:rsid w:val="008327FB"/>
    <w:rsid w:val="00833EC0"/>
    <w:rsid w:val="0083547C"/>
    <w:rsid w:val="00843197"/>
    <w:rsid w:val="008476E6"/>
    <w:rsid w:val="00855730"/>
    <w:rsid w:val="0085706D"/>
    <w:rsid w:val="00860904"/>
    <w:rsid w:val="00861804"/>
    <w:rsid w:val="00862D8A"/>
    <w:rsid w:val="00894A73"/>
    <w:rsid w:val="00895190"/>
    <w:rsid w:val="008A0EBB"/>
    <w:rsid w:val="008A13AC"/>
    <w:rsid w:val="008B2BE2"/>
    <w:rsid w:val="008B648A"/>
    <w:rsid w:val="008B74C1"/>
    <w:rsid w:val="008C0B4D"/>
    <w:rsid w:val="008C37C8"/>
    <w:rsid w:val="008D7766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984"/>
    <w:rsid w:val="00986870"/>
    <w:rsid w:val="00986E28"/>
    <w:rsid w:val="00994DCE"/>
    <w:rsid w:val="0099587E"/>
    <w:rsid w:val="009979FA"/>
    <w:rsid w:val="00997DB9"/>
    <w:rsid w:val="009B3103"/>
    <w:rsid w:val="009C12FA"/>
    <w:rsid w:val="009D72FE"/>
    <w:rsid w:val="009D747B"/>
    <w:rsid w:val="009D7B94"/>
    <w:rsid w:val="009F61B1"/>
    <w:rsid w:val="00A00C30"/>
    <w:rsid w:val="00A02AEF"/>
    <w:rsid w:val="00A11071"/>
    <w:rsid w:val="00A14A03"/>
    <w:rsid w:val="00A2122C"/>
    <w:rsid w:val="00A24264"/>
    <w:rsid w:val="00A32CD7"/>
    <w:rsid w:val="00A40DED"/>
    <w:rsid w:val="00A41E4E"/>
    <w:rsid w:val="00A4412E"/>
    <w:rsid w:val="00A47353"/>
    <w:rsid w:val="00A6675F"/>
    <w:rsid w:val="00A707E0"/>
    <w:rsid w:val="00A73C38"/>
    <w:rsid w:val="00A77B0C"/>
    <w:rsid w:val="00A81230"/>
    <w:rsid w:val="00A83932"/>
    <w:rsid w:val="00A85305"/>
    <w:rsid w:val="00A8686E"/>
    <w:rsid w:val="00A8732A"/>
    <w:rsid w:val="00A91173"/>
    <w:rsid w:val="00A970A2"/>
    <w:rsid w:val="00AA34F3"/>
    <w:rsid w:val="00AA3C16"/>
    <w:rsid w:val="00AB120A"/>
    <w:rsid w:val="00AB50E4"/>
    <w:rsid w:val="00AC04D7"/>
    <w:rsid w:val="00AC1AF9"/>
    <w:rsid w:val="00AC742D"/>
    <w:rsid w:val="00AC7DC9"/>
    <w:rsid w:val="00AE14D7"/>
    <w:rsid w:val="00AF01AC"/>
    <w:rsid w:val="00AF3FE7"/>
    <w:rsid w:val="00AF7D0C"/>
    <w:rsid w:val="00B0574B"/>
    <w:rsid w:val="00B10AB7"/>
    <w:rsid w:val="00B2037F"/>
    <w:rsid w:val="00B262BC"/>
    <w:rsid w:val="00B32691"/>
    <w:rsid w:val="00B407F6"/>
    <w:rsid w:val="00B5168D"/>
    <w:rsid w:val="00B52006"/>
    <w:rsid w:val="00B544ED"/>
    <w:rsid w:val="00B635E3"/>
    <w:rsid w:val="00B6405F"/>
    <w:rsid w:val="00B72B4F"/>
    <w:rsid w:val="00B835C0"/>
    <w:rsid w:val="00B876AF"/>
    <w:rsid w:val="00B9055C"/>
    <w:rsid w:val="00BA0950"/>
    <w:rsid w:val="00BA759E"/>
    <w:rsid w:val="00BB12E9"/>
    <w:rsid w:val="00BB532F"/>
    <w:rsid w:val="00BC162D"/>
    <w:rsid w:val="00BC2FE4"/>
    <w:rsid w:val="00BC6F6F"/>
    <w:rsid w:val="00BD4DDA"/>
    <w:rsid w:val="00BE4EAE"/>
    <w:rsid w:val="00BE6E24"/>
    <w:rsid w:val="00BF5DDE"/>
    <w:rsid w:val="00C01CED"/>
    <w:rsid w:val="00C03AFD"/>
    <w:rsid w:val="00C23E79"/>
    <w:rsid w:val="00C271F9"/>
    <w:rsid w:val="00C470CB"/>
    <w:rsid w:val="00C517B6"/>
    <w:rsid w:val="00C5234D"/>
    <w:rsid w:val="00C609DD"/>
    <w:rsid w:val="00C63F0F"/>
    <w:rsid w:val="00C70636"/>
    <w:rsid w:val="00C70842"/>
    <w:rsid w:val="00C740FF"/>
    <w:rsid w:val="00C8578E"/>
    <w:rsid w:val="00C861F7"/>
    <w:rsid w:val="00CA3DE5"/>
    <w:rsid w:val="00CA76B5"/>
    <w:rsid w:val="00CC2175"/>
    <w:rsid w:val="00CC76F2"/>
    <w:rsid w:val="00CD323E"/>
    <w:rsid w:val="00CD6DAC"/>
    <w:rsid w:val="00CE105E"/>
    <w:rsid w:val="00CE1E5E"/>
    <w:rsid w:val="00CF0AC4"/>
    <w:rsid w:val="00CF2A85"/>
    <w:rsid w:val="00D010C4"/>
    <w:rsid w:val="00D01A61"/>
    <w:rsid w:val="00D06C19"/>
    <w:rsid w:val="00D10F71"/>
    <w:rsid w:val="00D12CE7"/>
    <w:rsid w:val="00D312DA"/>
    <w:rsid w:val="00D351CC"/>
    <w:rsid w:val="00D424FB"/>
    <w:rsid w:val="00D55E55"/>
    <w:rsid w:val="00D6084A"/>
    <w:rsid w:val="00D64165"/>
    <w:rsid w:val="00D663ED"/>
    <w:rsid w:val="00D66BB4"/>
    <w:rsid w:val="00D67A17"/>
    <w:rsid w:val="00D74882"/>
    <w:rsid w:val="00D759EE"/>
    <w:rsid w:val="00D956AA"/>
    <w:rsid w:val="00DA45C4"/>
    <w:rsid w:val="00DA543F"/>
    <w:rsid w:val="00DA68D9"/>
    <w:rsid w:val="00DC0173"/>
    <w:rsid w:val="00DC11EA"/>
    <w:rsid w:val="00DC4056"/>
    <w:rsid w:val="00DC6FA6"/>
    <w:rsid w:val="00DE2472"/>
    <w:rsid w:val="00DE498C"/>
    <w:rsid w:val="00DE58C6"/>
    <w:rsid w:val="00DE6C80"/>
    <w:rsid w:val="00DF1540"/>
    <w:rsid w:val="00DF2209"/>
    <w:rsid w:val="00DF5EB4"/>
    <w:rsid w:val="00E2478E"/>
    <w:rsid w:val="00E25470"/>
    <w:rsid w:val="00E27471"/>
    <w:rsid w:val="00E310E1"/>
    <w:rsid w:val="00E32738"/>
    <w:rsid w:val="00E44564"/>
    <w:rsid w:val="00E55704"/>
    <w:rsid w:val="00E565B9"/>
    <w:rsid w:val="00E72D70"/>
    <w:rsid w:val="00E747B4"/>
    <w:rsid w:val="00E80A46"/>
    <w:rsid w:val="00E83B02"/>
    <w:rsid w:val="00E85FA0"/>
    <w:rsid w:val="00E87997"/>
    <w:rsid w:val="00E95F38"/>
    <w:rsid w:val="00EA7A67"/>
    <w:rsid w:val="00EC0B04"/>
    <w:rsid w:val="00EC4A51"/>
    <w:rsid w:val="00EC5C1D"/>
    <w:rsid w:val="00ED176B"/>
    <w:rsid w:val="00ED57BF"/>
    <w:rsid w:val="00ED5CC6"/>
    <w:rsid w:val="00ED7943"/>
    <w:rsid w:val="00EE337D"/>
    <w:rsid w:val="00EE4670"/>
    <w:rsid w:val="00EF159C"/>
    <w:rsid w:val="00F07C69"/>
    <w:rsid w:val="00F11D6C"/>
    <w:rsid w:val="00F15669"/>
    <w:rsid w:val="00F31B35"/>
    <w:rsid w:val="00F339CD"/>
    <w:rsid w:val="00F33A43"/>
    <w:rsid w:val="00F41425"/>
    <w:rsid w:val="00F41650"/>
    <w:rsid w:val="00F47143"/>
    <w:rsid w:val="00F64875"/>
    <w:rsid w:val="00F83D95"/>
    <w:rsid w:val="00F90D06"/>
    <w:rsid w:val="00F9569D"/>
    <w:rsid w:val="00FC306C"/>
    <w:rsid w:val="00FC6457"/>
    <w:rsid w:val="00FC6ECA"/>
    <w:rsid w:val="00FD21C5"/>
    <w:rsid w:val="00FD3076"/>
    <w:rsid w:val="00FD46BA"/>
    <w:rsid w:val="00FE1221"/>
    <w:rsid w:val="00FE1CBC"/>
    <w:rsid w:val="00FE2E58"/>
    <w:rsid w:val="00FE5458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729FB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7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97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7"/>
    <w:semiHidden/>
    <w:unhideWhenUsed/>
    <w:rsid w:val="00351D50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A1A1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D25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5E9"/>
  </w:style>
  <w:style w:type="paragraph" w:styleId="BodyTextFirstIndent">
    <w:name w:val="Body Text First Indent"/>
    <w:basedOn w:val="BodyText"/>
    <w:link w:val="BodyTextFirstIndentChar"/>
    <w:uiPriority w:val="97"/>
    <w:semiHidden/>
    <w:rsid w:val="004D25E9"/>
    <w:pPr>
      <w:spacing w:after="0" w:line="260" w:lineRule="atLeast"/>
      <w:ind w:firstLine="360"/>
    </w:pPr>
    <w:rPr>
      <w:rFonts w:ascii="Georgia" w:eastAsia="Arial" w:hAnsi="Georgia" w:cs="Times New Roman"/>
      <w:szCs w:val="20"/>
      <w:lang w:val="en-AU"/>
    </w:r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4D25E9"/>
    <w:rPr>
      <w:rFonts w:ascii="Georgia" w:eastAsia="Arial" w:hAnsi="Georgia" w:cs="Times New Roman"/>
      <w:szCs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0F48A4"/>
    <w:pPr>
      <w:spacing w:after="120" w:line="260" w:lineRule="atLeast"/>
    </w:pPr>
    <w:rPr>
      <w:rFonts w:ascii="Georgia" w:eastAsia="Arial" w:hAnsi="Georgia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png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2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webSettings" Target="webSettings.xml" Id="rId6" /><Relationship Type="http://schemas.openxmlformats.org/officeDocument/2006/relationships/image" Target="media/image1.png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hyperlink" Target="https://www.psc.nsw.gov.au/workforce-management/capability-framework/the-capability-framework" TargetMode="Externa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://www.dpc.nsw.gov.au/about/about_the_department" TargetMode="External" Id="rId9" /><Relationship Type="http://schemas.openxmlformats.org/officeDocument/2006/relationships/image" Target="media/image4.png" Id="rId14" /><Relationship Type="http://schemas.openxmlformats.org/officeDocument/2006/relationships/customXml" Target="/customXML/item3.xml" Id="R3c6e2cea7c71407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4E3871FEBC3EDC3EE0531950520A6160" version="1.0.0">
  <systemFields>
    <field name="Objective-Id">
      <value order="0">A3590056</value>
    </field>
    <field name="Objective-Title">
      <value order="0">07-08 - Event Production Officer (final)</value>
    </field>
    <field name="Objective-Description">
      <value order="0"/>
    </field>
    <field name="Objective-CreationStamp">
      <value order="0">2020-05-07T04:04:15Z</value>
    </field>
    <field name="Objective-IsApproved">
      <value order="0">false</value>
    </field>
    <field name="Objective-IsPublished">
      <value order="0">true</value>
    </field>
    <field name="Objective-DatePublished">
      <value order="0">2022-08-10T07:41:20Z</value>
    </field>
    <field name="Objective-ModificationStamp">
      <value order="0">2022-08-10T07:41:20Z</value>
    </field>
    <field name="Objective-Owner">
      <value order="0">Fiona Campbell</value>
    </field>
    <field name="Objective-Path">
      <value order="0">Objective Global Folder:DPC:People and Operations Group:People, Culture and Talent:People and Culture - DPC:Establishment:Role Descriptions:Role Descriptions and Evaluations:Clerk 07/08</value>
    </field>
    <field name="Objective-Parent">
      <value order="0">Clerk 07/08</value>
    </field>
    <field name="Objective-State">
      <value order="0">Published</value>
    </field>
    <field name="Objective-VersionId">
      <value order="0">vA9783633</value>
    </field>
    <field name="Objective-Version">
      <value order="0">9.0</value>
    </field>
    <field name="Objective-VersionNumber">
      <value order="0">10</value>
    </field>
    <field name="Objective-VersionComment">
      <value order="0"/>
    </field>
    <field name="Objective-FileNumber">
      <value order="0">DPC17/02643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7">
      <field name="Objective-Sensitivity Label">
        <value order="0">OFFICIAL</value>
      </field>
      <field name="Objective-Document Type">
        <value order="0">Role Description (RD)</value>
      </field>
      <field name="Objective-Approval Status">
        <value order="0">Never Submitted</value>
      </field>
      <field name="Objective-Approval Due">
        <value order="0"/>
      </field>
      <field name="Objective-Approval Date">
        <value order="0"/>
      </field>
      <field name="Objective-Submitted By">
        <value order="0"/>
      </field>
      <field name="Objective-Current Approver">
        <value order="0"/>
      </field>
      <field name="Objective-Approval History">
        <value order="0"/>
      </field>
      <field name="Objective-Print and Dispatch Approach">
        <value order="0"/>
      </field>
      <field name="Objective-Print and Dispatch Instructions">
        <value order="0"/>
      </field>
      <field name="Objective-Document Tag(s)">
        <value order="0"/>
      </field>
      <field name="Objective-Shared By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E3871FEBC3EDC3EE0531950520A616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1052B445-35C1-40CC-A16A-BA9F40CE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5</TotalTime>
  <Pages>6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Anbarasu Palanisamy</dc:creator>
  <cp:lastModifiedBy>Letia Whippy</cp:lastModifiedBy>
  <cp:revision>3</cp:revision>
  <dcterms:created xsi:type="dcterms:W3CDTF">2022-07-27T23:08:00Z</dcterms:created>
  <dcterms:modified xsi:type="dcterms:W3CDTF">2022-08-10T07:41:00Z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A3590056</vt:lpwstr>
  </property>
  <property fmtid="{D5CDD505-2E9C-101B-9397-08002B2CF9AE}" pid="4" name="Objective-Title">
    <vt:lpwstr>07-08 - Event Production Officer (final)</vt:lpwstr>
  </property>
  <property fmtid="{D5CDD505-2E9C-101B-9397-08002B2CF9AE}" pid="5" name="Objective-Description">
    <vt:lpwstr/>
  </property>
  <property fmtid="{D5CDD505-2E9C-101B-9397-08002B2CF9AE}" pid="6" name="Objective-CreationStamp">
    <vt:filetime>2020-05-07T04:04:15Z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2022-08-10T07:41:20Z</vt:filetime>
  </property>
  <property fmtid="{D5CDD505-2E9C-101B-9397-08002B2CF9AE}" pid="10" name="Objective-ModificationStamp">
    <vt:filetime>2022-08-10T07:41:20Z</vt:filetime>
  </property>
  <property fmtid="{D5CDD505-2E9C-101B-9397-08002B2CF9AE}" pid="11" name="Objective-Owner">
    <vt:lpwstr>Fiona Campbell</vt:lpwstr>
  </property>
  <property fmtid="{D5CDD505-2E9C-101B-9397-08002B2CF9AE}" pid="12" name="Objective-Path">
    <vt:lpwstr>Objective Global Folder:DPC:People and Operations Group:People, Culture and Talent:People and Culture - DPC:Establishment:Role Descriptions:Role Descriptions and Evaluations:Clerk 07/08</vt:lpwstr>
  </property>
  <property fmtid="{D5CDD505-2E9C-101B-9397-08002B2CF9AE}" pid="13" name="Objective-Parent">
    <vt:lpwstr>Clerk 07/08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vA9783633</vt:lpwstr>
  </property>
  <property fmtid="{D5CDD505-2E9C-101B-9397-08002B2CF9AE}" pid="16" name="Objective-Version">
    <vt:lpwstr>9.0</vt:lpwstr>
  </property>
  <property fmtid="{D5CDD505-2E9C-101B-9397-08002B2CF9AE}" pid="17" name="Objective-VersionNumber">
    <vt:r8>10</vt:r8>
  </property>
  <property fmtid="{D5CDD505-2E9C-101B-9397-08002B2CF9AE}" pid="18" name="Objective-VersionComment">
    <vt:lpwstr/>
  </property>
  <property fmtid="{D5CDD505-2E9C-101B-9397-08002B2CF9AE}" pid="19" name="Objective-FileNumber">
    <vt:lpwstr>DPC17/02643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nsitivity Label">
    <vt:lpwstr>OFFICIAL</vt:lpwstr>
  </property>
  <property fmtid="{D5CDD505-2E9C-101B-9397-08002B2CF9AE}" pid="23" name="Objective-Approval Status">
    <vt:lpwstr>Never Submitted</vt:lpwstr>
  </property>
  <property fmtid="{D5CDD505-2E9C-101B-9397-08002B2CF9AE}" pid="24" name="Objective-Document Type">
    <vt:lpwstr>Role Description (RD)</vt:lpwstr>
  </property>
  <property fmtid="{D5CDD505-2E9C-101B-9397-08002B2CF9AE}" pid="25" name="Objective-Approval History">
    <vt:lpwstr/>
  </property>
  <property fmtid="{D5CDD505-2E9C-101B-9397-08002B2CF9AE}" pid="26" name="Objective-Print and Dispatch Instructions">
    <vt:lpwstr/>
  </property>
  <property fmtid="{D5CDD505-2E9C-101B-9397-08002B2CF9AE}" pid="27" name="Objective-Connect Creator">
    <vt:lpwstr/>
  </property>
  <property fmtid="{D5CDD505-2E9C-101B-9397-08002B2CF9AE}" pid="28" name="Objective-Submitted By">
    <vt:lpwstr/>
  </property>
  <property fmtid="{D5CDD505-2E9C-101B-9397-08002B2CF9AE}" pid="29" name="Objective-Shared By">
    <vt:lpwstr/>
  </property>
  <property fmtid="{D5CDD505-2E9C-101B-9397-08002B2CF9AE}" pid="30" name="Objective-Approval Due">
    <vt:lpwstr/>
  </property>
  <property fmtid="{D5CDD505-2E9C-101B-9397-08002B2CF9AE}" pid="31" name="Objective-Current Approver">
    <vt:lpwstr/>
  </property>
  <property fmtid="{D5CDD505-2E9C-101B-9397-08002B2CF9AE}" pid="32" name="Objective-Document Tag(s)">
    <vt:lpwstr/>
  </property>
  <property fmtid="{D5CDD505-2E9C-101B-9397-08002B2CF9AE}" pid="33" name="Objective-Print and Dispatch Approach">
    <vt:lpwstr/>
  </property>
  <property fmtid="{D5CDD505-2E9C-101B-9397-08002B2CF9AE}" pid="34" name="Objective-Approval Date">
    <vt:lpwstr/>
  </property>
  <property fmtid="{D5CDD505-2E9C-101B-9397-08002B2CF9AE}" pid="35" name="Objective-Comment">
    <vt:lpwstr/>
  </property>
  <property fmtid="{D5CDD505-2E9C-101B-9397-08002B2CF9AE}" pid="36" name="Objective-Sensitivity Label [system]">
    <vt:lpwstr>None</vt:lpwstr>
  </property>
  <property fmtid="{D5CDD505-2E9C-101B-9397-08002B2CF9AE}" pid="37" name="Objective-Document Type [system]">
    <vt:lpwstr>Role Description (RD)</vt:lpwstr>
  </property>
  <property fmtid="{D5CDD505-2E9C-101B-9397-08002B2CF9AE}" pid="38" name="Objective-Approval Status [system]">
    <vt:lpwstr>Never Submitted</vt:lpwstr>
  </property>
  <property fmtid="{D5CDD505-2E9C-101B-9397-08002B2CF9AE}" pid="39" name="Objective-Approval Due [system]">
    <vt:lpwstr/>
  </property>
  <property fmtid="{D5CDD505-2E9C-101B-9397-08002B2CF9AE}" pid="40" name="Objective-Approval Date [system]">
    <vt:lpwstr/>
  </property>
  <property fmtid="{D5CDD505-2E9C-101B-9397-08002B2CF9AE}" pid="41" name="Objective-Submitted By [system]">
    <vt:lpwstr/>
  </property>
  <property fmtid="{D5CDD505-2E9C-101B-9397-08002B2CF9AE}" pid="42" name="Objective-Current Approver [system]">
    <vt:lpwstr/>
  </property>
  <property fmtid="{D5CDD505-2E9C-101B-9397-08002B2CF9AE}" pid="43" name="Objective-Approval History [system]">
    <vt:lpwstr/>
  </property>
  <property fmtid="{D5CDD505-2E9C-101B-9397-08002B2CF9AE}" pid="44" name="Objective-Print and Dispatch Approach [system]">
    <vt:lpwstr/>
  </property>
  <property fmtid="{D5CDD505-2E9C-101B-9397-08002B2CF9AE}" pid="45" name="Objective-Print and Dispatch Instructions [system]">
    <vt:lpwstr/>
  </property>
  <property fmtid="{D5CDD505-2E9C-101B-9397-08002B2CF9AE}" pid="46" name="Objective-Document Tag(s) [system]">
    <vt:lpwstr/>
  </property>
  <property fmtid="{D5CDD505-2E9C-101B-9397-08002B2CF9AE}" pid="47" name="Objective-Shared By [system]">
    <vt:lpwstr/>
  </property>
  <property fmtid="{D5CDD505-2E9C-101B-9397-08002B2CF9AE}" pid="48" name="Objective-Connect Creator [system]">
    <vt:lpwstr/>
  </property>
</Properties>
</file>