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77023C" w:rsidRPr="00DC0173" w14:paraId="40982DEE" w14:textId="77777777" w:rsidTr="00F10008">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D7B76DB" w14:textId="77777777" w:rsidR="0077023C" w:rsidRPr="00DC0173" w:rsidRDefault="0077023C" w:rsidP="0077023C">
            <w:pPr>
              <w:pStyle w:val="TableTextWhite"/>
              <w:rPr>
                <w:b/>
              </w:rPr>
            </w:pPr>
            <w:bookmarkStart w:id="0" w:name="_GoBack"/>
            <w:bookmarkEnd w:id="0"/>
            <w:r>
              <w:rPr>
                <w:b/>
              </w:rPr>
              <w:t>Cluster</w:t>
            </w:r>
          </w:p>
        </w:tc>
        <w:tc>
          <w:tcPr>
            <w:tcW w:w="6561" w:type="dxa"/>
          </w:tcPr>
          <w:p w14:paraId="47633F3D" w14:textId="77777777" w:rsidR="0077023C" w:rsidRPr="00DC0173" w:rsidRDefault="0077023C" w:rsidP="0077023C">
            <w:pPr>
              <w:pStyle w:val="TableTextWhite"/>
            </w:pPr>
            <w:r>
              <w:t>Planning, Industry &amp; Environment</w:t>
            </w:r>
          </w:p>
        </w:tc>
      </w:tr>
      <w:tr w:rsidR="0077023C" w:rsidRPr="00DC0173" w14:paraId="2DAE5C2C" w14:textId="77777777" w:rsidTr="00F10008">
        <w:tc>
          <w:tcPr>
            <w:tcW w:w="4026" w:type="dxa"/>
            <w:vAlign w:val="center"/>
          </w:tcPr>
          <w:p w14:paraId="6FB9130A" w14:textId="77777777" w:rsidR="0077023C" w:rsidRPr="00DC0173" w:rsidRDefault="0077023C" w:rsidP="0077023C">
            <w:pPr>
              <w:pStyle w:val="TableTextWhite"/>
              <w:rPr>
                <w:b/>
              </w:rPr>
            </w:pPr>
            <w:r>
              <w:rPr>
                <w:b/>
              </w:rPr>
              <w:t>Agency</w:t>
            </w:r>
          </w:p>
        </w:tc>
        <w:tc>
          <w:tcPr>
            <w:tcW w:w="6561" w:type="dxa"/>
          </w:tcPr>
          <w:p w14:paraId="2A5F55DA" w14:textId="77777777" w:rsidR="0077023C" w:rsidRPr="00DC0173" w:rsidRDefault="0077023C" w:rsidP="0077023C">
            <w:pPr>
              <w:pStyle w:val="TableTextWhite"/>
            </w:pPr>
            <w:r>
              <w:t xml:space="preserve">Department </w:t>
            </w:r>
            <w:proofErr w:type="gramStart"/>
            <w:r>
              <w:t>of  Planning</w:t>
            </w:r>
            <w:proofErr w:type="gramEnd"/>
            <w:r>
              <w:t>, Industry &amp; Environment</w:t>
            </w:r>
          </w:p>
        </w:tc>
      </w:tr>
      <w:tr w:rsidR="0077023C" w:rsidRPr="00DC0173" w14:paraId="4D7F8D19" w14:textId="77777777" w:rsidTr="00F10008">
        <w:tc>
          <w:tcPr>
            <w:tcW w:w="4026" w:type="dxa"/>
            <w:vAlign w:val="center"/>
          </w:tcPr>
          <w:p w14:paraId="3976FD5C" w14:textId="77777777" w:rsidR="0077023C" w:rsidRPr="00DC0173" w:rsidRDefault="0077023C" w:rsidP="0077023C">
            <w:pPr>
              <w:pStyle w:val="TableTextWhite"/>
              <w:rPr>
                <w:b/>
              </w:rPr>
            </w:pPr>
            <w:r>
              <w:rPr>
                <w:b/>
              </w:rPr>
              <w:t>Division/Branch/Unit</w:t>
            </w:r>
          </w:p>
        </w:tc>
        <w:tc>
          <w:tcPr>
            <w:tcW w:w="6561" w:type="dxa"/>
          </w:tcPr>
          <w:p w14:paraId="74D8BFC8" w14:textId="77777777" w:rsidR="0077023C" w:rsidRPr="00DC0173" w:rsidRDefault="0077023C" w:rsidP="0077023C">
            <w:pPr>
              <w:pStyle w:val="TableTextWhite"/>
              <w:tabs>
                <w:tab w:val="left" w:pos="2550"/>
              </w:tabs>
            </w:pPr>
            <w:r>
              <w:t>Water / Regional Water Strategy</w:t>
            </w:r>
            <w:r>
              <w:tab/>
            </w:r>
          </w:p>
        </w:tc>
      </w:tr>
      <w:tr w:rsidR="00577753" w:rsidRPr="00DC0173" w14:paraId="327CBDF3" w14:textId="77777777" w:rsidTr="00F10008">
        <w:tc>
          <w:tcPr>
            <w:tcW w:w="4026" w:type="dxa"/>
            <w:vAlign w:val="center"/>
          </w:tcPr>
          <w:p w14:paraId="1D2B207C" w14:textId="77777777" w:rsidR="00577753" w:rsidRPr="00DC0173" w:rsidRDefault="00577753" w:rsidP="00F10008">
            <w:pPr>
              <w:pStyle w:val="TableTextWhite"/>
              <w:rPr>
                <w:b/>
              </w:rPr>
            </w:pPr>
            <w:r>
              <w:rPr>
                <w:b/>
              </w:rPr>
              <w:t>Location</w:t>
            </w:r>
          </w:p>
        </w:tc>
        <w:tc>
          <w:tcPr>
            <w:tcW w:w="6561" w:type="dxa"/>
          </w:tcPr>
          <w:p w14:paraId="505D32EA" w14:textId="77777777" w:rsidR="00577753" w:rsidRPr="00DC0173" w:rsidRDefault="00613458" w:rsidP="00F10008">
            <w:pPr>
              <w:pStyle w:val="TableTextWhite"/>
            </w:pPr>
            <w:r>
              <w:t>Various Locations</w:t>
            </w:r>
          </w:p>
        </w:tc>
      </w:tr>
      <w:tr w:rsidR="00577753" w:rsidRPr="00DC0173" w14:paraId="103DCDDE" w14:textId="77777777" w:rsidTr="00F10008">
        <w:tc>
          <w:tcPr>
            <w:tcW w:w="4026" w:type="dxa"/>
            <w:vAlign w:val="center"/>
          </w:tcPr>
          <w:p w14:paraId="42A7E70D" w14:textId="77777777" w:rsidR="00577753" w:rsidRPr="00DC0173" w:rsidRDefault="00577753" w:rsidP="00F10008">
            <w:pPr>
              <w:pStyle w:val="TableTextWhite"/>
              <w:rPr>
                <w:b/>
              </w:rPr>
            </w:pPr>
            <w:r>
              <w:rPr>
                <w:b/>
              </w:rPr>
              <w:t>Classification/Grade/Band</w:t>
            </w:r>
          </w:p>
        </w:tc>
        <w:tc>
          <w:tcPr>
            <w:tcW w:w="6561" w:type="dxa"/>
          </w:tcPr>
          <w:p w14:paraId="6701ED27" w14:textId="77777777" w:rsidR="00577753" w:rsidRPr="00DC0173" w:rsidRDefault="00577753" w:rsidP="00F10008">
            <w:pPr>
              <w:pStyle w:val="TableTextWhite"/>
            </w:pPr>
            <w:r>
              <w:t>Clerk Grade 9-10</w:t>
            </w:r>
          </w:p>
        </w:tc>
      </w:tr>
      <w:tr w:rsidR="00577753" w:rsidRPr="00DC0173" w14:paraId="7642D2EE" w14:textId="77777777" w:rsidTr="00F10008">
        <w:tc>
          <w:tcPr>
            <w:tcW w:w="4026" w:type="dxa"/>
            <w:vAlign w:val="center"/>
          </w:tcPr>
          <w:p w14:paraId="49556846" w14:textId="77777777" w:rsidR="00577753" w:rsidRDefault="00577753" w:rsidP="000C3566">
            <w:pPr>
              <w:pStyle w:val="TableTextWhite"/>
              <w:rPr>
                <w:b/>
              </w:rPr>
            </w:pPr>
            <w:r>
              <w:rPr>
                <w:b/>
              </w:rPr>
              <w:t xml:space="preserve">Role </w:t>
            </w:r>
            <w:r w:rsidR="000C3566">
              <w:rPr>
                <w:b/>
              </w:rPr>
              <w:t>Family</w:t>
            </w:r>
          </w:p>
        </w:tc>
        <w:tc>
          <w:tcPr>
            <w:tcW w:w="6561" w:type="dxa"/>
          </w:tcPr>
          <w:p w14:paraId="38983D2D" w14:textId="77777777" w:rsidR="00577753" w:rsidRDefault="001A0FC9" w:rsidP="00F10008">
            <w:pPr>
              <w:pStyle w:val="TableTextWhite"/>
            </w:pPr>
            <w:r>
              <w:t>Bespoke/Projects and Programs/Deliver</w:t>
            </w:r>
          </w:p>
        </w:tc>
      </w:tr>
      <w:tr w:rsidR="00577753" w:rsidRPr="00DC0173" w14:paraId="5EB07D07" w14:textId="77777777" w:rsidTr="00F10008">
        <w:tc>
          <w:tcPr>
            <w:tcW w:w="4026" w:type="dxa"/>
            <w:vAlign w:val="center"/>
          </w:tcPr>
          <w:p w14:paraId="51D0AD11" w14:textId="77777777" w:rsidR="00577753" w:rsidRPr="00DC0173" w:rsidRDefault="00577753" w:rsidP="00F10008">
            <w:pPr>
              <w:pStyle w:val="TableTextWhite"/>
              <w:rPr>
                <w:b/>
              </w:rPr>
            </w:pPr>
            <w:r>
              <w:rPr>
                <w:b/>
              </w:rPr>
              <w:t>ANZSCO Code</w:t>
            </w:r>
          </w:p>
        </w:tc>
        <w:tc>
          <w:tcPr>
            <w:tcW w:w="6561" w:type="dxa"/>
          </w:tcPr>
          <w:p w14:paraId="4FBB4A2F" w14:textId="77777777" w:rsidR="00577753" w:rsidRPr="00DC0173" w:rsidRDefault="00577753" w:rsidP="00F10008">
            <w:pPr>
              <w:pStyle w:val="TableTextWhite"/>
            </w:pPr>
            <w:r>
              <w:t>511112</w:t>
            </w:r>
          </w:p>
        </w:tc>
      </w:tr>
      <w:tr w:rsidR="00577753" w:rsidRPr="00DC0173" w14:paraId="60859419" w14:textId="77777777" w:rsidTr="00F10008">
        <w:tc>
          <w:tcPr>
            <w:tcW w:w="4026" w:type="dxa"/>
            <w:vAlign w:val="center"/>
          </w:tcPr>
          <w:p w14:paraId="39D5A2EC" w14:textId="77777777" w:rsidR="00577753" w:rsidRPr="00DC0173" w:rsidRDefault="00577753" w:rsidP="00F10008">
            <w:pPr>
              <w:pStyle w:val="TableTextWhite"/>
              <w:rPr>
                <w:b/>
              </w:rPr>
            </w:pPr>
            <w:r>
              <w:rPr>
                <w:b/>
              </w:rPr>
              <w:t>PCAT Code</w:t>
            </w:r>
          </w:p>
        </w:tc>
        <w:tc>
          <w:tcPr>
            <w:tcW w:w="6561" w:type="dxa"/>
          </w:tcPr>
          <w:p w14:paraId="26F3F095" w14:textId="77777777" w:rsidR="00577753" w:rsidRPr="00DC0173" w:rsidRDefault="00577753" w:rsidP="00F10008">
            <w:pPr>
              <w:pStyle w:val="TableTextWhite"/>
            </w:pPr>
            <w:r>
              <w:t>1119192</w:t>
            </w:r>
          </w:p>
        </w:tc>
      </w:tr>
      <w:tr w:rsidR="00577753" w:rsidRPr="00DC0173" w14:paraId="3F142715" w14:textId="77777777" w:rsidTr="00F10008">
        <w:tc>
          <w:tcPr>
            <w:tcW w:w="4026" w:type="dxa"/>
            <w:vAlign w:val="center"/>
          </w:tcPr>
          <w:p w14:paraId="59493BBC" w14:textId="77777777" w:rsidR="00577753" w:rsidRPr="00DC0173" w:rsidRDefault="00577753" w:rsidP="00F10008">
            <w:pPr>
              <w:pStyle w:val="TableTextWhite"/>
              <w:rPr>
                <w:b/>
              </w:rPr>
            </w:pPr>
            <w:r>
              <w:rPr>
                <w:b/>
              </w:rPr>
              <w:t>Date of Approval</w:t>
            </w:r>
          </w:p>
        </w:tc>
        <w:tc>
          <w:tcPr>
            <w:tcW w:w="6561" w:type="dxa"/>
          </w:tcPr>
          <w:p w14:paraId="394F3368" w14:textId="77777777" w:rsidR="00577753" w:rsidRPr="00DC0173" w:rsidRDefault="000C3566" w:rsidP="00F10008">
            <w:pPr>
              <w:pStyle w:val="TableTextWhite"/>
            </w:pPr>
            <w:r>
              <w:t>January 2019</w:t>
            </w:r>
            <w:r w:rsidR="0077023C">
              <w:t xml:space="preserve"> (updated July 2019)</w:t>
            </w:r>
          </w:p>
        </w:tc>
      </w:tr>
      <w:tr w:rsidR="00577753" w:rsidRPr="00DC0173" w14:paraId="141A1658" w14:textId="77777777" w:rsidTr="00F10008">
        <w:tc>
          <w:tcPr>
            <w:tcW w:w="4026" w:type="dxa"/>
          </w:tcPr>
          <w:p w14:paraId="6B519B2A" w14:textId="77777777" w:rsidR="00577753" w:rsidRPr="002843FA" w:rsidRDefault="00577753" w:rsidP="00F10008">
            <w:r w:rsidRPr="00137AB1">
              <w:rPr>
                <w:b/>
                <w:color w:val="FFFFFF"/>
              </w:rPr>
              <w:t>Agency Website</w:t>
            </w:r>
          </w:p>
        </w:tc>
        <w:bookmarkStart w:id="1" w:name="OLE_LINK62"/>
        <w:bookmarkStart w:id="2" w:name="OLE_LINK42"/>
        <w:bookmarkStart w:id="3" w:name="OLE_LINK41"/>
        <w:bookmarkStart w:id="4" w:name="OLE_LINK40"/>
        <w:bookmarkStart w:id="5" w:name="OLE_LINK68"/>
        <w:bookmarkStart w:id="6" w:name="OLE_LINK65"/>
        <w:bookmarkStart w:id="7" w:name="OLE_LINK56"/>
        <w:bookmarkStart w:id="8" w:name="OLE_LINK55"/>
        <w:bookmarkStart w:id="9" w:name="OLE_LINK51"/>
        <w:bookmarkStart w:id="10" w:name="OLE_LINK45"/>
        <w:bookmarkStart w:id="11" w:name="OLE_LINK36"/>
        <w:bookmarkStart w:id="12" w:name="OLE_LINK35"/>
        <w:bookmarkStart w:id="13" w:name="OLE_LINK25"/>
        <w:bookmarkStart w:id="14" w:name="OLE_LINK19"/>
        <w:bookmarkStart w:id="15" w:name="OLE_LINK18"/>
        <w:bookmarkStart w:id="16" w:name="OLE_LINK16"/>
        <w:bookmarkStart w:id="17" w:name="OLE_LINK14"/>
        <w:bookmarkStart w:id="18" w:name="OLE_LINK13"/>
        <w:bookmarkStart w:id="19" w:name="OLE_LINK7"/>
        <w:bookmarkStart w:id="20" w:name="OLE_LINK6"/>
        <w:bookmarkStart w:id="21" w:name="OLE_LINK3"/>
        <w:bookmarkStart w:id="22" w:name="OLE_LINK2"/>
        <w:bookmarkStart w:id="23" w:name="OLE_LINK1"/>
        <w:tc>
          <w:tcPr>
            <w:tcW w:w="6561" w:type="dxa"/>
          </w:tcPr>
          <w:p w14:paraId="5CBE7A20" w14:textId="77777777" w:rsidR="00577753" w:rsidRDefault="00D147EE" w:rsidP="0077023C">
            <w:r>
              <w:fldChar w:fldCharType="begin"/>
            </w:r>
            <w:r>
              <w:instrText xml:space="preserve"> HYPERLINK "</w:instrText>
            </w:r>
            <w:r w:rsidRPr="00D147EE">
              <w:rPr>
                <w:sz w:val="22"/>
              </w:rPr>
              <w:instrText>https://www.dpie.nsw.gov.au</w:instrText>
            </w:r>
            <w:r>
              <w:instrText xml:space="preserve">" </w:instrText>
            </w:r>
            <w:r>
              <w:fldChar w:fldCharType="separate"/>
            </w:r>
            <w:r w:rsidRPr="00717B41">
              <w:rPr>
                <w:rStyle w:val="Hyperlink"/>
                <w:sz w:val="22"/>
              </w:rPr>
              <w:t>https://www.dpie.nsw.gov.au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fldChar w:fldCharType="end"/>
            </w:r>
          </w:p>
        </w:tc>
      </w:tr>
    </w:tbl>
    <w:p w14:paraId="672A6659" w14:textId="77777777" w:rsidR="006A2280" w:rsidRDefault="006A2280" w:rsidP="006A2280">
      <w:pPr>
        <w:tabs>
          <w:tab w:val="left" w:pos="2925"/>
        </w:tabs>
      </w:pPr>
    </w:p>
    <w:p w14:paraId="60103EC8" w14:textId="77777777" w:rsidR="0077023C" w:rsidRPr="00614552" w:rsidRDefault="0077023C" w:rsidP="0077023C">
      <w:pPr>
        <w:tabs>
          <w:tab w:val="left" w:pos="2925"/>
        </w:tabs>
        <w:rPr>
          <w:rStyle w:val="Heading1Char"/>
        </w:rPr>
      </w:pPr>
      <w:r w:rsidRPr="00614552">
        <w:rPr>
          <w:rStyle w:val="Heading1Char"/>
        </w:rPr>
        <w:t>Agency overview</w:t>
      </w:r>
    </w:p>
    <w:p w14:paraId="60FE4A75" w14:textId="77777777" w:rsidR="0077023C" w:rsidRPr="00CF497C" w:rsidRDefault="0077023C" w:rsidP="0077023C">
      <w:pPr>
        <w:rPr>
          <w:rFonts w:eastAsia="Calibri"/>
          <w:color w:val="111111"/>
          <w:lang w:val="en"/>
        </w:rPr>
      </w:pPr>
      <w:bookmarkStart w:id="24" w:name="OLE_LINK5"/>
      <w:bookmarkStart w:id="25" w:name="OLE_LINK4"/>
      <w:bookmarkStart w:id="26" w:name="OLE_LINK26"/>
      <w:bookmarkStart w:id="27" w:name="OLE_LINK20"/>
      <w:bookmarkStart w:id="28" w:name="OLE_LINK17"/>
      <w:bookmarkStart w:id="29" w:name="OLE_LINK15"/>
      <w:bookmarkStart w:id="30" w:name="OLE_LINK12"/>
      <w:bookmarkStart w:id="31" w:name="OLE_LINK9"/>
      <w:bookmarkStart w:id="32" w:name="OLE_LINK8"/>
      <w:r w:rsidRPr="00CF497C">
        <w:rPr>
          <w:rFonts w:eastAsia="Calibri"/>
          <w:color w:val="111111"/>
          <w:lang w:val="en"/>
        </w:rPr>
        <w:t>The Planning, Industry and Environment Cluster was formed in 2019. The Cluster drives greater levels of integration and efficiency across key areas such as long-term planning, precincts, housing, property, infrastructure priorities, open space, the environment, our natural resources – land, water, mining – energy, and growing our industries. There is a strong emphasis on regional NSW.</w:t>
      </w:r>
    </w:p>
    <w:bookmarkEnd w:id="24"/>
    <w:bookmarkEnd w:id="25"/>
    <w:bookmarkEnd w:id="26"/>
    <w:bookmarkEnd w:id="27"/>
    <w:bookmarkEnd w:id="28"/>
    <w:bookmarkEnd w:id="29"/>
    <w:bookmarkEnd w:id="30"/>
    <w:bookmarkEnd w:id="31"/>
    <w:bookmarkEnd w:id="32"/>
    <w:p w14:paraId="0379C07B" w14:textId="77777777" w:rsidR="00037FD5" w:rsidRPr="00614552" w:rsidRDefault="00037FD5" w:rsidP="006A2280">
      <w:pPr>
        <w:tabs>
          <w:tab w:val="left" w:pos="2925"/>
        </w:tabs>
        <w:rPr>
          <w:rStyle w:val="Heading1Char"/>
        </w:rPr>
      </w:pPr>
      <w:r w:rsidRPr="00614552">
        <w:rPr>
          <w:rStyle w:val="Heading1Char"/>
        </w:rPr>
        <w:t>Primary purpose of the role</w:t>
      </w:r>
    </w:p>
    <w:p w14:paraId="5B51EA0F" w14:textId="77777777" w:rsidR="0013413E" w:rsidRDefault="00B416FD" w:rsidP="006A2280">
      <w:pPr>
        <w:tabs>
          <w:tab w:val="left" w:pos="2925"/>
        </w:tabs>
        <w:rPr>
          <w:rFonts w:ascii="Georgia" w:hAnsi="Georgia"/>
        </w:rPr>
      </w:pPr>
      <w:r>
        <w:rPr>
          <w:rFonts w:cs="Arial"/>
        </w:rPr>
        <w:t>Coordinates</w:t>
      </w:r>
      <w:r w:rsidR="00037FD5" w:rsidRPr="00614552">
        <w:rPr>
          <w:rFonts w:cs="Arial"/>
        </w:rPr>
        <w:t xml:space="preserve"> a range of complex analytic and research activities and projects to provide sound and reliable input to the delivery of the NSW </w:t>
      </w:r>
      <w:r w:rsidR="000C3566">
        <w:t>Government’s regional water strategies, consistent with the State’s water sector strategic planning priorities, the State’s and Commonwealth’s water reform agenda, and relevant legislation.</w:t>
      </w:r>
    </w:p>
    <w:p w14:paraId="1368991A" w14:textId="77777777" w:rsidR="00F339CD" w:rsidRDefault="00F339CD" w:rsidP="00614552">
      <w:pPr>
        <w:pStyle w:val="Heading1"/>
      </w:pPr>
      <w:r w:rsidRPr="00A14A03">
        <w:t>Key accountabilities</w:t>
      </w:r>
    </w:p>
    <w:p w14:paraId="72DED812" w14:textId="77777777" w:rsidR="000C3566" w:rsidRPr="000C3566" w:rsidRDefault="000C3566" w:rsidP="000C3566">
      <w:pPr>
        <w:pStyle w:val="ListParagraph"/>
        <w:numPr>
          <w:ilvl w:val="0"/>
          <w:numId w:val="11"/>
        </w:numPr>
        <w:spacing w:after="160" w:line="259" w:lineRule="auto"/>
      </w:pPr>
      <w:r w:rsidRPr="000C3566">
        <w:t>Provide informed advice and technical services to support the development, negotiation and resolution of regional water strategies</w:t>
      </w:r>
    </w:p>
    <w:p w14:paraId="2B0E9B79" w14:textId="77777777" w:rsidR="000C3566" w:rsidRPr="000C3566" w:rsidRDefault="000C3566" w:rsidP="000C3566">
      <w:pPr>
        <w:pStyle w:val="ListParagraph"/>
        <w:numPr>
          <w:ilvl w:val="0"/>
          <w:numId w:val="11"/>
        </w:numPr>
        <w:spacing w:after="160" w:line="259" w:lineRule="auto"/>
      </w:pPr>
      <w:proofErr w:type="spellStart"/>
      <w:r w:rsidRPr="000C3566">
        <w:t>Analyse</w:t>
      </w:r>
      <w:proofErr w:type="spellEnd"/>
      <w:r w:rsidRPr="000C3566">
        <w:t xml:space="preserve"> priority issues, initiate research and consultation activities and prepare recommendations to inform the development of strategic options, policies and plans to improve water security and service provision</w:t>
      </w:r>
    </w:p>
    <w:p w14:paraId="39E8C96F" w14:textId="77777777" w:rsidR="000C3566" w:rsidRPr="000C3566" w:rsidRDefault="000C3566" w:rsidP="000C3566">
      <w:pPr>
        <w:pStyle w:val="ListParagraph"/>
        <w:numPr>
          <w:ilvl w:val="0"/>
          <w:numId w:val="11"/>
        </w:numPr>
        <w:spacing w:after="160" w:line="259" w:lineRule="auto"/>
      </w:pPr>
      <w:r w:rsidRPr="000C3566">
        <w:t>Develop and implement strategies for community consultation/communication to support engagement activities</w:t>
      </w:r>
    </w:p>
    <w:p w14:paraId="2FFC6AF3" w14:textId="77777777" w:rsidR="000C3566" w:rsidRPr="000C3566" w:rsidRDefault="000C3566" w:rsidP="000C3566">
      <w:pPr>
        <w:pStyle w:val="ListParagraph"/>
        <w:numPr>
          <w:ilvl w:val="0"/>
          <w:numId w:val="11"/>
        </w:numPr>
        <w:spacing w:after="160" w:line="259" w:lineRule="auto"/>
      </w:pPr>
      <w:r w:rsidRPr="000C3566">
        <w:t>Lead and manage projects to develop, assess, and prioritise water solutions including infrastructure, policy or planning issues</w:t>
      </w:r>
    </w:p>
    <w:p w14:paraId="7BB4D9C7" w14:textId="77777777" w:rsidR="000C3566" w:rsidRPr="000C3566" w:rsidRDefault="000C3566" w:rsidP="000C3566">
      <w:pPr>
        <w:pStyle w:val="ListParagraph"/>
        <w:numPr>
          <w:ilvl w:val="0"/>
          <w:numId w:val="11"/>
        </w:numPr>
        <w:spacing w:after="160" w:line="259" w:lineRule="auto"/>
      </w:pPr>
      <w:r w:rsidRPr="000C3566">
        <w:t>Prepare advice in the form of briefs, policy and discussion papers on key water strategy issues to respond to Ministerial, Cabinet or Departmental requests</w:t>
      </w:r>
    </w:p>
    <w:p w14:paraId="4594D5E7" w14:textId="77777777" w:rsidR="000C3566" w:rsidRPr="000C3566" w:rsidRDefault="000C3566" w:rsidP="000C3566">
      <w:pPr>
        <w:pStyle w:val="ListParagraph"/>
        <w:numPr>
          <w:ilvl w:val="0"/>
          <w:numId w:val="11"/>
        </w:numPr>
        <w:spacing w:after="160" w:line="259" w:lineRule="auto"/>
      </w:pPr>
      <w:r w:rsidRPr="000C3566">
        <w:t>Provide input to discussions to facilitate the understanding of water strategy matters, infrastructure, policies and planning solutions</w:t>
      </w:r>
    </w:p>
    <w:p w14:paraId="67BE9712" w14:textId="77777777" w:rsidR="000C3566" w:rsidRPr="000C3566" w:rsidRDefault="000C3566" w:rsidP="000C3566">
      <w:pPr>
        <w:pStyle w:val="ListParagraph"/>
        <w:numPr>
          <w:ilvl w:val="0"/>
          <w:numId w:val="11"/>
        </w:numPr>
        <w:spacing w:after="160" w:line="259" w:lineRule="auto"/>
      </w:pPr>
      <w:r w:rsidRPr="000C3566">
        <w:lastRenderedPageBreak/>
        <w:t>Establish and fosters productive information networks that enables the coordination and implementation of consultation activities</w:t>
      </w:r>
    </w:p>
    <w:p w14:paraId="7EDFDE5F" w14:textId="77777777" w:rsidR="000C3566" w:rsidRPr="000C3566" w:rsidRDefault="000C3566" w:rsidP="000C3566">
      <w:pPr>
        <w:pStyle w:val="ListParagraph"/>
        <w:numPr>
          <w:ilvl w:val="0"/>
          <w:numId w:val="11"/>
        </w:numPr>
        <w:spacing w:after="160" w:line="259" w:lineRule="auto"/>
      </w:pPr>
      <w:r w:rsidRPr="000C3566">
        <w:t>Prepare a range of communications materials and consultation activities to support the water strategy development and implementation process</w:t>
      </w:r>
    </w:p>
    <w:p w14:paraId="5300B2EE" w14:textId="77777777" w:rsidR="001D097C" w:rsidRPr="00614552" w:rsidRDefault="001D097C" w:rsidP="006A2280">
      <w:pPr>
        <w:tabs>
          <w:tab w:val="left" w:pos="2925"/>
        </w:tabs>
        <w:rPr>
          <w:rStyle w:val="Heading1Char"/>
        </w:rPr>
      </w:pPr>
      <w:r w:rsidRPr="00614552">
        <w:rPr>
          <w:rStyle w:val="Heading1Char"/>
        </w:rPr>
        <w:t>Key challenges</w:t>
      </w:r>
    </w:p>
    <w:p w14:paraId="2355510B" w14:textId="77777777" w:rsidR="000C3566" w:rsidRDefault="00D147EE" w:rsidP="00D147EE">
      <w:pPr>
        <w:pStyle w:val="ListParagraph"/>
        <w:numPr>
          <w:ilvl w:val="0"/>
          <w:numId w:val="12"/>
        </w:numPr>
        <w:tabs>
          <w:tab w:val="left" w:pos="2925"/>
        </w:tabs>
        <w:ind w:left="714" w:hanging="357"/>
      </w:pPr>
      <w:r>
        <w:t>Provide considered, data driven strategy advice within short timeframes to key internal and external stakeholders</w:t>
      </w:r>
    </w:p>
    <w:p w14:paraId="0EA877EA" w14:textId="77777777" w:rsidR="00D147EE" w:rsidRDefault="00D147EE" w:rsidP="00D147EE">
      <w:pPr>
        <w:pStyle w:val="ListParagraph"/>
        <w:numPr>
          <w:ilvl w:val="0"/>
          <w:numId w:val="12"/>
        </w:numPr>
        <w:tabs>
          <w:tab w:val="left" w:pos="2925"/>
        </w:tabs>
        <w:ind w:left="714" w:hanging="357"/>
      </w:pPr>
      <w:r>
        <w:t>Effectively contributing to consultations, negotiations and cross-sector partnership arrangements on sensitive water management arrangements</w:t>
      </w:r>
    </w:p>
    <w:p w14:paraId="4A19855F" w14:textId="77777777" w:rsidR="00D147EE" w:rsidRPr="000C3566" w:rsidRDefault="00D147EE" w:rsidP="00D147EE">
      <w:pPr>
        <w:pStyle w:val="ListParagraph"/>
        <w:numPr>
          <w:ilvl w:val="0"/>
          <w:numId w:val="12"/>
        </w:numPr>
        <w:tabs>
          <w:tab w:val="left" w:pos="2925"/>
        </w:tabs>
        <w:ind w:left="714" w:hanging="357"/>
      </w:pPr>
      <w:r>
        <w:t>Maintaining knowledge of contemporary trends and developments in approaches to strategic water management and implications for market and investment aspects of regional strategies</w:t>
      </w:r>
    </w:p>
    <w:p w14:paraId="23E8874D" w14:textId="77777777" w:rsidR="00F339CD" w:rsidRPr="00EC5C1D" w:rsidRDefault="00EC5C1D" w:rsidP="000C3566">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2DF950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A19083A" w14:textId="77777777" w:rsidR="00BB532F" w:rsidRPr="00C978B9" w:rsidRDefault="00BB532F" w:rsidP="00BD7BA7">
            <w:pPr>
              <w:pStyle w:val="TableTextWhite0"/>
            </w:pPr>
            <w:r w:rsidRPr="00C978B9">
              <w:t>Who</w:t>
            </w:r>
          </w:p>
        </w:tc>
        <w:tc>
          <w:tcPr>
            <w:tcW w:w="6986" w:type="dxa"/>
          </w:tcPr>
          <w:p w14:paraId="246AA1DD" w14:textId="77777777" w:rsidR="00BB532F" w:rsidRPr="00C978B9" w:rsidRDefault="00022223" w:rsidP="00022223">
            <w:pPr>
              <w:pStyle w:val="TableTextWhite0"/>
            </w:pPr>
            <w:r>
              <w:t xml:space="preserve">       </w:t>
            </w:r>
            <w:r w:rsidR="00BB532F" w:rsidRPr="00C978B9">
              <w:t>Why</w:t>
            </w:r>
          </w:p>
        </w:tc>
      </w:tr>
      <w:tr w:rsidR="00BB532F" w:rsidRPr="00A8245E" w14:paraId="7CBB83DA" w14:textId="77777777" w:rsidTr="00CE105E">
        <w:tc>
          <w:tcPr>
            <w:tcW w:w="3601" w:type="dxa"/>
            <w:shd w:val="clear" w:color="auto" w:fill="BCBEC0"/>
          </w:tcPr>
          <w:p w14:paraId="7A2EC13D"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A37501D" w14:textId="77777777" w:rsidR="00BB532F" w:rsidRPr="00A8245E" w:rsidRDefault="00BB532F" w:rsidP="00BD7BA7">
            <w:pPr>
              <w:pStyle w:val="TableText"/>
              <w:keepNext/>
              <w:rPr>
                <w:b/>
              </w:rPr>
            </w:pPr>
          </w:p>
        </w:tc>
      </w:tr>
      <w:tr w:rsidR="00BB532F" w:rsidRPr="00C978B9" w14:paraId="02CF55D9" w14:textId="77777777" w:rsidTr="001A0FC9">
        <w:trPr>
          <w:trHeight w:val="910"/>
        </w:trPr>
        <w:tc>
          <w:tcPr>
            <w:tcW w:w="3601" w:type="dxa"/>
            <w:tcBorders>
              <w:top w:val="single" w:sz="8" w:space="0" w:color="auto"/>
              <w:bottom w:val="single" w:sz="8" w:space="0" w:color="BCBEC0"/>
            </w:tcBorders>
          </w:tcPr>
          <w:p w14:paraId="4BD602BE" w14:textId="77777777" w:rsidR="00BB532F" w:rsidRPr="00A15CDB" w:rsidRDefault="00122AC1" w:rsidP="001A0FC9">
            <w:pPr>
              <w:spacing w:after="160" w:line="259" w:lineRule="auto"/>
            </w:pPr>
            <w:r>
              <w:t>Manager</w:t>
            </w:r>
          </w:p>
        </w:tc>
        <w:tc>
          <w:tcPr>
            <w:tcW w:w="6986" w:type="dxa"/>
            <w:tcBorders>
              <w:top w:val="single" w:sz="8" w:space="0" w:color="auto"/>
              <w:bottom w:val="single" w:sz="8" w:space="0" w:color="BCBEC0"/>
            </w:tcBorders>
          </w:tcPr>
          <w:p w14:paraId="55B7E37C" w14:textId="77777777" w:rsidR="001A0FC9" w:rsidRDefault="000C3566" w:rsidP="001A0FC9">
            <w:pPr>
              <w:pStyle w:val="ListParagraph"/>
              <w:numPr>
                <w:ilvl w:val="0"/>
                <w:numId w:val="15"/>
              </w:numPr>
              <w:spacing w:after="160" w:line="259" w:lineRule="auto"/>
            </w:pPr>
            <w:r w:rsidRPr="000C3566">
              <w:t>Receive direction and guidance and provide feedback on work prioritisation and delivery.</w:t>
            </w:r>
          </w:p>
          <w:p w14:paraId="1C43C222" w14:textId="77777777" w:rsidR="00BB532F" w:rsidRPr="00A15CDB" w:rsidRDefault="000C3566" w:rsidP="001A0FC9">
            <w:pPr>
              <w:pStyle w:val="ListParagraph"/>
              <w:numPr>
                <w:ilvl w:val="0"/>
                <w:numId w:val="15"/>
              </w:numPr>
              <w:spacing w:after="160" w:line="259" w:lineRule="auto"/>
            </w:pPr>
            <w:r w:rsidRPr="000C3566">
              <w:t>Escalate issues, keep informed</w:t>
            </w:r>
            <w:r>
              <w:t>, advise and receive instructions</w:t>
            </w:r>
          </w:p>
        </w:tc>
      </w:tr>
      <w:tr w:rsidR="00BB532F" w:rsidRPr="00C978B9" w14:paraId="18025382" w14:textId="77777777" w:rsidTr="00CE105E">
        <w:tc>
          <w:tcPr>
            <w:tcW w:w="3601" w:type="dxa"/>
            <w:tcBorders>
              <w:top w:val="single" w:sz="8" w:space="0" w:color="auto"/>
              <w:bottom w:val="single" w:sz="8" w:space="0" w:color="BCBEC0"/>
            </w:tcBorders>
          </w:tcPr>
          <w:p w14:paraId="7097B7AB" w14:textId="77777777" w:rsidR="00BB532F" w:rsidRPr="00A15CDB" w:rsidRDefault="00577753" w:rsidP="002B1F76">
            <w:pPr>
              <w:pStyle w:val="TableText"/>
            </w:pPr>
            <w:r>
              <w:t>Team</w:t>
            </w:r>
          </w:p>
        </w:tc>
        <w:tc>
          <w:tcPr>
            <w:tcW w:w="6986" w:type="dxa"/>
            <w:tcBorders>
              <w:top w:val="single" w:sz="8" w:space="0" w:color="auto"/>
              <w:bottom w:val="single" w:sz="8" w:space="0" w:color="BCBEC0"/>
            </w:tcBorders>
          </w:tcPr>
          <w:p w14:paraId="08B987F3" w14:textId="77777777" w:rsidR="000C3566" w:rsidRPr="000C3566" w:rsidRDefault="000C3566" w:rsidP="000C3566">
            <w:pPr>
              <w:pStyle w:val="ListParagraph"/>
              <w:numPr>
                <w:ilvl w:val="0"/>
                <w:numId w:val="16"/>
              </w:numPr>
              <w:spacing w:after="160" w:line="259" w:lineRule="auto"/>
            </w:pPr>
            <w:r w:rsidRPr="000C3566">
              <w:t xml:space="preserve">Transfer knowledge, </w:t>
            </w:r>
            <w:proofErr w:type="gramStart"/>
            <w:r w:rsidRPr="000C3566">
              <w:t>in particular to</w:t>
            </w:r>
            <w:proofErr w:type="gramEnd"/>
            <w:r w:rsidRPr="000C3566">
              <w:t xml:space="preserve"> less experienced team members.</w:t>
            </w:r>
          </w:p>
          <w:p w14:paraId="637BB421" w14:textId="77777777" w:rsidR="00BB532F" w:rsidRPr="00A15CDB" w:rsidRDefault="000C3566" w:rsidP="000C3566">
            <w:pPr>
              <w:pStyle w:val="ListParagraph"/>
              <w:numPr>
                <w:ilvl w:val="0"/>
                <w:numId w:val="16"/>
              </w:numPr>
              <w:spacing w:after="160" w:line="259" w:lineRule="auto"/>
            </w:pPr>
            <w:r w:rsidRPr="000C3566">
              <w:t>Develop and maintain effective working relationships and open channels of communication.</w:t>
            </w:r>
          </w:p>
        </w:tc>
      </w:tr>
      <w:tr w:rsidR="00BB532F" w:rsidRPr="00C978B9" w14:paraId="16F62E8D" w14:textId="77777777" w:rsidTr="00CE105E">
        <w:tc>
          <w:tcPr>
            <w:tcW w:w="3601" w:type="dxa"/>
            <w:tcBorders>
              <w:top w:val="single" w:sz="8" w:space="0" w:color="auto"/>
              <w:bottom w:val="single" w:sz="8" w:space="0" w:color="BCBEC0"/>
            </w:tcBorders>
          </w:tcPr>
          <w:p w14:paraId="0C12A166" w14:textId="77777777" w:rsidR="000C3566" w:rsidRPr="000C3566" w:rsidRDefault="00122AC1" w:rsidP="000C3566">
            <w:pPr>
              <w:spacing w:after="160" w:line="259" w:lineRule="auto"/>
            </w:pPr>
            <w:r>
              <w:t>Other Staff across the Division</w:t>
            </w:r>
          </w:p>
          <w:p w14:paraId="5DAB6C7B" w14:textId="77777777" w:rsidR="00BB532F" w:rsidRPr="00A15CDB" w:rsidRDefault="00BB532F" w:rsidP="002B1F76">
            <w:pPr>
              <w:pStyle w:val="TableText"/>
            </w:pPr>
          </w:p>
        </w:tc>
        <w:tc>
          <w:tcPr>
            <w:tcW w:w="6986" w:type="dxa"/>
            <w:tcBorders>
              <w:top w:val="single" w:sz="8" w:space="0" w:color="auto"/>
              <w:bottom w:val="single" w:sz="8" w:space="0" w:color="BCBEC0"/>
            </w:tcBorders>
          </w:tcPr>
          <w:p w14:paraId="32CE5D00" w14:textId="77777777" w:rsidR="001A0FC9" w:rsidRPr="001A0FC9" w:rsidRDefault="001A0FC9" w:rsidP="001A0FC9">
            <w:pPr>
              <w:pStyle w:val="ListParagraph"/>
              <w:numPr>
                <w:ilvl w:val="0"/>
                <w:numId w:val="17"/>
              </w:numPr>
              <w:spacing w:after="160" w:line="259" w:lineRule="auto"/>
            </w:pPr>
            <w:r w:rsidRPr="001A0FC9">
              <w:t>Coordinate working groups to develop and implement water strategies, including to create policy and procedure relating to long-term water strategic planning</w:t>
            </w:r>
          </w:p>
          <w:p w14:paraId="7D17DC93" w14:textId="77777777" w:rsidR="001A0FC9" w:rsidRPr="001A0FC9" w:rsidRDefault="001A0FC9" w:rsidP="001A0FC9">
            <w:pPr>
              <w:pStyle w:val="ListParagraph"/>
              <w:numPr>
                <w:ilvl w:val="0"/>
                <w:numId w:val="17"/>
              </w:numPr>
              <w:spacing w:after="160" w:line="259" w:lineRule="auto"/>
            </w:pPr>
            <w:r w:rsidRPr="001A0FC9">
              <w:t>Participate in cross agency teams to identify, discuss and resolve issues</w:t>
            </w:r>
          </w:p>
          <w:p w14:paraId="1B781A54" w14:textId="77777777" w:rsidR="001A0FC9" w:rsidRPr="001A0FC9" w:rsidRDefault="001A0FC9" w:rsidP="001A0FC9">
            <w:pPr>
              <w:pStyle w:val="ListParagraph"/>
              <w:numPr>
                <w:ilvl w:val="0"/>
                <w:numId w:val="17"/>
              </w:numPr>
              <w:spacing w:after="160" w:line="259" w:lineRule="auto"/>
            </w:pPr>
            <w:r w:rsidRPr="001A0FC9">
              <w:t>Share information</w:t>
            </w:r>
          </w:p>
          <w:p w14:paraId="4E4CC892" w14:textId="77777777" w:rsidR="00BB532F" w:rsidRPr="00A15CDB" w:rsidRDefault="001A0FC9" w:rsidP="001A0FC9">
            <w:pPr>
              <w:pStyle w:val="ListParagraph"/>
              <w:numPr>
                <w:ilvl w:val="0"/>
                <w:numId w:val="17"/>
              </w:numPr>
              <w:spacing w:after="160" w:line="259" w:lineRule="auto"/>
            </w:pPr>
            <w:r w:rsidRPr="001A0FC9">
              <w:t>Work with other units and branches to develop agreed positions relating to water strategies</w:t>
            </w:r>
          </w:p>
        </w:tc>
      </w:tr>
      <w:tr w:rsidR="00BB532F" w:rsidRPr="00A8245E" w14:paraId="691099A1" w14:textId="77777777" w:rsidTr="00CE105E">
        <w:tc>
          <w:tcPr>
            <w:tcW w:w="3601" w:type="dxa"/>
            <w:shd w:val="clear" w:color="auto" w:fill="BCBEC0"/>
          </w:tcPr>
          <w:p w14:paraId="44F8209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2EB378F" w14:textId="77777777" w:rsidR="00BB532F" w:rsidRPr="00A8245E" w:rsidRDefault="00BB532F" w:rsidP="00BD7BA7">
            <w:pPr>
              <w:pStyle w:val="TableText"/>
              <w:keepNext/>
              <w:rPr>
                <w:b/>
              </w:rPr>
            </w:pPr>
          </w:p>
        </w:tc>
      </w:tr>
      <w:tr w:rsidR="00BB532F" w:rsidRPr="00C978B9" w14:paraId="5604D473" w14:textId="77777777" w:rsidTr="00CE105E">
        <w:tc>
          <w:tcPr>
            <w:tcW w:w="3601" w:type="dxa"/>
            <w:tcBorders>
              <w:top w:val="single" w:sz="8" w:space="0" w:color="auto"/>
              <w:bottom w:val="single" w:sz="8" w:space="0" w:color="BCBEC0"/>
            </w:tcBorders>
          </w:tcPr>
          <w:p w14:paraId="570CC4E7" w14:textId="77777777" w:rsidR="00BB532F" w:rsidRPr="00A15CDB" w:rsidRDefault="001336E8" w:rsidP="002B1F76">
            <w:pPr>
              <w:pStyle w:val="TableText"/>
            </w:pPr>
            <w:r>
              <w:t>Other NSW and Commonwealth Government agencies</w:t>
            </w:r>
          </w:p>
        </w:tc>
        <w:tc>
          <w:tcPr>
            <w:tcW w:w="6986" w:type="dxa"/>
            <w:tcBorders>
              <w:top w:val="single" w:sz="8" w:space="0" w:color="auto"/>
              <w:bottom w:val="single" w:sz="8" w:space="0" w:color="BCBEC0"/>
            </w:tcBorders>
          </w:tcPr>
          <w:p w14:paraId="024469C5" w14:textId="77777777" w:rsidR="00BB532F" w:rsidRPr="00A15CDB" w:rsidRDefault="001336E8" w:rsidP="001A0FC9">
            <w:pPr>
              <w:pStyle w:val="TableText"/>
              <w:numPr>
                <w:ilvl w:val="0"/>
                <w:numId w:val="3"/>
              </w:numPr>
              <w:spacing w:line="280" w:lineRule="exact"/>
              <w:ind w:left="714" w:hanging="357"/>
            </w:pPr>
            <w:r>
              <w:t>Provide technical input to water management issues</w:t>
            </w:r>
          </w:p>
          <w:p w14:paraId="47AAF530" w14:textId="77777777" w:rsidR="00BB532F" w:rsidRPr="00A15CDB" w:rsidRDefault="001336E8" w:rsidP="001A0FC9">
            <w:pPr>
              <w:pStyle w:val="TableText"/>
              <w:numPr>
                <w:ilvl w:val="0"/>
                <w:numId w:val="3"/>
              </w:numPr>
              <w:spacing w:line="280" w:lineRule="exact"/>
              <w:ind w:left="714" w:hanging="357"/>
            </w:pPr>
            <w:r>
              <w:t>Promote effective interagency liaison regarding water management plans and reforms; discuss issues and strategies</w:t>
            </w:r>
          </w:p>
        </w:tc>
      </w:tr>
      <w:tr w:rsidR="00BB532F" w:rsidRPr="00C978B9" w14:paraId="48A0CED2" w14:textId="77777777" w:rsidTr="00CE105E">
        <w:tc>
          <w:tcPr>
            <w:tcW w:w="3601" w:type="dxa"/>
            <w:tcBorders>
              <w:top w:val="single" w:sz="8" w:space="0" w:color="auto"/>
              <w:bottom w:val="single" w:sz="8" w:space="0" w:color="BCBEC0"/>
            </w:tcBorders>
          </w:tcPr>
          <w:p w14:paraId="705BB9BE" w14:textId="77777777" w:rsidR="001A0FC9" w:rsidRPr="001A0FC9" w:rsidRDefault="001A0FC9" w:rsidP="001A0FC9">
            <w:pPr>
              <w:spacing w:after="160" w:line="259" w:lineRule="auto"/>
              <w:ind w:hanging="3"/>
            </w:pPr>
            <w:r w:rsidRPr="001A0FC9">
              <w:t>Water service providers and other stakeholders</w:t>
            </w:r>
            <w:r w:rsidR="00122AC1">
              <w:t xml:space="preserve"> such as peak industry bodies and major industry sector representatives</w:t>
            </w:r>
          </w:p>
          <w:p w14:paraId="6A05A809" w14:textId="77777777" w:rsidR="00BB532F" w:rsidRPr="00A15CDB" w:rsidRDefault="00BB532F" w:rsidP="002B1F76">
            <w:pPr>
              <w:pStyle w:val="TableText"/>
            </w:pPr>
          </w:p>
        </w:tc>
        <w:tc>
          <w:tcPr>
            <w:tcW w:w="6986" w:type="dxa"/>
            <w:tcBorders>
              <w:top w:val="single" w:sz="8" w:space="0" w:color="auto"/>
              <w:bottom w:val="single" w:sz="8" w:space="0" w:color="BCBEC0"/>
            </w:tcBorders>
          </w:tcPr>
          <w:p w14:paraId="35A8E777" w14:textId="77777777" w:rsidR="001A0FC9" w:rsidRPr="001A0FC9" w:rsidRDefault="001A0FC9" w:rsidP="001A0FC9">
            <w:pPr>
              <w:pStyle w:val="ListParagraph"/>
              <w:numPr>
                <w:ilvl w:val="0"/>
                <w:numId w:val="18"/>
              </w:numPr>
              <w:spacing w:after="160" w:line="280" w:lineRule="exact"/>
              <w:ind w:left="714" w:hanging="357"/>
            </w:pPr>
            <w:r w:rsidRPr="001A0FC9">
              <w:t>Develop and maintain effective working relationships and open channels of communication to ensure collation of relevant information and research for development and implementation of regional water strategies.</w:t>
            </w:r>
          </w:p>
          <w:p w14:paraId="28103EFB" w14:textId="77777777" w:rsidR="001A0FC9" w:rsidRPr="001A0FC9" w:rsidRDefault="00122AC1" w:rsidP="001A0FC9">
            <w:pPr>
              <w:pStyle w:val="ListParagraph"/>
              <w:numPr>
                <w:ilvl w:val="0"/>
                <w:numId w:val="18"/>
              </w:numPr>
              <w:spacing w:after="160" w:line="280" w:lineRule="exact"/>
              <w:ind w:left="714" w:hanging="357"/>
            </w:pPr>
            <w:r>
              <w:t>Convene as required</w:t>
            </w:r>
            <w:r w:rsidR="001A0FC9" w:rsidRPr="001A0FC9">
              <w:t xml:space="preserve"> working groups at the regional level to develop and implement regional water strategies, keep informed and work toward agreed positions with respect to water security investment decisions.</w:t>
            </w:r>
          </w:p>
          <w:p w14:paraId="039DEB24" w14:textId="77777777" w:rsidR="00BB532F" w:rsidRPr="001A0FC9" w:rsidRDefault="001A0FC9" w:rsidP="001A0FC9">
            <w:pPr>
              <w:pStyle w:val="ListParagraph"/>
              <w:numPr>
                <w:ilvl w:val="0"/>
                <w:numId w:val="18"/>
              </w:numPr>
              <w:spacing w:after="160" w:line="280" w:lineRule="exact"/>
              <w:ind w:left="714" w:hanging="357"/>
            </w:pPr>
            <w:r w:rsidRPr="001A0FC9">
              <w:t>Liaise to develop consensus during development and implementation of water strategies; contribute to communication products</w:t>
            </w:r>
          </w:p>
        </w:tc>
      </w:tr>
    </w:tbl>
    <w:p w14:paraId="5A39BBE3" w14:textId="77777777" w:rsidR="00BB532F" w:rsidRDefault="00BB532F"/>
    <w:p w14:paraId="67A47C7B" w14:textId="77777777" w:rsidR="00603D53" w:rsidRDefault="00603D53" w:rsidP="00614552">
      <w:pPr>
        <w:pStyle w:val="Heading1"/>
        <w:rPr>
          <w:sz w:val="28"/>
        </w:rPr>
      </w:pPr>
      <w:r w:rsidRPr="00614552">
        <w:t>Role dimensions</w:t>
      </w:r>
    </w:p>
    <w:p w14:paraId="2A953DF2" w14:textId="77777777" w:rsidR="00603D53" w:rsidRPr="00614552" w:rsidRDefault="00603D53" w:rsidP="00614552">
      <w:pPr>
        <w:pStyle w:val="Heading2"/>
      </w:pPr>
      <w:r w:rsidRPr="00614552">
        <w:t>Decision making</w:t>
      </w:r>
    </w:p>
    <w:p w14:paraId="7F4BCE40" w14:textId="77777777" w:rsidR="001A0FC9" w:rsidRDefault="00122AC1" w:rsidP="001A0FC9">
      <w:pPr>
        <w:pStyle w:val="ListParagraph"/>
        <w:numPr>
          <w:ilvl w:val="0"/>
          <w:numId w:val="20"/>
        </w:numPr>
        <w:spacing w:after="160" w:line="259" w:lineRule="auto"/>
      </w:pPr>
      <w:r>
        <w:t>Accountable for the development of strategy and advice to inform the development of actions and options for regional strategies</w:t>
      </w:r>
    </w:p>
    <w:p w14:paraId="5AFF54D1" w14:textId="77777777" w:rsidR="00122AC1" w:rsidRDefault="00122AC1" w:rsidP="001A0FC9">
      <w:pPr>
        <w:pStyle w:val="ListParagraph"/>
        <w:numPr>
          <w:ilvl w:val="0"/>
          <w:numId w:val="20"/>
        </w:numPr>
        <w:spacing w:after="160" w:line="259" w:lineRule="auto"/>
      </w:pPr>
      <w:r>
        <w:t>Manage the delivery of delivery of strategy development and implementation projects under the guidance of the Manager</w:t>
      </w:r>
    </w:p>
    <w:p w14:paraId="602D1A99" w14:textId="77777777" w:rsidR="00122AC1" w:rsidRDefault="00122AC1" w:rsidP="001A0FC9">
      <w:pPr>
        <w:pStyle w:val="ListParagraph"/>
        <w:numPr>
          <w:ilvl w:val="0"/>
          <w:numId w:val="20"/>
        </w:numPr>
        <w:spacing w:after="160" w:line="259" w:lineRule="auto"/>
      </w:pPr>
      <w:r>
        <w:t>Refers to the Manager decisions that require significant change to project outcomes or timeframes; or likely to escalate or create substantial or contentious precedent’ require a higher administrative or financial delegation</w:t>
      </w:r>
    </w:p>
    <w:p w14:paraId="37967BFE" w14:textId="77777777" w:rsidR="00603D53" w:rsidRPr="00614552" w:rsidRDefault="00603D53" w:rsidP="00614552">
      <w:pPr>
        <w:pStyle w:val="Heading2"/>
      </w:pPr>
      <w:r w:rsidRPr="00614552">
        <w:t>Reporting line</w:t>
      </w:r>
    </w:p>
    <w:p w14:paraId="6640FEE2" w14:textId="77777777" w:rsidR="001A0FC9" w:rsidRDefault="00122AC1" w:rsidP="00035BE8">
      <w:pPr>
        <w:spacing w:after="160" w:line="259" w:lineRule="auto"/>
      </w:pPr>
      <w:r>
        <w:t>Manager Regional Strategies</w:t>
      </w:r>
    </w:p>
    <w:p w14:paraId="314E9429" w14:textId="77777777" w:rsidR="00603D53" w:rsidRPr="00614552" w:rsidRDefault="00603D53" w:rsidP="00614552">
      <w:pPr>
        <w:pStyle w:val="Heading2"/>
      </w:pPr>
      <w:r w:rsidRPr="00614552">
        <w:t>Direct reports</w:t>
      </w:r>
    </w:p>
    <w:p w14:paraId="0AD173BB" w14:textId="77777777" w:rsidR="00603D53" w:rsidRPr="00603D53" w:rsidRDefault="00122AC1">
      <w:pPr>
        <w:rPr>
          <w:rFonts w:cs="Arial"/>
          <w:szCs w:val="26"/>
        </w:rPr>
      </w:pPr>
      <w:r>
        <w:rPr>
          <w:rFonts w:cs="Arial"/>
          <w:szCs w:val="26"/>
        </w:rPr>
        <w:t>Nil</w:t>
      </w:r>
    </w:p>
    <w:p w14:paraId="25B269EA" w14:textId="77777777" w:rsidR="00603D53" w:rsidRPr="00614552" w:rsidRDefault="00603D53" w:rsidP="00614552">
      <w:pPr>
        <w:pStyle w:val="Heading2"/>
      </w:pPr>
      <w:r w:rsidRPr="00614552">
        <w:t>Budget/Expenditure</w:t>
      </w:r>
    </w:p>
    <w:p w14:paraId="634CFBD3" w14:textId="77777777" w:rsidR="00603D53" w:rsidRPr="00603D53" w:rsidRDefault="00C45F7C">
      <w:pPr>
        <w:rPr>
          <w:rFonts w:cs="Arial"/>
          <w:szCs w:val="26"/>
        </w:rPr>
      </w:pPr>
      <w:r>
        <w:rPr>
          <w:rFonts w:cs="Arial"/>
          <w:szCs w:val="26"/>
        </w:rPr>
        <w:t>Nil</w:t>
      </w:r>
    </w:p>
    <w:p w14:paraId="41C8F396" w14:textId="77777777" w:rsidR="001A0FC9" w:rsidRDefault="001A0FC9" w:rsidP="00205A8A">
      <w:pPr>
        <w:tabs>
          <w:tab w:val="left" w:pos="2925"/>
        </w:tabs>
        <w:rPr>
          <w:rStyle w:val="Heading1Char"/>
        </w:rPr>
      </w:pPr>
    </w:p>
    <w:p w14:paraId="3B1BF6B1" w14:textId="77777777" w:rsidR="00205A8A" w:rsidRPr="00614552" w:rsidRDefault="00205A8A" w:rsidP="00205A8A">
      <w:pPr>
        <w:tabs>
          <w:tab w:val="left" w:pos="2925"/>
        </w:tabs>
        <w:rPr>
          <w:rStyle w:val="Heading1Char"/>
        </w:rPr>
      </w:pPr>
      <w:r w:rsidRPr="00614552">
        <w:rPr>
          <w:rStyle w:val="Heading1Char"/>
        </w:rPr>
        <w:t>Essential requirements</w:t>
      </w:r>
    </w:p>
    <w:p w14:paraId="73747ED9" w14:textId="77777777" w:rsidR="00205A8A" w:rsidRPr="00C45F7C" w:rsidRDefault="00205A8A" w:rsidP="000A0CD9">
      <w:pPr>
        <w:pStyle w:val="ListParagraph"/>
        <w:numPr>
          <w:ilvl w:val="0"/>
          <w:numId w:val="5"/>
        </w:numPr>
        <w:tabs>
          <w:tab w:val="left" w:pos="2925"/>
        </w:tabs>
        <w:rPr>
          <w:rFonts w:ascii="Georgia" w:hAnsi="Georgia"/>
        </w:rPr>
      </w:pPr>
      <w:r w:rsidRPr="000A0CD9">
        <w:rPr>
          <w:rFonts w:cs="Arial"/>
        </w:rPr>
        <w:t>Extensive experience in water related areas such as water planning, natural resource management, environmental science, aquatic ecology, geomorphology, civil/environmental engineering and hydrology.</w:t>
      </w:r>
    </w:p>
    <w:p w14:paraId="605B1953" w14:textId="77777777" w:rsidR="00C45F7C" w:rsidRPr="00C45F7C" w:rsidRDefault="00C45F7C" w:rsidP="00C45F7C">
      <w:pPr>
        <w:pStyle w:val="ListParagraph"/>
        <w:numPr>
          <w:ilvl w:val="0"/>
          <w:numId w:val="5"/>
        </w:numPr>
        <w:tabs>
          <w:tab w:val="left" w:pos="2925"/>
        </w:tabs>
        <w:spacing w:after="0"/>
        <w:ind w:left="714" w:hanging="357"/>
        <w:rPr>
          <w:rFonts w:cs="Arial"/>
        </w:rPr>
      </w:pPr>
      <w:r w:rsidRPr="00C45F7C">
        <w:rPr>
          <w:rFonts w:cs="Arial"/>
          <w:color w:val="000000"/>
          <w:lang w:val="en-AU"/>
        </w:rPr>
        <w:t>Understanding of the State and Commonwealth Government’s water reform agendas, and legislative and policy requirements regarding water strategy and planning.</w:t>
      </w:r>
    </w:p>
    <w:p w14:paraId="72A3D3EC" w14:textId="77777777" w:rsidR="00C45F7C" w:rsidRDefault="00C45F7C" w:rsidP="00994DCE">
      <w:pPr>
        <w:pStyle w:val="Heading1"/>
      </w:pPr>
    </w:p>
    <w:p w14:paraId="3EEB9B3D" w14:textId="77777777" w:rsidR="00994DCE" w:rsidRPr="00C978B9" w:rsidRDefault="00994DCE" w:rsidP="00994DCE">
      <w:pPr>
        <w:pStyle w:val="Heading1"/>
      </w:pPr>
      <w:r w:rsidRPr="00C978B9">
        <w:t>Capabilities for the role</w:t>
      </w:r>
    </w:p>
    <w:p w14:paraId="7679AEF8"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5BE6ED7A" w14:textId="77777777" w:rsidR="00994DCE" w:rsidRPr="00C978B9" w:rsidRDefault="00994DCE" w:rsidP="00994DCE">
      <w:pPr>
        <w:pStyle w:val="Heading2"/>
      </w:pPr>
      <w:r w:rsidRPr="00C978B9">
        <w:t xml:space="preserve">Capability </w:t>
      </w:r>
      <w:r>
        <w:t>s</w:t>
      </w:r>
      <w:r w:rsidRPr="00C978B9">
        <w:t>ummary</w:t>
      </w:r>
    </w:p>
    <w:p w14:paraId="4E5FFF0D"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59E9F8F2" w14:textId="77777777" w:rsidTr="00252019">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14577C" w14:textId="77777777" w:rsidR="00FD3076" w:rsidRPr="00803E47" w:rsidRDefault="00FD3076" w:rsidP="00FD3076">
            <w:pPr>
              <w:pStyle w:val="TableTextWhite0"/>
              <w:keepNext/>
            </w:pPr>
            <w:r>
              <w:lastRenderedPageBreak/>
              <w:t>NSW Public Sector Capability Framework</w:t>
            </w:r>
          </w:p>
        </w:tc>
      </w:tr>
      <w:tr w:rsidR="00FD3076" w:rsidRPr="00C978B9" w14:paraId="3680DE79" w14:textId="77777777" w:rsidTr="00252019">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16636B58" w14:textId="77777777" w:rsidR="00FD3076" w:rsidRPr="00C978B9" w:rsidRDefault="00FD3076" w:rsidP="00FD3076">
            <w:pPr>
              <w:pStyle w:val="TableText"/>
              <w:keepNext/>
              <w:rPr>
                <w:b/>
                <w:sz w:val="24"/>
                <w:szCs w:val="24"/>
              </w:rPr>
            </w:pPr>
            <w:r>
              <w:rPr>
                <w:b/>
              </w:rPr>
              <w:t>Capability Group</w:t>
            </w:r>
          </w:p>
        </w:tc>
        <w:tc>
          <w:tcPr>
            <w:tcW w:w="542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D0FB335" w14:textId="77777777" w:rsidR="00FD3076" w:rsidRPr="00C978B9" w:rsidRDefault="00FD3076" w:rsidP="00FD3076">
            <w:pPr>
              <w:pStyle w:val="TableText"/>
              <w:keepNext/>
              <w:rPr>
                <w:b/>
                <w:sz w:val="24"/>
                <w:szCs w:val="24"/>
              </w:rPr>
            </w:pPr>
            <w:r w:rsidRPr="00021C23">
              <w:rPr>
                <w:b/>
              </w:rPr>
              <w:t>Ca</w:t>
            </w:r>
            <w:r>
              <w:rPr>
                <w:b/>
              </w:rPr>
              <w:t>pability Name</w:t>
            </w:r>
          </w:p>
        </w:tc>
        <w:tc>
          <w:tcPr>
            <w:tcW w:w="3339"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CFFFD6B" w14:textId="77777777" w:rsidR="00FD3076" w:rsidRPr="00C978B9" w:rsidRDefault="00FD3076" w:rsidP="00FD3076">
            <w:pPr>
              <w:pStyle w:val="TableText"/>
              <w:keepNext/>
              <w:rPr>
                <w:b/>
                <w:sz w:val="24"/>
                <w:szCs w:val="24"/>
              </w:rPr>
            </w:pPr>
            <w:r>
              <w:rPr>
                <w:b/>
              </w:rPr>
              <w:t>Level</w:t>
            </w:r>
          </w:p>
        </w:tc>
      </w:tr>
      <w:tr w:rsidR="00373737" w:rsidRPr="00C978B9" w14:paraId="1988D33A" w14:textId="77777777" w:rsidTr="00252019">
        <w:tc>
          <w:tcPr>
            <w:tcW w:w="2037" w:type="dxa"/>
            <w:vMerge w:val="restart"/>
            <w:tcBorders>
              <w:top w:val="gems" w:sz="8" w:space="0" w:color="BCBEC0"/>
              <w:bottom w:val="single" w:sz="8" w:space="0" w:color="BCBEC0"/>
            </w:tcBorders>
            <w:vAlign w:val="center"/>
          </w:tcPr>
          <w:p w14:paraId="0D0B940D" w14:textId="77777777" w:rsidR="00373737" w:rsidRPr="00C978B9" w:rsidRDefault="00373737" w:rsidP="00131907">
            <w:pPr>
              <w:keepNext/>
            </w:pPr>
            <w:r w:rsidRPr="00C978B9">
              <w:rPr>
                <w:noProof/>
                <w:lang w:eastAsia="en-AU"/>
              </w:rPr>
              <w:drawing>
                <wp:inline distT="0" distB="0" distL="0" distR="0" wp14:anchorId="1D83BC73" wp14:editId="61E14119">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24" w:type="dxa"/>
            <w:tcBorders>
              <w:top w:val="gems" w:sz="8" w:space="0" w:color="BCBEC0"/>
              <w:bottom w:val="single" w:sz="8" w:space="0" w:color="BCBEC0"/>
            </w:tcBorders>
          </w:tcPr>
          <w:p w14:paraId="6D169B52" w14:textId="77777777" w:rsidR="00373737" w:rsidRPr="00610758" w:rsidRDefault="006B723B" w:rsidP="006B723B">
            <w:pPr>
              <w:pStyle w:val="TableText"/>
              <w:keepNext/>
              <w:rPr>
                <w:sz w:val="24"/>
                <w:szCs w:val="24"/>
              </w:rPr>
            </w:pPr>
            <w:r>
              <w:t>Display Resilience and Courage</w:t>
            </w:r>
          </w:p>
        </w:tc>
        <w:tc>
          <w:tcPr>
            <w:tcW w:w="3339" w:type="dxa"/>
            <w:tcBorders>
              <w:top w:val="gems" w:sz="8" w:space="0" w:color="BCBEC0"/>
              <w:bottom w:val="single" w:sz="8" w:space="0" w:color="BCBEC0"/>
            </w:tcBorders>
          </w:tcPr>
          <w:p w14:paraId="62514AE5" w14:textId="77777777" w:rsidR="00373737" w:rsidRPr="00610758" w:rsidRDefault="006B723B" w:rsidP="006B723B">
            <w:pPr>
              <w:pStyle w:val="TableText"/>
              <w:keepNext/>
            </w:pPr>
            <w:r>
              <w:t>Intermediate</w:t>
            </w:r>
          </w:p>
        </w:tc>
      </w:tr>
      <w:tr w:rsidR="00373737" w:rsidRPr="00C978B9" w14:paraId="5CA6F6C2" w14:textId="77777777" w:rsidTr="00252019">
        <w:tc>
          <w:tcPr>
            <w:tcW w:w="2037" w:type="dxa"/>
            <w:vMerge/>
            <w:tcBorders>
              <w:bottom w:val="single" w:sz="4" w:space="0" w:color="BCBEC0"/>
            </w:tcBorders>
          </w:tcPr>
          <w:p w14:paraId="0E27B00A" w14:textId="77777777" w:rsidR="00373737" w:rsidRPr="00C978B9" w:rsidRDefault="00373737" w:rsidP="00131907">
            <w:pPr>
              <w:keepNext/>
            </w:pPr>
          </w:p>
        </w:tc>
        <w:tc>
          <w:tcPr>
            <w:tcW w:w="5424" w:type="dxa"/>
            <w:tcBorders>
              <w:bottom w:val="single" w:sz="4" w:space="0" w:color="BCBEC0"/>
            </w:tcBorders>
          </w:tcPr>
          <w:p w14:paraId="3481DF22" w14:textId="77777777" w:rsidR="00373737" w:rsidRPr="00610758" w:rsidRDefault="0001016C" w:rsidP="0001016C">
            <w:pPr>
              <w:pStyle w:val="TableText"/>
              <w:keepNext/>
              <w:rPr>
                <w:b/>
                <w:sz w:val="24"/>
                <w:szCs w:val="24"/>
              </w:rPr>
            </w:pPr>
            <w:r>
              <w:rPr>
                <w:b/>
              </w:rPr>
              <w:t>Act with Integrity</w:t>
            </w:r>
          </w:p>
        </w:tc>
        <w:tc>
          <w:tcPr>
            <w:tcW w:w="3339" w:type="dxa"/>
            <w:tcBorders>
              <w:bottom w:val="single" w:sz="4" w:space="0" w:color="BCBEC0"/>
            </w:tcBorders>
          </w:tcPr>
          <w:p w14:paraId="6ED1FEEF" w14:textId="77777777" w:rsidR="00373737" w:rsidRPr="00610758" w:rsidRDefault="0001016C" w:rsidP="0001016C">
            <w:pPr>
              <w:pStyle w:val="TableText"/>
              <w:keepNext/>
              <w:rPr>
                <w:b/>
              </w:rPr>
            </w:pPr>
            <w:r>
              <w:rPr>
                <w:b/>
              </w:rPr>
              <w:t>Adept</w:t>
            </w:r>
          </w:p>
        </w:tc>
      </w:tr>
      <w:tr w:rsidR="00373737" w:rsidRPr="00C978B9" w14:paraId="0941DFD6" w14:textId="77777777" w:rsidTr="00252019">
        <w:tc>
          <w:tcPr>
            <w:tcW w:w="2037" w:type="dxa"/>
            <w:vMerge/>
            <w:tcBorders>
              <w:bottom w:val="single" w:sz="4" w:space="0" w:color="BCBEC0"/>
            </w:tcBorders>
          </w:tcPr>
          <w:p w14:paraId="60061E4C" w14:textId="77777777" w:rsidR="00373737" w:rsidRPr="00C978B9" w:rsidRDefault="00373737" w:rsidP="00131907">
            <w:pPr>
              <w:keepNext/>
            </w:pPr>
          </w:p>
        </w:tc>
        <w:tc>
          <w:tcPr>
            <w:tcW w:w="5424" w:type="dxa"/>
            <w:tcBorders>
              <w:bottom w:val="single" w:sz="4" w:space="0" w:color="BCBEC0"/>
            </w:tcBorders>
          </w:tcPr>
          <w:p w14:paraId="18AA70F0" w14:textId="77777777" w:rsidR="00373737" w:rsidRPr="00252019" w:rsidRDefault="0001016C" w:rsidP="0001016C">
            <w:pPr>
              <w:pStyle w:val="TableText"/>
              <w:keepNext/>
              <w:rPr>
                <w:b/>
                <w:sz w:val="24"/>
                <w:szCs w:val="24"/>
              </w:rPr>
            </w:pPr>
            <w:r w:rsidRPr="00252019">
              <w:rPr>
                <w:b/>
              </w:rPr>
              <w:t>Manage Self</w:t>
            </w:r>
          </w:p>
        </w:tc>
        <w:tc>
          <w:tcPr>
            <w:tcW w:w="3339" w:type="dxa"/>
            <w:tcBorders>
              <w:bottom w:val="single" w:sz="4" w:space="0" w:color="BCBEC0"/>
            </w:tcBorders>
          </w:tcPr>
          <w:p w14:paraId="51EC9650" w14:textId="77777777" w:rsidR="00373737" w:rsidRPr="00252019" w:rsidRDefault="0001016C" w:rsidP="0001016C">
            <w:pPr>
              <w:pStyle w:val="TableText"/>
              <w:keepNext/>
              <w:rPr>
                <w:b/>
              </w:rPr>
            </w:pPr>
            <w:r w:rsidRPr="00252019">
              <w:rPr>
                <w:b/>
              </w:rPr>
              <w:t>Adept</w:t>
            </w:r>
          </w:p>
        </w:tc>
      </w:tr>
      <w:tr w:rsidR="00373737" w:rsidRPr="00C978B9" w14:paraId="282DA2BE" w14:textId="77777777" w:rsidTr="00252019">
        <w:tc>
          <w:tcPr>
            <w:tcW w:w="2037" w:type="dxa"/>
            <w:vMerge/>
            <w:tcBorders>
              <w:top w:val="single" w:sz="8" w:space="0" w:color="BCBEC0"/>
            </w:tcBorders>
          </w:tcPr>
          <w:p w14:paraId="44EAFD9C" w14:textId="77777777" w:rsidR="00373737" w:rsidRPr="00C978B9" w:rsidRDefault="00373737" w:rsidP="00131907">
            <w:pPr>
              <w:keepNext/>
            </w:pPr>
          </w:p>
        </w:tc>
        <w:tc>
          <w:tcPr>
            <w:tcW w:w="5424" w:type="dxa"/>
            <w:tcBorders>
              <w:top w:val="single" w:sz="8" w:space="0" w:color="BCBEC0"/>
            </w:tcBorders>
          </w:tcPr>
          <w:p w14:paraId="3BC6C1DB" w14:textId="77777777" w:rsidR="00373737" w:rsidRPr="00C978B9" w:rsidRDefault="006B723B" w:rsidP="006B723B">
            <w:pPr>
              <w:pStyle w:val="TableText"/>
              <w:keepNext/>
              <w:rPr>
                <w:sz w:val="24"/>
                <w:szCs w:val="24"/>
              </w:rPr>
            </w:pPr>
            <w:r>
              <w:t>Value Diversity</w:t>
            </w:r>
          </w:p>
        </w:tc>
        <w:tc>
          <w:tcPr>
            <w:tcW w:w="3339" w:type="dxa"/>
            <w:tcBorders>
              <w:top w:val="single" w:sz="8" w:space="0" w:color="BCBEC0"/>
            </w:tcBorders>
          </w:tcPr>
          <w:p w14:paraId="055018BF" w14:textId="77777777" w:rsidR="00373737" w:rsidRPr="00A15CDB" w:rsidRDefault="006B723B" w:rsidP="006B723B">
            <w:pPr>
              <w:pStyle w:val="TableText"/>
              <w:keepNext/>
            </w:pPr>
            <w:r>
              <w:t>Intermediate</w:t>
            </w:r>
          </w:p>
        </w:tc>
      </w:tr>
      <w:tr w:rsidR="00373737" w:rsidRPr="00C978B9" w14:paraId="24828932" w14:textId="77777777" w:rsidTr="00252019">
        <w:tc>
          <w:tcPr>
            <w:tcW w:w="2037" w:type="dxa"/>
            <w:vMerge w:val="restart"/>
            <w:tcBorders>
              <w:top w:val="single" w:sz="12" w:space="0" w:color="auto"/>
              <w:bottom w:val="single" w:sz="8" w:space="0" w:color="BCBEC0"/>
            </w:tcBorders>
            <w:vAlign w:val="center"/>
          </w:tcPr>
          <w:p w14:paraId="4B94D5A5" w14:textId="77777777" w:rsidR="00373737" w:rsidRPr="00C978B9" w:rsidRDefault="00373737" w:rsidP="00131907">
            <w:pPr>
              <w:keepNext/>
            </w:pPr>
            <w:r w:rsidRPr="00C978B9">
              <w:rPr>
                <w:noProof/>
                <w:lang w:eastAsia="en-AU"/>
              </w:rPr>
              <w:drawing>
                <wp:inline distT="0" distB="0" distL="0" distR="0" wp14:anchorId="198B3433" wp14:editId="0C5E5362">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31CADCA0" w14:textId="77777777" w:rsidR="00373737" w:rsidRPr="00252019" w:rsidRDefault="006B723B" w:rsidP="006B723B">
            <w:pPr>
              <w:pStyle w:val="TableText"/>
              <w:keepNext/>
              <w:rPr>
                <w:b/>
                <w:sz w:val="24"/>
                <w:szCs w:val="24"/>
              </w:rPr>
            </w:pPr>
            <w:r w:rsidRPr="00252019">
              <w:rPr>
                <w:b/>
              </w:rPr>
              <w:t>Communicate Effectively</w:t>
            </w:r>
          </w:p>
        </w:tc>
        <w:tc>
          <w:tcPr>
            <w:tcW w:w="3339" w:type="dxa"/>
            <w:tcBorders>
              <w:top w:val="single" w:sz="12" w:space="0" w:color="auto"/>
              <w:bottom w:val="single" w:sz="8" w:space="0" w:color="BCBEC0"/>
            </w:tcBorders>
          </w:tcPr>
          <w:p w14:paraId="24242F91" w14:textId="77777777" w:rsidR="00373737" w:rsidRPr="00252019" w:rsidRDefault="006B723B" w:rsidP="006B723B">
            <w:pPr>
              <w:pStyle w:val="TableText"/>
              <w:keepNext/>
              <w:rPr>
                <w:b/>
              </w:rPr>
            </w:pPr>
            <w:r w:rsidRPr="00252019">
              <w:rPr>
                <w:b/>
              </w:rPr>
              <w:t>Adept</w:t>
            </w:r>
          </w:p>
        </w:tc>
      </w:tr>
      <w:tr w:rsidR="00373737" w:rsidRPr="00C978B9" w14:paraId="27C0A2C2" w14:textId="77777777" w:rsidTr="00252019">
        <w:tc>
          <w:tcPr>
            <w:tcW w:w="2037" w:type="dxa"/>
            <w:vMerge/>
            <w:tcBorders>
              <w:bottom w:val="single" w:sz="4" w:space="0" w:color="BCBEC0"/>
            </w:tcBorders>
          </w:tcPr>
          <w:p w14:paraId="3DEEC669" w14:textId="77777777" w:rsidR="00373737" w:rsidRPr="00C978B9" w:rsidRDefault="00373737" w:rsidP="00131907">
            <w:pPr>
              <w:keepNext/>
            </w:pPr>
          </w:p>
        </w:tc>
        <w:tc>
          <w:tcPr>
            <w:tcW w:w="5424" w:type="dxa"/>
            <w:tcBorders>
              <w:bottom w:val="single" w:sz="4" w:space="0" w:color="BCBEC0"/>
            </w:tcBorders>
          </w:tcPr>
          <w:p w14:paraId="13175C5A" w14:textId="77777777" w:rsidR="00373737" w:rsidRPr="00252019" w:rsidRDefault="0001016C" w:rsidP="0001016C">
            <w:pPr>
              <w:pStyle w:val="TableText"/>
              <w:keepNext/>
              <w:rPr>
                <w:sz w:val="24"/>
                <w:szCs w:val="24"/>
              </w:rPr>
            </w:pPr>
            <w:r w:rsidRPr="00252019">
              <w:t>Commit to Customer Service</w:t>
            </w:r>
          </w:p>
        </w:tc>
        <w:tc>
          <w:tcPr>
            <w:tcW w:w="3339" w:type="dxa"/>
            <w:tcBorders>
              <w:bottom w:val="single" w:sz="4" w:space="0" w:color="BCBEC0"/>
            </w:tcBorders>
          </w:tcPr>
          <w:p w14:paraId="0E04DD53" w14:textId="77777777" w:rsidR="00373737" w:rsidRPr="00252019" w:rsidRDefault="0001016C" w:rsidP="0001016C">
            <w:pPr>
              <w:pStyle w:val="TableText"/>
              <w:keepNext/>
            </w:pPr>
            <w:r w:rsidRPr="00252019">
              <w:t>Intermediate</w:t>
            </w:r>
          </w:p>
        </w:tc>
      </w:tr>
      <w:tr w:rsidR="00373737" w:rsidRPr="00C978B9" w14:paraId="518FBCEF" w14:textId="77777777" w:rsidTr="00252019">
        <w:tc>
          <w:tcPr>
            <w:tcW w:w="2037" w:type="dxa"/>
            <w:vMerge/>
            <w:tcBorders>
              <w:top w:val="single" w:sz="8" w:space="0" w:color="BCBEC0"/>
            </w:tcBorders>
          </w:tcPr>
          <w:p w14:paraId="3656B9AB" w14:textId="77777777" w:rsidR="00373737" w:rsidRPr="00C978B9" w:rsidRDefault="00373737" w:rsidP="00131907">
            <w:pPr>
              <w:keepNext/>
            </w:pPr>
          </w:p>
        </w:tc>
        <w:tc>
          <w:tcPr>
            <w:tcW w:w="5424" w:type="dxa"/>
            <w:tcBorders>
              <w:top w:val="single" w:sz="8" w:space="0" w:color="BCBEC0"/>
            </w:tcBorders>
          </w:tcPr>
          <w:p w14:paraId="4FDA3CE1" w14:textId="77777777" w:rsidR="00373737" w:rsidRPr="00C45F7C" w:rsidRDefault="006B723B" w:rsidP="006B723B">
            <w:pPr>
              <w:pStyle w:val="TableText"/>
              <w:keepNext/>
              <w:rPr>
                <w:b/>
                <w:sz w:val="24"/>
                <w:szCs w:val="24"/>
              </w:rPr>
            </w:pPr>
            <w:r w:rsidRPr="00C45F7C">
              <w:rPr>
                <w:b/>
              </w:rPr>
              <w:t>Work Collaboratively</w:t>
            </w:r>
          </w:p>
        </w:tc>
        <w:tc>
          <w:tcPr>
            <w:tcW w:w="3339" w:type="dxa"/>
            <w:tcBorders>
              <w:top w:val="single" w:sz="8" w:space="0" w:color="BCBEC0"/>
            </w:tcBorders>
          </w:tcPr>
          <w:p w14:paraId="305EF52A" w14:textId="77777777" w:rsidR="00373737" w:rsidRPr="00C45F7C" w:rsidRDefault="006B723B" w:rsidP="006B723B">
            <w:pPr>
              <w:pStyle w:val="TableText"/>
              <w:keepNext/>
              <w:rPr>
                <w:b/>
              </w:rPr>
            </w:pPr>
            <w:r w:rsidRPr="00C45F7C">
              <w:rPr>
                <w:b/>
              </w:rPr>
              <w:t>Adept</w:t>
            </w:r>
          </w:p>
        </w:tc>
      </w:tr>
      <w:tr w:rsidR="00373737" w:rsidRPr="00C978B9" w14:paraId="5ED6FE19" w14:textId="77777777" w:rsidTr="00252019">
        <w:tc>
          <w:tcPr>
            <w:tcW w:w="2037" w:type="dxa"/>
            <w:vMerge/>
            <w:tcBorders>
              <w:bottom w:val="single" w:sz="4" w:space="0" w:color="BCBEC0"/>
            </w:tcBorders>
          </w:tcPr>
          <w:p w14:paraId="45FB0818" w14:textId="77777777" w:rsidR="00373737" w:rsidRPr="00C978B9" w:rsidRDefault="00373737" w:rsidP="00131907">
            <w:pPr>
              <w:keepNext/>
            </w:pPr>
          </w:p>
        </w:tc>
        <w:tc>
          <w:tcPr>
            <w:tcW w:w="5424" w:type="dxa"/>
            <w:tcBorders>
              <w:bottom w:val="single" w:sz="4" w:space="0" w:color="BCBEC0"/>
            </w:tcBorders>
          </w:tcPr>
          <w:p w14:paraId="252132A2" w14:textId="77777777" w:rsidR="00373737" w:rsidRPr="00C45F7C" w:rsidRDefault="0001016C" w:rsidP="0001016C">
            <w:pPr>
              <w:pStyle w:val="TableText"/>
              <w:keepNext/>
              <w:rPr>
                <w:sz w:val="24"/>
                <w:szCs w:val="24"/>
              </w:rPr>
            </w:pPr>
            <w:r w:rsidRPr="00C45F7C">
              <w:t>Influence and Negotiate</w:t>
            </w:r>
          </w:p>
        </w:tc>
        <w:tc>
          <w:tcPr>
            <w:tcW w:w="3339" w:type="dxa"/>
            <w:tcBorders>
              <w:bottom w:val="single" w:sz="4" w:space="0" w:color="BCBEC0"/>
            </w:tcBorders>
          </w:tcPr>
          <w:p w14:paraId="0AEAEA0A" w14:textId="77777777" w:rsidR="00373737" w:rsidRPr="00C45F7C" w:rsidRDefault="0001016C" w:rsidP="003735B5">
            <w:pPr>
              <w:pStyle w:val="TableText"/>
              <w:keepNext/>
            </w:pPr>
            <w:r w:rsidRPr="00C45F7C">
              <w:t>Ad</w:t>
            </w:r>
            <w:r w:rsidR="003735B5" w:rsidRPr="00C45F7C">
              <w:t>vanced</w:t>
            </w:r>
          </w:p>
        </w:tc>
      </w:tr>
      <w:tr w:rsidR="00373737" w:rsidRPr="00C978B9" w14:paraId="537E46E0" w14:textId="77777777" w:rsidTr="00252019">
        <w:tc>
          <w:tcPr>
            <w:tcW w:w="2037" w:type="dxa"/>
            <w:vMerge w:val="restart"/>
            <w:tcBorders>
              <w:top w:val="single" w:sz="12" w:space="0" w:color="auto"/>
              <w:bottom w:val="single" w:sz="8" w:space="0" w:color="BCBEC0"/>
            </w:tcBorders>
            <w:vAlign w:val="center"/>
          </w:tcPr>
          <w:p w14:paraId="049F31CB" w14:textId="77777777" w:rsidR="00373737" w:rsidRPr="00C978B9" w:rsidRDefault="00373737" w:rsidP="00131907">
            <w:pPr>
              <w:keepNext/>
            </w:pPr>
            <w:r w:rsidRPr="00C978B9">
              <w:rPr>
                <w:noProof/>
                <w:lang w:eastAsia="en-AU"/>
              </w:rPr>
              <w:drawing>
                <wp:inline distT="0" distB="0" distL="0" distR="0" wp14:anchorId="4AF9C8BD" wp14:editId="6B96E488">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39D6CC73" w14:textId="77777777" w:rsidR="00373737" w:rsidRPr="00610758" w:rsidRDefault="006B723B" w:rsidP="006B723B">
            <w:pPr>
              <w:pStyle w:val="TableText"/>
              <w:keepNext/>
              <w:rPr>
                <w:sz w:val="24"/>
                <w:szCs w:val="24"/>
              </w:rPr>
            </w:pPr>
            <w:r>
              <w:t>Deliver Results</w:t>
            </w:r>
          </w:p>
        </w:tc>
        <w:tc>
          <w:tcPr>
            <w:tcW w:w="3339" w:type="dxa"/>
            <w:tcBorders>
              <w:top w:val="single" w:sz="12" w:space="0" w:color="auto"/>
              <w:bottom w:val="single" w:sz="8" w:space="0" w:color="BCBEC0"/>
            </w:tcBorders>
          </w:tcPr>
          <w:p w14:paraId="73FA28E1" w14:textId="77777777" w:rsidR="00373737" w:rsidRPr="00610758" w:rsidRDefault="006B723B" w:rsidP="006B723B">
            <w:pPr>
              <w:pStyle w:val="TableText"/>
              <w:keepNext/>
            </w:pPr>
            <w:r>
              <w:t>Intermediate</w:t>
            </w:r>
          </w:p>
        </w:tc>
      </w:tr>
      <w:tr w:rsidR="00373737" w:rsidRPr="00C978B9" w14:paraId="3F2E72B2" w14:textId="77777777" w:rsidTr="00252019">
        <w:tc>
          <w:tcPr>
            <w:tcW w:w="2037" w:type="dxa"/>
            <w:vMerge/>
            <w:tcBorders>
              <w:top w:val="single" w:sz="8" w:space="0" w:color="BCBEC0"/>
            </w:tcBorders>
          </w:tcPr>
          <w:p w14:paraId="53128261" w14:textId="77777777" w:rsidR="00373737" w:rsidRPr="00C978B9" w:rsidRDefault="00373737" w:rsidP="00131907">
            <w:pPr>
              <w:keepNext/>
            </w:pPr>
          </w:p>
        </w:tc>
        <w:tc>
          <w:tcPr>
            <w:tcW w:w="5424" w:type="dxa"/>
            <w:tcBorders>
              <w:top w:val="single" w:sz="8" w:space="0" w:color="BCBEC0"/>
            </w:tcBorders>
          </w:tcPr>
          <w:p w14:paraId="3A401272" w14:textId="77777777" w:rsidR="00373737" w:rsidRPr="00C978B9" w:rsidRDefault="006B723B" w:rsidP="006B723B">
            <w:pPr>
              <w:pStyle w:val="TableText"/>
              <w:keepNext/>
              <w:rPr>
                <w:sz w:val="24"/>
                <w:szCs w:val="24"/>
              </w:rPr>
            </w:pPr>
            <w:r>
              <w:t>Plan and Prioritise</w:t>
            </w:r>
          </w:p>
        </w:tc>
        <w:tc>
          <w:tcPr>
            <w:tcW w:w="3339" w:type="dxa"/>
            <w:tcBorders>
              <w:top w:val="single" w:sz="8" w:space="0" w:color="BCBEC0"/>
            </w:tcBorders>
          </w:tcPr>
          <w:p w14:paraId="2C8236CC" w14:textId="77777777" w:rsidR="00373737" w:rsidRPr="00A15CDB" w:rsidRDefault="006B723B" w:rsidP="006B723B">
            <w:pPr>
              <w:pStyle w:val="TableText"/>
              <w:keepNext/>
            </w:pPr>
            <w:r>
              <w:t>Adept</w:t>
            </w:r>
          </w:p>
        </w:tc>
      </w:tr>
      <w:tr w:rsidR="00373737" w:rsidRPr="00C978B9" w14:paraId="228E27D4" w14:textId="77777777" w:rsidTr="00252019">
        <w:tc>
          <w:tcPr>
            <w:tcW w:w="2037" w:type="dxa"/>
            <w:vMerge/>
            <w:tcBorders>
              <w:bottom w:val="single" w:sz="4" w:space="0" w:color="BCBEC0"/>
            </w:tcBorders>
          </w:tcPr>
          <w:p w14:paraId="62486C05" w14:textId="77777777" w:rsidR="00373737" w:rsidRPr="00C978B9" w:rsidRDefault="00373737" w:rsidP="00131907">
            <w:pPr>
              <w:keepNext/>
            </w:pPr>
          </w:p>
        </w:tc>
        <w:tc>
          <w:tcPr>
            <w:tcW w:w="5424" w:type="dxa"/>
            <w:tcBorders>
              <w:bottom w:val="single" w:sz="4" w:space="0" w:color="BCBEC0"/>
            </w:tcBorders>
          </w:tcPr>
          <w:p w14:paraId="496FB745" w14:textId="77777777" w:rsidR="00373737" w:rsidRPr="00610758" w:rsidRDefault="0001016C" w:rsidP="0001016C">
            <w:pPr>
              <w:pStyle w:val="TableText"/>
              <w:keepNext/>
              <w:rPr>
                <w:b/>
                <w:sz w:val="24"/>
                <w:szCs w:val="24"/>
              </w:rPr>
            </w:pPr>
            <w:r>
              <w:rPr>
                <w:b/>
              </w:rPr>
              <w:t>Think and Solve Problems</w:t>
            </w:r>
          </w:p>
        </w:tc>
        <w:tc>
          <w:tcPr>
            <w:tcW w:w="3339" w:type="dxa"/>
            <w:tcBorders>
              <w:bottom w:val="single" w:sz="4" w:space="0" w:color="BCBEC0"/>
            </w:tcBorders>
          </w:tcPr>
          <w:p w14:paraId="25DDCE49" w14:textId="77777777" w:rsidR="00373737" w:rsidRPr="00610758" w:rsidRDefault="0001016C" w:rsidP="0001016C">
            <w:pPr>
              <w:pStyle w:val="TableText"/>
              <w:keepNext/>
              <w:rPr>
                <w:b/>
              </w:rPr>
            </w:pPr>
            <w:r>
              <w:rPr>
                <w:b/>
              </w:rPr>
              <w:t>Adept</w:t>
            </w:r>
          </w:p>
        </w:tc>
      </w:tr>
      <w:tr w:rsidR="00373737" w:rsidRPr="00C978B9" w14:paraId="5D95ABB0" w14:textId="77777777" w:rsidTr="00252019">
        <w:tc>
          <w:tcPr>
            <w:tcW w:w="2037" w:type="dxa"/>
            <w:vMerge/>
            <w:tcBorders>
              <w:bottom w:val="single" w:sz="4" w:space="0" w:color="BCBEC0"/>
            </w:tcBorders>
          </w:tcPr>
          <w:p w14:paraId="4101652C" w14:textId="77777777" w:rsidR="00373737" w:rsidRPr="00C978B9" w:rsidRDefault="00373737" w:rsidP="00131907">
            <w:pPr>
              <w:keepNext/>
            </w:pPr>
          </w:p>
        </w:tc>
        <w:tc>
          <w:tcPr>
            <w:tcW w:w="5424" w:type="dxa"/>
            <w:tcBorders>
              <w:bottom w:val="single" w:sz="4" w:space="0" w:color="BCBEC0"/>
            </w:tcBorders>
          </w:tcPr>
          <w:p w14:paraId="7F7762DD" w14:textId="77777777" w:rsidR="00373737" w:rsidRPr="00610758" w:rsidRDefault="0001016C" w:rsidP="0001016C">
            <w:pPr>
              <w:pStyle w:val="TableText"/>
              <w:keepNext/>
              <w:rPr>
                <w:b/>
                <w:sz w:val="24"/>
                <w:szCs w:val="24"/>
              </w:rPr>
            </w:pPr>
            <w:r>
              <w:rPr>
                <w:b/>
              </w:rPr>
              <w:t>Demonstrate Accountability</w:t>
            </w:r>
          </w:p>
        </w:tc>
        <w:tc>
          <w:tcPr>
            <w:tcW w:w="3339" w:type="dxa"/>
            <w:tcBorders>
              <w:bottom w:val="single" w:sz="4" w:space="0" w:color="BCBEC0"/>
            </w:tcBorders>
          </w:tcPr>
          <w:p w14:paraId="137E4281" w14:textId="77777777" w:rsidR="00373737" w:rsidRPr="00610758" w:rsidRDefault="0001016C" w:rsidP="0001016C">
            <w:pPr>
              <w:pStyle w:val="TableText"/>
              <w:keepNext/>
              <w:rPr>
                <w:b/>
              </w:rPr>
            </w:pPr>
            <w:r>
              <w:rPr>
                <w:b/>
              </w:rPr>
              <w:t>Intermediate</w:t>
            </w:r>
          </w:p>
        </w:tc>
      </w:tr>
      <w:tr w:rsidR="00373737" w:rsidRPr="00C978B9" w14:paraId="4816B3BD" w14:textId="77777777" w:rsidTr="00252019">
        <w:tc>
          <w:tcPr>
            <w:tcW w:w="2037" w:type="dxa"/>
            <w:vMerge w:val="restart"/>
            <w:tcBorders>
              <w:top w:val="single" w:sz="12" w:space="0" w:color="auto"/>
              <w:bottom w:val="single" w:sz="8" w:space="0" w:color="BCBEC0"/>
            </w:tcBorders>
            <w:vAlign w:val="center"/>
          </w:tcPr>
          <w:p w14:paraId="4B99056E" w14:textId="77777777" w:rsidR="00373737" w:rsidRPr="00C978B9" w:rsidRDefault="00373737" w:rsidP="00131907">
            <w:pPr>
              <w:keepNext/>
            </w:pPr>
            <w:r w:rsidRPr="00C978B9">
              <w:rPr>
                <w:noProof/>
                <w:lang w:eastAsia="en-AU"/>
              </w:rPr>
              <w:drawing>
                <wp:inline distT="0" distB="0" distL="0" distR="0" wp14:anchorId="699169DA" wp14:editId="0A96C6A9">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3A2F2879" w14:textId="77777777" w:rsidR="00373737" w:rsidRPr="00610758" w:rsidRDefault="006B723B" w:rsidP="006B723B">
            <w:pPr>
              <w:pStyle w:val="TableText"/>
              <w:keepNext/>
              <w:rPr>
                <w:sz w:val="24"/>
                <w:szCs w:val="24"/>
              </w:rPr>
            </w:pPr>
            <w:r>
              <w:t>Finance</w:t>
            </w:r>
          </w:p>
        </w:tc>
        <w:tc>
          <w:tcPr>
            <w:tcW w:w="3339" w:type="dxa"/>
            <w:tcBorders>
              <w:top w:val="single" w:sz="12" w:space="0" w:color="auto"/>
              <w:bottom w:val="single" w:sz="8" w:space="0" w:color="BCBEC0"/>
            </w:tcBorders>
          </w:tcPr>
          <w:p w14:paraId="1EEA47FF" w14:textId="77777777" w:rsidR="00373737" w:rsidRPr="00610758" w:rsidRDefault="006B723B" w:rsidP="006B723B">
            <w:pPr>
              <w:pStyle w:val="TableText"/>
              <w:keepNext/>
            </w:pPr>
            <w:r>
              <w:t>Intermediate</w:t>
            </w:r>
          </w:p>
        </w:tc>
      </w:tr>
      <w:tr w:rsidR="00373737" w:rsidRPr="00C978B9" w14:paraId="443A07A6" w14:textId="77777777" w:rsidTr="00252019">
        <w:tc>
          <w:tcPr>
            <w:tcW w:w="2037" w:type="dxa"/>
            <w:vMerge/>
            <w:tcBorders>
              <w:top w:val="single" w:sz="8" w:space="0" w:color="BCBEC0"/>
            </w:tcBorders>
          </w:tcPr>
          <w:p w14:paraId="1299C43A" w14:textId="77777777" w:rsidR="00373737" w:rsidRPr="00C978B9" w:rsidRDefault="00373737" w:rsidP="00131907">
            <w:pPr>
              <w:keepNext/>
            </w:pPr>
          </w:p>
        </w:tc>
        <w:tc>
          <w:tcPr>
            <w:tcW w:w="5424" w:type="dxa"/>
            <w:tcBorders>
              <w:top w:val="single" w:sz="8" w:space="0" w:color="BCBEC0"/>
            </w:tcBorders>
          </w:tcPr>
          <w:p w14:paraId="56EC3E7D" w14:textId="77777777" w:rsidR="00373737" w:rsidRPr="00C978B9" w:rsidRDefault="006B723B" w:rsidP="006B723B">
            <w:pPr>
              <w:pStyle w:val="TableText"/>
              <w:keepNext/>
              <w:rPr>
                <w:sz w:val="24"/>
                <w:szCs w:val="24"/>
              </w:rPr>
            </w:pPr>
            <w:r>
              <w:t>Technology</w:t>
            </w:r>
          </w:p>
        </w:tc>
        <w:tc>
          <w:tcPr>
            <w:tcW w:w="3339" w:type="dxa"/>
            <w:tcBorders>
              <w:top w:val="single" w:sz="8" w:space="0" w:color="BCBEC0"/>
            </w:tcBorders>
          </w:tcPr>
          <w:p w14:paraId="07CF66C2" w14:textId="77777777" w:rsidR="00373737" w:rsidRPr="00A15CDB" w:rsidRDefault="006B723B" w:rsidP="006B723B">
            <w:pPr>
              <w:pStyle w:val="TableText"/>
              <w:keepNext/>
            </w:pPr>
            <w:r>
              <w:t>Intermediate</w:t>
            </w:r>
          </w:p>
        </w:tc>
      </w:tr>
      <w:tr w:rsidR="00373737" w:rsidRPr="00C978B9" w14:paraId="049837A9" w14:textId="77777777" w:rsidTr="00252019">
        <w:tc>
          <w:tcPr>
            <w:tcW w:w="2037" w:type="dxa"/>
            <w:vMerge/>
            <w:tcBorders>
              <w:top w:val="single" w:sz="8" w:space="0" w:color="BCBEC0"/>
            </w:tcBorders>
          </w:tcPr>
          <w:p w14:paraId="4DDBEF00" w14:textId="77777777" w:rsidR="00373737" w:rsidRPr="00C978B9" w:rsidRDefault="00373737" w:rsidP="00131907">
            <w:pPr>
              <w:keepNext/>
            </w:pPr>
          </w:p>
        </w:tc>
        <w:tc>
          <w:tcPr>
            <w:tcW w:w="5424" w:type="dxa"/>
            <w:tcBorders>
              <w:top w:val="single" w:sz="8" w:space="0" w:color="BCBEC0"/>
            </w:tcBorders>
          </w:tcPr>
          <w:p w14:paraId="30E22B46" w14:textId="77777777" w:rsidR="00373737" w:rsidRPr="00C978B9" w:rsidRDefault="006B723B" w:rsidP="006B723B">
            <w:pPr>
              <w:pStyle w:val="TableText"/>
              <w:keepNext/>
              <w:rPr>
                <w:sz w:val="24"/>
                <w:szCs w:val="24"/>
              </w:rPr>
            </w:pPr>
            <w:r>
              <w:t>Procurement and Contract Management</w:t>
            </w:r>
          </w:p>
        </w:tc>
        <w:tc>
          <w:tcPr>
            <w:tcW w:w="3339" w:type="dxa"/>
            <w:tcBorders>
              <w:top w:val="single" w:sz="8" w:space="0" w:color="BCBEC0"/>
            </w:tcBorders>
          </w:tcPr>
          <w:p w14:paraId="2AD6C2F6" w14:textId="77777777" w:rsidR="00373737" w:rsidRPr="00A15CDB" w:rsidRDefault="006B723B" w:rsidP="006B723B">
            <w:pPr>
              <w:pStyle w:val="TableText"/>
              <w:keepNext/>
            </w:pPr>
            <w:r>
              <w:t>Intermediate</w:t>
            </w:r>
          </w:p>
        </w:tc>
      </w:tr>
      <w:tr w:rsidR="00373737" w:rsidRPr="00C978B9" w14:paraId="702D17CC" w14:textId="77777777" w:rsidTr="00252019">
        <w:tc>
          <w:tcPr>
            <w:tcW w:w="2037" w:type="dxa"/>
            <w:vMerge/>
            <w:tcBorders>
              <w:bottom w:val="single" w:sz="4" w:space="0" w:color="BCBEC0"/>
            </w:tcBorders>
          </w:tcPr>
          <w:p w14:paraId="3461D779" w14:textId="77777777" w:rsidR="00373737" w:rsidRPr="00C978B9" w:rsidRDefault="00373737" w:rsidP="00131907">
            <w:pPr>
              <w:keepNext/>
            </w:pPr>
          </w:p>
        </w:tc>
        <w:tc>
          <w:tcPr>
            <w:tcW w:w="5424" w:type="dxa"/>
            <w:tcBorders>
              <w:bottom w:val="single" w:sz="4" w:space="0" w:color="BCBEC0"/>
            </w:tcBorders>
          </w:tcPr>
          <w:p w14:paraId="0FD428D7" w14:textId="77777777" w:rsidR="00373737" w:rsidRPr="00610758" w:rsidRDefault="0001016C" w:rsidP="0001016C">
            <w:pPr>
              <w:pStyle w:val="TableText"/>
              <w:keepNext/>
              <w:rPr>
                <w:b/>
                <w:sz w:val="24"/>
                <w:szCs w:val="24"/>
              </w:rPr>
            </w:pPr>
            <w:r>
              <w:rPr>
                <w:b/>
              </w:rPr>
              <w:t>Project Management</w:t>
            </w:r>
          </w:p>
        </w:tc>
        <w:tc>
          <w:tcPr>
            <w:tcW w:w="3339" w:type="dxa"/>
            <w:tcBorders>
              <w:bottom w:val="single" w:sz="4" w:space="0" w:color="BCBEC0"/>
            </w:tcBorders>
          </w:tcPr>
          <w:p w14:paraId="1E344BE6" w14:textId="77777777" w:rsidR="00373737" w:rsidRPr="00610758" w:rsidRDefault="0001016C" w:rsidP="0001016C">
            <w:pPr>
              <w:pStyle w:val="TableText"/>
              <w:keepNext/>
              <w:rPr>
                <w:b/>
              </w:rPr>
            </w:pPr>
            <w:r>
              <w:rPr>
                <w:b/>
              </w:rPr>
              <w:t>Adept</w:t>
            </w:r>
          </w:p>
        </w:tc>
      </w:tr>
    </w:tbl>
    <w:p w14:paraId="3CF2D8B6" w14:textId="77777777" w:rsidR="002D36BB" w:rsidRDefault="002D36BB" w:rsidP="00564B82">
      <w:pPr>
        <w:shd w:val="clear" w:color="auto" w:fill="FFFFFF" w:themeFill="background1"/>
      </w:pPr>
    </w:p>
    <w:p w14:paraId="0FB78278" w14:textId="77777777" w:rsidR="002D36BB" w:rsidRDefault="002D36BB" w:rsidP="00325E9D"/>
    <w:p w14:paraId="569EB4CB" w14:textId="77777777" w:rsidR="00325E9D" w:rsidRPr="00C978B9" w:rsidRDefault="00325E9D" w:rsidP="00325E9D">
      <w:pPr>
        <w:pStyle w:val="Heading2"/>
      </w:pPr>
      <w:r w:rsidRPr="00C978B9">
        <w:t xml:space="preserve">Focus </w:t>
      </w:r>
      <w:r>
        <w:t>c</w:t>
      </w:r>
      <w:r w:rsidRPr="00C978B9">
        <w:t>apabilities</w:t>
      </w:r>
    </w:p>
    <w:p w14:paraId="2373918A"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14:paraId="0602718F" w14:textId="77777777" w:rsidTr="00564B82">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213C443E" w14:textId="77777777" w:rsidR="002D36BB" w:rsidRPr="00C978B9" w:rsidRDefault="002D36BB" w:rsidP="006C18F8">
            <w:pPr>
              <w:pStyle w:val="TableTextWhite0"/>
              <w:keepNext/>
            </w:pPr>
            <w:r w:rsidRPr="00C978B9">
              <w:t>NSW Public Sector Capability Framework</w:t>
            </w:r>
          </w:p>
        </w:tc>
      </w:tr>
      <w:tr w:rsidR="00A85305" w:rsidRPr="00C978B9" w14:paraId="3A187B98" w14:textId="77777777" w:rsidTr="00564B82">
        <w:trPr>
          <w:cnfStyle w:val="100000000000" w:firstRow="1" w:lastRow="0" w:firstColumn="0" w:lastColumn="0" w:oddVBand="0" w:evenVBand="0" w:oddHBand="0" w:evenHBand="0" w:firstRowFirstColumn="0" w:firstRowLastColumn="0" w:lastRowFirstColumn="0" w:lastRowLastColumn="0"/>
          <w:tblHeader/>
        </w:trPr>
        <w:tc>
          <w:tcPr>
            <w:tcW w:w="2702" w:type="dxa"/>
            <w:tcBorders>
              <w:top w:val="single" w:sz="8" w:space="0" w:color="BCBEC0"/>
              <w:bottom w:val="single" w:sz="8" w:space="0" w:color="BCBEC0"/>
            </w:tcBorders>
            <w:shd w:val="clear" w:color="auto" w:fill="BCBEC0"/>
          </w:tcPr>
          <w:p w14:paraId="2D23D504" w14:textId="77777777" w:rsidR="00A85305" w:rsidRPr="00C978B9" w:rsidRDefault="00A85305" w:rsidP="00A85305">
            <w:pPr>
              <w:pStyle w:val="TableText"/>
              <w:keepNext/>
              <w:rPr>
                <w:b/>
                <w:sz w:val="24"/>
                <w:szCs w:val="24"/>
              </w:rPr>
            </w:pPr>
            <w:r>
              <w:rPr>
                <w:b/>
              </w:rPr>
              <w:t>Group and Capability</w:t>
            </w:r>
          </w:p>
        </w:tc>
        <w:tc>
          <w:tcPr>
            <w:tcW w:w="2337" w:type="dxa"/>
            <w:tcBorders>
              <w:top w:val="single" w:sz="8" w:space="0" w:color="BCBEC0"/>
              <w:bottom w:val="single" w:sz="8" w:space="0" w:color="BCBEC0"/>
            </w:tcBorders>
            <w:shd w:val="clear" w:color="auto" w:fill="BCBEC0"/>
          </w:tcPr>
          <w:p w14:paraId="4D2185B9" w14:textId="77777777" w:rsidR="00A85305" w:rsidRPr="00C978B9" w:rsidRDefault="00A85305" w:rsidP="00A85305">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14:paraId="61E3C4F4" w14:textId="77777777" w:rsidR="00A85305" w:rsidRPr="00C978B9" w:rsidRDefault="00A85305" w:rsidP="00A85305">
            <w:pPr>
              <w:pStyle w:val="TableText"/>
              <w:keepNext/>
              <w:rPr>
                <w:b/>
                <w:sz w:val="24"/>
                <w:szCs w:val="24"/>
              </w:rPr>
            </w:pPr>
            <w:r>
              <w:rPr>
                <w:b/>
              </w:rPr>
              <w:t>Behavioural Indicators</w:t>
            </w:r>
          </w:p>
        </w:tc>
      </w:tr>
      <w:tr w:rsidR="0039395B" w:rsidRPr="00C978B9" w14:paraId="7D9F3454" w14:textId="77777777" w:rsidTr="00564B82">
        <w:tc>
          <w:tcPr>
            <w:tcW w:w="2702" w:type="dxa"/>
          </w:tcPr>
          <w:p w14:paraId="6AD743D5" w14:textId="77777777" w:rsidR="001F2503" w:rsidRPr="00C978B9" w:rsidRDefault="0039395B" w:rsidP="00CC7829">
            <w:pPr>
              <w:pStyle w:val="TableText"/>
              <w:rPr>
                <w:b/>
              </w:rPr>
            </w:pPr>
            <w:r>
              <w:rPr>
                <w:b/>
              </w:rPr>
              <w:t>Personal Attributes</w:t>
            </w:r>
          </w:p>
          <w:p w14:paraId="0F1A4AEB" w14:textId="77777777" w:rsidR="001F2503" w:rsidRPr="00C978B9" w:rsidRDefault="0039395B" w:rsidP="0039395B">
            <w:pPr>
              <w:pStyle w:val="TableText"/>
            </w:pPr>
            <w:r>
              <w:t>Act with Integrity</w:t>
            </w:r>
          </w:p>
        </w:tc>
        <w:tc>
          <w:tcPr>
            <w:tcW w:w="2337" w:type="dxa"/>
          </w:tcPr>
          <w:p w14:paraId="38DB92C9" w14:textId="77777777" w:rsidR="001F2503" w:rsidRPr="00C978B9" w:rsidRDefault="0039395B" w:rsidP="0039395B">
            <w:pPr>
              <w:pStyle w:val="TableText"/>
              <w:rPr>
                <w:rFonts w:cs="Arial"/>
                <w:color w:val="000000"/>
              </w:rPr>
            </w:pPr>
            <w:r>
              <w:rPr>
                <w:rFonts w:cs="Arial"/>
                <w:color w:val="000000"/>
              </w:rPr>
              <w:t>Adept</w:t>
            </w:r>
          </w:p>
        </w:tc>
        <w:tc>
          <w:tcPr>
            <w:tcW w:w="5761" w:type="dxa"/>
          </w:tcPr>
          <w:p w14:paraId="4612799C" w14:textId="77777777" w:rsidR="001F2503" w:rsidRPr="00C978B9" w:rsidRDefault="0039395B" w:rsidP="0039395B">
            <w:pPr>
              <w:pStyle w:val="TableBullet"/>
            </w:pPr>
            <w:r>
              <w:t>Represent the organisation in an honest, ethical and professional way and encourage others to do so</w:t>
            </w:r>
          </w:p>
          <w:p w14:paraId="7F3BF535" w14:textId="77777777" w:rsidR="001F2503" w:rsidRPr="00C978B9" w:rsidRDefault="0039395B" w:rsidP="0039395B">
            <w:pPr>
              <w:pStyle w:val="TableBullet"/>
            </w:pPr>
            <w:r>
              <w:t>Demonstrate professionalism to support a culture of integrity within the team/unit</w:t>
            </w:r>
          </w:p>
          <w:p w14:paraId="5F2255B1" w14:textId="77777777" w:rsidR="001F2503" w:rsidRPr="00C978B9" w:rsidRDefault="0039395B" w:rsidP="0039395B">
            <w:pPr>
              <w:pStyle w:val="TableBullet"/>
            </w:pPr>
            <w:r>
              <w:t>Set an example for others to follow and identify and explain ethical issues</w:t>
            </w:r>
          </w:p>
          <w:p w14:paraId="5FD712A8" w14:textId="77777777" w:rsidR="001F2503" w:rsidRPr="00C978B9" w:rsidRDefault="0039395B" w:rsidP="0039395B">
            <w:pPr>
              <w:pStyle w:val="TableBullet"/>
            </w:pPr>
            <w:r>
              <w:t>Ensure that others understand the legislation and policy framework within which they operate</w:t>
            </w:r>
          </w:p>
          <w:p w14:paraId="6BCC786E" w14:textId="77777777" w:rsidR="001F2503" w:rsidRPr="00C978B9" w:rsidRDefault="0039395B" w:rsidP="0039395B">
            <w:pPr>
              <w:pStyle w:val="TableBullet"/>
            </w:pPr>
            <w:r>
              <w:t>Act to prevent and report misconduct, illegal and inappropriate behaviour</w:t>
            </w:r>
          </w:p>
        </w:tc>
      </w:tr>
      <w:tr w:rsidR="00252019" w:rsidRPr="00C978B9" w14:paraId="5B8E7475" w14:textId="77777777" w:rsidTr="00564B82">
        <w:tc>
          <w:tcPr>
            <w:tcW w:w="2702" w:type="dxa"/>
          </w:tcPr>
          <w:p w14:paraId="45903DD1" w14:textId="77777777" w:rsidR="00252019" w:rsidRDefault="00252019" w:rsidP="00CC7829">
            <w:pPr>
              <w:pStyle w:val="TableText"/>
              <w:rPr>
                <w:b/>
              </w:rPr>
            </w:pPr>
            <w:r>
              <w:rPr>
                <w:b/>
              </w:rPr>
              <w:t>Personal Attributes</w:t>
            </w:r>
          </w:p>
          <w:p w14:paraId="40DF1D78" w14:textId="77777777" w:rsidR="00252019" w:rsidRPr="00252019" w:rsidRDefault="00252019" w:rsidP="00CC7829">
            <w:pPr>
              <w:pStyle w:val="TableText"/>
            </w:pPr>
            <w:r w:rsidRPr="00252019">
              <w:lastRenderedPageBreak/>
              <w:t>Manage Self</w:t>
            </w:r>
          </w:p>
        </w:tc>
        <w:tc>
          <w:tcPr>
            <w:tcW w:w="2337" w:type="dxa"/>
          </w:tcPr>
          <w:p w14:paraId="25A69BEC" w14:textId="77777777" w:rsidR="00252019" w:rsidRDefault="00252019" w:rsidP="0039395B">
            <w:pPr>
              <w:pStyle w:val="TableText"/>
              <w:rPr>
                <w:rFonts w:cs="Arial"/>
                <w:color w:val="000000"/>
              </w:rPr>
            </w:pPr>
            <w:r>
              <w:rPr>
                <w:rFonts w:cs="Arial"/>
                <w:color w:val="000000"/>
              </w:rPr>
              <w:lastRenderedPageBreak/>
              <w:t>Adept</w:t>
            </w:r>
          </w:p>
        </w:tc>
        <w:tc>
          <w:tcPr>
            <w:tcW w:w="5761" w:type="dxa"/>
          </w:tcPr>
          <w:p w14:paraId="4259F375" w14:textId="77777777" w:rsidR="00192245" w:rsidRPr="003E2BC2" w:rsidRDefault="00192245" w:rsidP="00192245">
            <w:pPr>
              <w:pStyle w:val="TableBullet"/>
              <w:rPr>
                <w:rFonts w:cs="Arial"/>
              </w:rPr>
            </w:pPr>
            <w:r w:rsidRPr="003E2BC2">
              <w:rPr>
                <w:rFonts w:cs="Arial"/>
              </w:rPr>
              <w:t>Look for and take advantage of opportunities to learn new skills and develop strengths</w:t>
            </w:r>
          </w:p>
          <w:p w14:paraId="3C072683" w14:textId="77777777" w:rsidR="00192245" w:rsidRPr="003E2BC2" w:rsidRDefault="00192245" w:rsidP="00192245">
            <w:pPr>
              <w:pStyle w:val="TableBullet"/>
              <w:rPr>
                <w:rFonts w:cs="Arial"/>
              </w:rPr>
            </w:pPr>
            <w:r w:rsidRPr="003E2BC2">
              <w:rPr>
                <w:rFonts w:cs="Arial"/>
              </w:rPr>
              <w:lastRenderedPageBreak/>
              <w:t>Show commitment to achieving challenging goals</w:t>
            </w:r>
          </w:p>
          <w:p w14:paraId="2436AAF0" w14:textId="77777777" w:rsidR="00192245" w:rsidRPr="003E2BC2" w:rsidRDefault="00192245" w:rsidP="00192245">
            <w:pPr>
              <w:pStyle w:val="TableBullet"/>
              <w:rPr>
                <w:rFonts w:cs="Arial"/>
              </w:rPr>
            </w:pPr>
            <w:r w:rsidRPr="003E2BC2">
              <w:rPr>
                <w:rFonts w:cs="Arial"/>
              </w:rPr>
              <w:t>Examine and reflect on own performance</w:t>
            </w:r>
          </w:p>
          <w:p w14:paraId="34316FFC" w14:textId="77777777" w:rsidR="00192245" w:rsidRPr="003E2BC2" w:rsidRDefault="00192245" w:rsidP="00192245">
            <w:pPr>
              <w:pStyle w:val="TableBullet"/>
              <w:rPr>
                <w:rFonts w:cs="Arial"/>
              </w:rPr>
            </w:pPr>
            <w:r w:rsidRPr="003E2BC2">
              <w:rPr>
                <w:rFonts w:cs="Arial"/>
              </w:rPr>
              <w:t>Seek and respond positively to constructive feedback and guidance</w:t>
            </w:r>
          </w:p>
          <w:p w14:paraId="3992F2EF" w14:textId="77777777" w:rsidR="00252019" w:rsidRDefault="00192245" w:rsidP="00192245">
            <w:pPr>
              <w:pStyle w:val="TableBullet"/>
            </w:pPr>
            <w:r w:rsidRPr="003E2BC2">
              <w:rPr>
                <w:rFonts w:cs="Arial"/>
              </w:rPr>
              <w:t>Demonstrate a high level of personal motivation</w:t>
            </w:r>
          </w:p>
        </w:tc>
      </w:tr>
      <w:tr w:rsidR="0039395B" w:rsidRPr="00C978B9" w14:paraId="1560A093" w14:textId="77777777" w:rsidTr="00564B82">
        <w:tc>
          <w:tcPr>
            <w:tcW w:w="2702" w:type="dxa"/>
          </w:tcPr>
          <w:p w14:paraId="1893D781" w14:textId="77777777" w:rsidR="001F2503" w:rsidRPr="00C978B9" w:rsidRDefault="0039395B" w:rsidP="00CC7829">
            <w:pPr>
              <w:pStyle w:val="TableText"/>
              <w:rPr>
                <w:b/>
              </w:rPr>
            </w:pPr>
            <w:r>
              <w:rPr>
                <w:b/>
              </w:rPr>
              <w:lastRenderedPageBreak/>
              <w:t>Relationships</w:t>
            </w:r>
          </w:p>
          <w:p w14:paraId="2C1E6142" w14:textId="77777777" w:rsidR="001F2503" w:rsidRPr="00C978B9" w:rsidRDefault="00252019" w:rsidP="0039395B">
            <w:pPr>
              <w:pStyle w:val="TableText"/>
            </w:pPr>
            <w:r>
              <w:t>Communicate Effectively</w:t>
            </w:r>
          </w:p>
        </w:tc>
        <w:tc>
          <w:tcPr>
            <w:tcW w:w="2337" w:type="dxa"/>
          </w:tcPr>
          <w:p w14:paraId="587F0078" w14:textId="77777777" w:rsidR="001F2503" w:rsidRPr="00C978B9" w:rsidRDefault="00252019" w:rsidP="0039395B">
            <w:pPr>
              <w:pStyle w:val="TableText"/>
              <w:rPr>
                <w:rFonts w:cs="Arial"/>
                <w:color w:val="000000"/>
              </w:rPr>
            </w:pPr>
            <w:r>
              <w:rPr>
                <w:rFonts w:cs="Arial"/>
                <w:color w:val="000000"/>
              </w:rPr>
              <w:t>Adept</w:t>
            </w:r>
          </w:p>
        </w:tc>
        <w:tc>
          <w:tcPr>
            <w:tcW w:w="5761" w:type="dxa"/>
          </w:tcPr>
          <w:p w14:paraId="1B7F236E" w14:textId="77777777" w:rsidR="00192245" w:rsidRPr="003E2BC2" w:rsidRDefault="00192245" w:rsidP="00192245">
            <w:pPr>
              <w:pStyle w:val="TableBullet"/>
              <w:rPr>
                <w:rFonts w:cs="Arial"/>
              </w:rPr>
            </w:pPr>
            <w:r w:rsidRPr="003E2BC2">
              <w:rPr>
                <w:rFonts w:cs="Arial"/>
              </w:rPr>
              <w:t xml:space="preserve">Tailor communication to the audience </w:t>
            </w:r>
          </w:p>
          <w:p w14:paraId="2271F3D7" w14:textId="77777777" w:rsidR="00192245" w:rsidRPr="003E2BC2" w:rsidRDefault="00192245" w:rsidP="00192245">
            <w:pPr>
              <w:pStyle w:val="TableBullet"/>
              <w:rPr>
                <w:rFonts w:cs="Arial"/>
              </w:rPr>
            </w:pPr>
            <w:r w:rsidRPr="003E2BC2">
              <w:rPr>
                <w:rFonts w:cs="Arial"/>
              </w:rPr>
              <w:t>Clearly explain complex concepts and arguments to individuals and groups</w:t>
            </w:r>
          </w:p>
          <w:p w14:paraId="4E05892F" w14:textId="77777777" w:rsidR="00192245" w:rsidRPr="003E2BC2" w:rsidRDefault="00192245" w:rsidP="00192245">
            <w:pPr>
              <w:pStyle w:val="TableBullet"/>
              <w:rPr>
                <w:rFonts w:cs="Arial"/>
              </w:rPr>
            </w:pPr>
            <w:r w:rsidRPr="003E2BC2">
              <w:rPr>
                <w:rFonts w:cs="Arial"/>
              </w:rPr>
              <w:t>Monitor own and others' non-verbal cues and adapt where necessary</w:t>
            </w:r>
          </w:p>
          <w:p w14:paraId="4BE2DA8A" w14:textId="77777777" w:rsidR="00192245" w:rsidRPr="003E2BC2" w:rsidRDefault="00192245" w:rsidP="00192245">
            <w:pPr>
              <w:pStyle w:val="TableBullet"/>
              <w:rPr>
                <w:rFonts w:cs="Arial"/>
              </w:rPr>
            </w:pPr>
            <w:r w:rsidRPr="003E2BC2">
              <w:rPr>
                <w:rFonts w:cs="Arial"/>
              </w:rPr>
              <w:t>Create opportunities for others to be heard</w:t>
            </w:r>
          </w:p>
          <w:p w14:paraId="2BD46BBE" w14:textId="77777777" w:rsidR="00192245" w:rsidRPr="003E2BC2" w:rsidRDefault="00192245" w:rsidP="00192245">
            <w:pPr>
              <w:pStyle w:val="TableBullet"/>
              <w:rPr>
                <w:rFonts w:cs="Arial"/>
              </w:rPr>
            </w:pPr>
            <w:r w:rsidRPr="003E2BC2">
              <w:rPr>
                <w:rFonts w:cs="Arial"/>
              </w:rPr>
              <w:t>Actively listen to others and clarify own understanding</w:t>
            </w:r>
          </w:p>
          <w:p w14:paraId="224643EB" w14:textId="77777777" w:rsidR="001F2503" w:rsidRPr="00C978B9" w:rsidRDefault="00192245" w:rsidP="00192245">
            <w:pPr>
              <w:pStyle w:val="TableBullet"/>
            </w:pPr>
            <w:r w:rsidRPr="003E2BC2">
              <w:rPr>
                <w:rFonts w:cs="Arial"/>
              </w:rPr>
              <w:t>Write fluently in a range of styles and formats</w:t>
            </w:r>
          </w:p>
        </w:tc>
      </w:tr>
      <w:tr w:rsidR="0039395B" w:rsidRPr="00C978B9" w14:paraId="2DBCEDE9" w14:textId="77777777" w:rsidTr="00564B82">
        <w:tc>
          <w:tcPr>
            <w:tcW w:w="2702" w:type="dxa"/>
          </w:tcPr>
          <w:p w14:paraId="6DB7EB2E" w14:textId="77777777" w:rsidR="001F2503" w:rsidRPr="00C978B9" w:rsidRDefault="0039395B" w:rsidP="00CC7829">
            <w:pPr>
              <w:pStyle w:val="TableText"/>
              <w:rPr>
                <w:b/>
              </w:rPr>
            </w:pPr>
            <w:r>
              <w:rPr>
                <w:b/>
              </w:rPr>
              <w:t>Relationships</w:t>
            </w:r>
          </w:p>
          <w:p w14:paraId="363E6A6A" w14:textId="77777777" w:rsidR="001F2503" w:rsidRPr="00C978B9" w:rsidRDefault="003A7123" w:rsidP="0039395B">
            <w:pPr>
              <w:pStyle w:val="TableText"/>
            </w:pPr>
            <w:r>
              <w:t>Work Collaboratively</w:t>
            </w:r>
          </w:p>
        </w:tc>
        <w:tc>
          <w:tcPr>
            <w:tcW w:w="2337" w:type="dxa"/>
          </w:tcPr>
          <w:p w14:paraId="56FCCD24" w14:textId="77777777" w:rsidR="001F2503" w:rsidRPr="00C978B9" w:rsidRDefault="003A7123" w:rsidP="003735B5">
            <w:pPr>
              <w:pStyle w:val="TableText"/>
              <w:rPr>
                <w:rFonts w:cs="Arial"/>
                <w:color w:val="000000"/>
              </w:rPr>
            </w:pPr>
            <w:r>
              <w:rPr>
                <w:rFonts w:cs="Arial"/>
                <w:color w:val="000000"/>
              </w:rPr>
              <w:t>Adept</w:t>
            </w:r>
          </w:p>
        </w:tc>
        <w:tc>
          <w:tcPr>
            <w:tcW w:w="5761" w:type="dxa"/>
          </w:tcPr>
          <w:p w14:paraId="53091AFB" w14:textId="77777777" w:rsidR="001F2503" w:rsidRDefault="003A7123" w:rsidP="003735B5">
            <w:pPr>
              <w:pStyle w:val="TableBullet"/>
            </w:pPr>
            <w:r>
              <w:t>Encourage a culture of recognising the value of collaboration</w:t>
            </w:r>
          </w:p>
          <w:p w14:paraId="244E220E" w14:textId="77777777" w:rsidR="003A7123" w:rsidRDefault="003A7123" w:rsidP="003735B5">
            <w:pPr>
              <w:pStyle w:val="TableBullet"/>
            </w:pPr>
            <w:r>
              <w:t>Build co-operation and overcome barriers to information sharing and communication across teams/units</w:t>
            </w:r>
          </w:p>
          <w:p w14:paraId="324DA6FA" w14:textId="77777777" w:rsidR="003A7123" w:rsidRDefault="003A7123" w:rsidP="003735B5">
            <w:pPr>
              <w:pStyle w:val="TableBullet"/>
            </w:pPr>
            <w:r>
              <w:t>Share lessons learnt across teams/units</w:t>
            </w:r>
          </w:p>
          <w:p w14:paraId="19485193" w14:textId="77777777" w:rsidR="003A7123" w:rsidRPr="00C978B9" w:rsidRDefault="003A7123" w:rsidP="003735B5">
            <w:pPr>
              <w:pStyle w:val="TableBullet"/>
            </w:pPr>
            <w:r>
              <w:t>Identify opportunities to work collaboratively with other teams/units to solve issues and develop better processes and approaches</w:t>
            </w:r>
          </w:p>
        </w:tc>
      </w:tr>
      <w:tr w:rsidR="0039395B" w:rsidRPr="00C978B9" w14:paraId="0DD9CD71" w14:textId="77777777" w:rsidTr="00564B82">
        <w:tc>
          <w:tcPr>
            <w:tcW w:w="2702" w:type="dxa"/>
          </w:tcPr>
          <w:p w14:paraId="36704A0D" w14:textId="77777777" w:rsidR="001F2503" w:rsidRPr="00C978B9" w:rsidRDefault="0039395B" w:rsidP="00CC7829">
            <w:pPr>
              <w:pStyle w:val="TableText"/>
              <w:rPr>
                <w:b/>
              </w:rPr>
            </w:pPr>
            <w:r>
              <w:rPr>
                <w:b/>
              </w:rPr>
              <w:t>Results</w:t>
            </w:r>
          </w:p>
          <w:p w14:paraId="6915B05F" w14:textId="77777777" w:rsidR="001F2503" w:rsidRPr="00C978B9" w:rsidRDefault="0039395B" w:rsidP="0039395B">
            <w:pPr>
              <w:pStyle w:val="TableText"/>
            </w:pPr>
            <w:r>
              <w:t>Think and Solve Problems</w:t>
            </w:r>
          </w:p>
        </w:tc>
        <w:tc>
          <w:tcPr>
            <w:tcW w:w="2337" w:type="dxa"/>
          </w:tcPr>
          <w:p w14:paraId="07C948F6" w14:textId="77777777" w:rsidR="001F2503" w:rsidRPr="00C978B9" w:rsidRDefault="0039395B" w:rsidP="0039395B">
            <w:pPr>
              <w:pStyle w:val="TableText"/>
              <w:rPr>
                <w:rFonts w:cs="Arial"/>
                <w:color w:val="000000"/>
              </w:rPr>
            </w:pPr>
            <w:r>
              <w:rPr>
                <w:rFonts w:cs="Arial"/>
                <w:color w:val="000000"/>
              </w:rPr>
              <w:t>Adept</w:t>
            </w:r>
          </w:p>
        </w:tc>
        <w:tc>
          <w:tcPr>
            <w:tcW w:w="5761" w:type="dxa"/>
          </w:tcPr>
          <w:p w14:paraId="188AE9B2" w14:textId="77777777" w:rsidR="001F2503" w:rsidRPr="00C978B9" w:rsidRDefault="0039395B" w:rsidP="0039395B">
            <w:pPr>
              <w:pStyle w:val="TableBullet"/>
            </w:pPr>
            <w:r>
              <w:t>Research and analyse information, identify interrelationships and make recommendations based on relevant evidence</w:t>
            </w:r>
          </w:p>
          <w:p w14:paraId="3FADD1DB" w14:textId="77777777" w:rsidR="001F2503" w:rsidRPr="00C978B9" w:rsidRDefault="0039395B" w:rsidP="0039395B">
            <w:pPr>
              <w:pStyle w:val="TableBullet"/>
            </w:pPr>
            <w:r>
              <w:t>Anticipate, identify and address issues and potential problems and select the most effective solutions from a range of option</w:t>
            </w:r>
          </w:p>
          <w:p w14:paraId="091F4875" w14:textId="77777777" w:rsidR="001F2503" w:rsidRPr="00C978B9" w:rsidRDefault="0039395B" w:rsidP="0039395B">
            <w:pPr>
              <w:pStyle w:val="TableBullet"/>
            </w:pPr>
            <w:r>
              <w:t>Participate in and contribute to team/unit initiatives to resolve common issues or barriers to effectiveness</w:t>
            </w:r>
          </w:p>
          <w:p w14:paraId="73F71C44" w14:textId="77777777" w:rsidR="001F2503" w:rsidRPr="00C978B9" w:rsidRDefault="0039395B" w:rsidP="0039395B">
            <w:pPr>
              <w:pStyle w:val="TableBullet"/>
            </w:pPr>
            <w:r>
              <w:t>Identify and share business process improvements to enhance effectiveness</w:t>
            </w:r>
          </w:p>
        </w:tc>
      </w:tr>
      <w:tr w:rsidR="0039395B" w:rsidRPr="00C978B9" w14:paraId="68DAD419" w14:textId="77777777" w:rsidTr="00564B82">
        <w:tc>
          <w:tcPr>
            <w:tcW w:w="2702" w:type="dxa"/>
          </w:tcPr>
          <w:p w14:paraId="78B16991" w14:textId="77777777" w:rsidR="001F2503" w:rsidRPr="00C978B9" w:rsidRDefault="0039395B" w:rsidP="00CC7829">
            <w:pPr>
              <w:pStyle w:val="TableText"/>
              <w:rPr>
                <w:b/>
              </w:rPr>
            </w:pPr>
            <w:r>
              <w:rPr>
                <w:b/>
              </w:rPr>
              <w:t>Results</w:t>
            </w:r>
          </w:p>
          <w:p w14:paraId="1C1607B2" w14:textId="77777777" w:rsidR="001F2503" w:rsidRPr="00C978B9" w:rsidRDefault="0039395B" w:rsidP="0039395B">
            <w:pPr>
              <w:pStyle w:val="TableText"/>
            </w:pPr>
            <w:r>
              <w:t>Demonstrate Accountability</w:t>
            </w:r>
          </w:p>
        </w:tc>
        <w:tc>
          <w:tcPr>
            <w:tcW w:w="2337" w:type="dxa"/>
          </w:tcPr>
          <w:p w14:paraId="0A91A31B" w14:textId="77777777" w:rsidR="001F2503" w:rsidRPr="00C978B9" w:rsidRDefault="0039395B" w:rsidP="0039395B">
            <w:pPr>
              <w:pStyle w:val="TableText"/>
              <w:rPr>
                <w:rFonts w:cs="Arial"/>
                <w:color w:val="000000"/>
              </w:rPr>
            </w:pPr>
            <w:r>
              <w:rPr>
                <w:rFonts w:cs="Arial"/>
                <w:color w:val="000000"/>
              </w:rPr>
              <w:t>Intermediate</w:t>
            </w:r>
          </w:p>
        </w:tc>
        <w:tc>
          <w:tcPr>
            <w:tcW w:w="5761" w:type="dxa"/>
          </w:tcPr>
          <w:p w14:paraId="757A524E" w14:textId="77777777" w:rsidR="001F2503" w:rsidRPr="00C978B9" w:rsidRDefault="0039395B" w:rsidP="0039395B">
            <w:pPr>
              <w:pStyle w:val="TableBullet"/>
            </w:pPr>
            <w:r>
              <w:t>Take responsibility and be accountable for own actions</w:t>
            </w:r>
          </w:p>
          <w:p w14:paraId="354FC2A0" w14:textId="77777777" w:rsidR="001F2503" w:rsidRPr="00C978B9" w:rsidRDefault="0039395B" w:rsidP="0039395B">
            <w:pPr>
              <w:pStyle w:val="TableBullet"/>
            </w:pPr>
            <w:r>
              <w:t>Understand delegations and act within authority levels</w:t>
            </w:r>
          </w:p>
          <w:p w14:paraId="60FAFADA" w14:textId="77777777" w:rsidR="001F2503" w:rsidRPr="00C978B9" w:rsidRDefault="0039395B" w:rsidP="0039395B">
            <w:pPr>
              <w:pStyle w:val="TableBullet"/>
            </w:pPr>
            <w:r>
              <w:t>Identify and follow safe work practices, and be vigilant about their application by self and others</w:t>
            </w:r>
          </w:p>
          <w:p w14:paraId="210541D0" w14:textId="77777777" w:rsidR="001F2503" w:rsidRPr="00C978B9" w:rsidRDefault="0039395B" w:rsidP="0039395B">
            <w:pPr>
              <w:pStyle w:val="TableBullet"/>
            </w:pPr>
            <w:r>
              <w:t xml:space="preserve">Be </w:t>
            </w:r>
            <w:proofErr w:type="gramStart"/>
            <w:r>
              <w:t>alert</w:t>
            </w:r>
            <w:proofErr w:type="gramEnd"/>
            <w:r>
              <w:t xml:space="preserve"> to risks that might impact the completion of an activity and escalate these when identified</w:t>
            </w:r>
          </w:p>
          <w:p w14:paraId="605E0052" w14:textId="77777777" w:rsidR="001F2503" w:rsidRPr="00C978B9" w:rsidRDefault="0039395B" w:rsidP="0039395B">
            <w:pPr>
              <w:pStyle w:val="TableBullet"/>
            </w:pPr>
            <w:r>
              <w:t>Use financial and other resources responsibly</w:t>
            </w:r>
          </w:p>
        </w:tc>
      </w:tr>
      <w:tr w:rsidR="0039395B" w:rsidRPr="00C978B9" w14:paraId="0B33F145" w14:textId="77777777" w:rsidTr="00564B82">
        <w:tc>
          <w:tcPr>
            <w:tcW w:w="2702" w:type="dxa"/>
          </w:tcPr>
          <w:p w14:paraId="2C90492A" w14:textId="77777777" w:rsidR="001F2503" w:rsidRPr="00C978B9" w:rsidRDefault="0039395B" w:rsidP="00CC7829">
            <w:pPr>
              <w:pStyle w:val="TableText"/>
              <w:rPr>
                <w:b/>
              </w:rPr>
            </w:pPr>
            <w:r>
              <w:rPr>
                <w:b/>
              </w:rPr>
              <w:t>Business Enablers</w:t>
            </w:r>
          </w:p>
          <w:p w14:paraId="6389DE60" w14:textId="77777777" w:rsidR="001F2503" w:rsidRPr="00C978B9" w:rsidRDefault="0039395B" w:rsidP="0039395B">
            <w:pPr>
              <w:pStyle w:val="TableText"/>
            </w:pPr>
            <w:r>
              <w:t>Project Management</w:t>
            </w:r>
          </w:p>
        </w:tc>
        <w:tc>
          <w:tcPr>
            <w:tcW w:w="2337" w:type="dxa"/>
          </w:tcPr>
          <w:p w14:paraId="177FF7CF" w14:textId="77777777" w:rsidR="001F2503" w:rsidRPr="00C978B9" w:rsidRDefault="0039395B" w:rsidP="0039395B">
            <w:pPr>
              <w:pStyle w:val="TableText"/>
              <w:rPr>
                <w:rFonts w:cs="Arial"/>
                <w:color w:val="000000"/>
              </w:rPr>
            </w:pPr>
            <w:r>
              <w:rPr>
                <w:rFonts w:cs="Arial"/>
                <w:color w:val="000000"/>
              </w:rPr>
              <w:t>Adept</w:t>
            </w:r>
          </w:p>
        </w:tc>
        <w:tc>
          <w:tcPr>
            <w:tcW w:w="5761" w:type="dxa"/>
          </w:tcPr>
          <w:p w14:paraId="7838BBDB" w14:textId="77777777" w:rsidR="001F2503" w:rsidRPr="00C978B9" w:rsidRDefault="0039395B" w:rsidP="0039395B">
            <w:pPr>
              <w:pStyle w:val="TableBullet"/>
            </w:pPr>
            <w:r>
              <w:t>Prepare clear project proposals and define scope and goals in measurable terms</w:t>
            </w:r>
          </w:p>
          <w:p w14:paraId="5D99CE58" w14:textId="77777777" w:rsidR="001F2503" w:rsidRPr="00C978B9" w:rsidRDefault="0039395B" w:rsidP="0039395B">
            <w:pPr>
              <w:pStyle w:val="TableBullet"/>
            </w:pPr>
            <w:r>
              <w:t>Establish performance outcomes and measures for key project goals, and define monitoring, reporting and communication requirements</w:t>
            </w:r>
          </w:p>
          <w:p w14:paraId="44994B70" w14:textId="77777777" w:rsidR="001F2503" w:rsidRPr="00C978B9" w:rsidRDefault="0039395B" w:rsidP="0039395B">
            <w:pPr>
              <w:pStyle w:val="TableBullet"/>
            </w:pPr>
            <w:r>
              <w:t>Prepare accurate estimates of costs and resources required for more complex projects</w:t>
            </w:r>
          </w:p>
          <w:p w14:paraId="12C9AB15" w14:textId="77777777" w:rsidR="001F2503" w:rsidRPr="00C978B9" w:rsidRDefault="0039395B" w:rsidP="0039395B">
            <w:pPr>
              <w:pStyle w:val="TableBullet"/>
            </w:pPr>
            <w:r>
              <w:t>Communicate the project strategy and its expected benefits to others</w:t>
            </w:r>
          </w:p>
          <w:p w14:paraId="4F5FDBE2" w14:textId="77777777" w:rsidR="001F2503" w:rsidRPr="00C978B9" w:rsidRDefault="0039395B" w:rsidP="0039395B">
            <w:pPr>
              <w:pStyle w:val="TableBullet"/>
            </w:pPr>
            <w:r>
              <w:lastRenderedPageBreak/>
              <w:t>Monitor the completion of project milestones against goals and initiate amendments where necessary</w:t>
            </w:r>
          </w:p>
          <w:p w14:paraId="43D17DA6" w14:textId="77777777" w:rsidR="001F2503" w:rsidRPr="00C978B9" w:rsidRDefault="0039395B" w:rsidP="0039395B">
            <w:pPr>
              <w:pStyle w:val="TableBullet"/>
            </w:pPr>
            <w:r>
              <w:t>Evaluate progress and identify improvements to inform future projects</w:t>
            </w:r>
          </w:p>
        </w:tc>
      </w:tr>
    </w:tbl>
    <w:p w14:paraId="1FC39945" w14:textId="77777777" w:rsidR="007A155F" w:rsidRDefault="007A155F"/>
    <w:sectPr w:rsidR="007A155F" w:rsidSect="009D747B">
      <w:headerReference w:type="default"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2257" w14:textId="77777777" w:rsidR="005D142C" w:rsidRDefault="005D142C" w:rsidP="00BB532F">
      <w:pPr>
        <w:spacing w:after="0" w:line="240" w:lineRule="auto"/>
      </w:pPr>
      <w:r>
        <w:separator/>
      </w:r>
    </w:p>
  </w:endnote>
  <w:endnote w:type="continuationSeparator" w:id="0">
    <w:p w14:paraId="2372D609" w14:textId="77777777" w:rsidR="005D142C" w:rsidRDefault="005D142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4CBC0E9" w14:textId="77777777" w:rsidTr="00C03AFD">
      <w:tc>
        <w:tcPr>
          <w:tcW w:w="2250" w:type="pct"/>
          <w:vAlign w:val="center"/>
        </w:tcPr>
        <w:p w14:paraId="22C2D8AF" w14:textId="77777777" w:rsidR="00C03AFD" w:rsidRDefault="00C03AFD" w:rsidP="001A0FC9">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Senior</w:t>
          </w:r>
          <w:proofErr w:type="gramEnd"/>
          <w:r w:rsidRPr="00C03AFD">
            <w:rPr>
              <w:color w:val="000000" w:themeColor="text1"/>
              <w:sz w:val="18"/>
            </w:rPr>
            <w:t xml:space="preserve"> Water </w:t>
          </w:r>
          <w:r w:rsidR="001A0FC9">
            <w:rPr>
              <w:color w:val="000000" w:themeColor="text1"/>
              <w:sz w:val="18"/>
            </w:rPr>
            <w:t>Strategy Officer</w:t>
          </w:r>
        </w:p>
      </w:tc>
      <w:tc>
        <w:tcPr>
          <w:tcW w:w="250" w:type="pct"/>
          <w:vAlign w:val="center"/>
        </w:tcPr>
        <w:p w14:paraId="4F376DF6"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A7123">
            <w:rPr>
              <w:noProof/>
              <w:color w:val="928B81"/>
              <w:sz w:val="18"/>
              <w:lang w:eastAsia="en-AU"/>
            </w:rPr>
            <w:t>5</w:t>
          </w:r>
          <w:r w:rsidRPr="00C03AFD">
            <w:rPr>
              <w:noProof/>
              <w:color w:val="928B81"/>
              <w:sz w:val="18"/>
              <w:lang w:eastAsia="en-AU"/>
            </w:rPr>
            <w:fldChar w:fldCharType="end"/>
          </w:r>
        </w:p>
      </w:tc>
      <w:tc>
        <w:tcPr>
          <w:tcW w:w="2350" w:type="pct"/>
        </w:tcPr>
        <w:p w14:paraId="0562CB0E" w14:textId="77777777" w:rsidR="00C03AFD" w:rsidRDefault="00C03AFD" w:rsidP="00C03AFD">
          <w:pPr>
            <w:pStyle w:val="Footer"/>
            <w:jc w:val="right"/>
          </w:pPr>
          <w:r>
            <w:rPr>
              <w:noProof/>
              <w:lang w:val="en-AU" w:eastAsia="en-AU"/>
            </w:rPr>
            <w:drawing>
              <wp:inline distT="0" distB="0" distL="0" distR="0" wp14:anchorId="5F0698AA" wp14:editId="1B1B9976">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4CE0A41"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B3B44E4" w14:textId="77777777" w:rsidTr="0047547E">
      <w:trPr>
        <w:trHeight w:val="811"/>
      </w:trPr>
      <w:tc>
        <w:tcPr>
          <w:tcW w:w="10005" w:type="dxa"/>
          <w:vAlign w:val="bottom"/>
        </w:tcPr>
        <w:p w14:paraId="61AF5EC3"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45F7C">
            <w:rPr>
              <w:noProof/>
              <w:lang w:eastAsia="en-AU"/>
            </w:rPr>
            <w:t>1</w:t>
          </w:r>
          <w:r>
            <w:rPr>
              <w:noProof/>
              <w:lang w:eastAsia="en-AU"/>
            </w:rPr>
            <w:fldChar w:fldCharType="end"/>
          </w:r>
        </w:p>
      </w:tc>
      <w:tc>
        <w:tcPr>
          <w:tcW w:w="875" w:type="dxa"/>
        </w:tcPr>
        <w:p w14:paraId="110FFD37" w14:textId="77777777"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B69937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E25A0" w14:textId="77777777" w:rsidR="005D142C" w:rsidRDefault="005D142C" w:rsidP="00BB532F">
      <w:pPr>
        <w:spacing w:after="0" w:line="240" w:lineRule="auto"/>
      </w:pPr>
      <w:r>
        <w:separator/>
      </w:r>
    </w:p>
  </w:footnote>
  <w:footnote w:type="continuationSeparator" w:id="0">
    <w:p w14:paraId="506695C3" w14:textId="77777777" w:rsidR="005D142C" w:rsidRDefault="005D142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F3A779B" w14:paraId="76358C19" w14:textId="77777777" w:rsidTr="1F3A779B">
      <w:tc>
        <w:tcPr>
          <w:tcW w:w="3600" w:type="dxa"/>
        </w:tcPr>
        <w:p w14:paraId="297049A1" w14:textId="42ECDD3B" w:rsidR="1F3A779B" w:rsidRDefault="1F3A779B" w:rsidP="1F3A779B">
          <w:pPr>
            <w:pStyle w:val="Header"/>
            <w:ind w:left="-115"/>
          </w:pPr>
        </w:p>
      </w:tc>
      <w:tc>
        <w:tcPr>
          <w:tcW w:w="3600" w:type="dxa"/>
        </w:tcPr>
        <w:p w14:paraId="15A54FAD" w14:textId="5744B188" w:rsidR="1F3A779B" w:rsidRDefault="1F3A779B" w:rsidP="1F3A779B">
          <w:pPr>
            <w:pStyle w:val="Header"/>
            <w:jc w:val="center"/>
          </w:pPr>
        </w:p>
      </w:tc>
      <w:tc>
        <w:tcPr>
          <w:tcW w:w="3600" w:type="dxa"/>
        </w:tcPr>
        <w:p w14:paraId="59436A61" w14:textId="65A74A04" w:rsidR="1F3A779B" w:rsidRDefault="1F3A779B" w:rsidP="1F3A779B">
          <w:pPr>
            <w:pStyle w:val="Header"/>
            <w:ind w:right="-115"/>
            <w:jc w:val="right"/>
          </w:pPr>
        </w:p>
      </w:tc>
    </w:tr>
  </w:tbl>
  <w:p w14:paraId="1390EEEF" w14:textId="1BCCCC13" w:rsidR="1F3A779B" w:rsidRDefault="1F3A779B" w:rsidP="1F3A7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31DBE194" w14:textId="77777777" w:rsidTr="009D747B">
      <w:trPr>
        <w:trHeight w:val="1337"/>
      </w:trPr>
      <w:tc>
        <w:tcPr>
          <w:tcW w:w="7038" w:type="dxa"/>
        </w:tcPr>
        <w:p w14:paraId="7C3E914A"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F63C239" w14:textId="77777777" w:rsidR="007E2FB7" w:rsidRPr="001E49B2" w:rsidRDefault="001C2248" w:rsidP="00EB1B62">
          <w:pPr>
            <w:pStyle w:val="TitleSub"/>
            <w:spacing w:after="0"/>
            <w:rPr>
              <w:rFonts w:ascii="Arial" w:hAnsi="Arial" w:cs="Arial"/>
              <w:b/>
            </w:rPr>
          </w:pPr>
          <w:r w:rsidRPr="001E49B2">
            <w:rPr>
              <w:rFonts w:ascii="Arial" w:hAnsi="Arial" w:cs="Arial"/>
              <w:b/>
            </w:rPr>
            <w:t xml:space="preserve">Senior Water </w:t>
          </w:r>
          <w:r w:rsidR="00EB1B62">
            <w:rPr>
              <w:rFonts w:ascii="Arial" w:hAnsi="Arial" w:cs="Arial"/>
              <w:b/>
            </w:rPr>
            <w:t>Strategy Officer</w:t>
          </w:r>
        </w:p>
      </w:tc>
      <w:tc>
        <w:tcPr>
          <w:tcW w:w="3665" w:type="dxa"/>
        </w:tcPr>
        <w:p w14:paraId="3FE9F23F" w14:textId="77777777" w:rsidR="000477E1" w:rsidRPr="000477E1" w:rsidRDefault="0077023C" w:rsidP="00030565">
          <w:pPr>
            <w:jc w:val="right"/>
          </w:pPr>
          <w:r>
            <w:rPr>
              <w:noProof/>
              <w:lang w:val="en-AU" w:eastAsia="en-AU"/>
            </w:rPr>
            <w:drawing>
              <wp:inline distT="0" distB="0" distL="0" distR="0" wp14:anchorId="33F7B143" wp14:editId="40581515">
                <wp:extent cx="2171700" cy="657225"/>
                <wp:effectExtent l="0" t="0" r="0" b="9525"/>
                <wp:docPr id="7" name="Picture 7"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14:paraId="1F72F646"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8A079D"/>
    <w:multiLevelType w:val="hybridMultilevel"/>
    <w:tmpl w:val="9DDC6A84"/>
    <w:lvl w:ilvl="0" w:tplc="33D853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D046E"/>
    <w:multiLevelType w:val="hybridMultilevel"/>
    <w:tmpl w:val="4CF6CAAE"/>
    <w:lvl w:ilvl="0" w:tplc="33D853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F93261"/>
    <w:multiLevelType w:val="hybridMultilevel"/>
    <w:tmpl w:val="BADC19F4"/>
    <w:lvl w:ilvl="0" w:tplc="02A274C6">
      <w:start w:val="1"/>
      <w:numFmt w:val="bullet"/>
      <w:lvlText w:val=""/>
      <w:lvlJc w:val="left"/>
      <w:pPr>
        <w:ind w:left="900" w:hanging="360"/>
      </w:pPr>
      <w:rPr>
        <w:rFonts w:ascii="Symbol" w:eastAsia="Symbol" w:hAnsi="Symbol" w:hint="default"/>
        <w:w w:val="100"/>
        <w:sz w:val="22"/>
        <w:szCs w:val="22"/>
      </w:rPr>
    </w:lvl>
    <w:lvl w:ilvl="1" w:tplc="46A82624">
      <w:start w:val="1"/>
      <w:numFmt w:val="bullet"/>
      <w:lvlText w:val="•"/>
      <w:lvlJc w:val="left"/>
      <w:pPr>
        <w:ind w:left="1916" w:hanging="360"/>
      </w:pPr>
      <w:rPr>
        <w:rFonts w:hint="default"/>
      </w:rPr>
    </w:lvl>
    <w:lvl w:ilvl="2" w:tplc="9DE27CE0">
      <w:start w:val="1"/>
      <w:numFmt w:val="bullet"/>
      <w:lvlText w:val="•"/>
      <w:lvlJc w:val="left"/>
      <w:pPr>
        <w:ind w:left="2932" w:hanging="360"/>
      </w:pPr>
      <w:rPr>
        <w:rFonts w:hint="default"/>
      </w:rPr>
    </w:lvl>
    <w:lvl w:ilvl="3" w:tplc="3E96732C">
      <w:start w:val="1"/>
      <w:numFmt w:val="bullet"/>
      <w:lvlText w:val="•"/>
      <w:lvlJc w:val="left"/>
      <w:pPr>
        <w:ind w:left="3948" w:hanging="360"/>
      </w:pPr>
      <w:rPr>
        <w:rFonts w:hint="default"/>
      </w:rPr>
    </w:lvl>
    <w:lvl w:ilvl="4" w:tplc="E9CCCA60">
      <w:start w:val="1"/>
      <w:numFmt w:val="bullet"/>
      <w:lvlText w:val="•"/>
      <w:lvlJc w:val="left"/>
      <w:pPr>
        <w:ind w:left="4964" w:hanging="360"/>
      </w:pPr>
      <w:rPr>
        <w:rFonts w:hint="default"/>
      </w:rPr>
    </w:lvl>
    <w:lvl w:ilvl="5" w:tplc="71DED9D0">
      <w:start w:val="1"/>
      <w:numFmt w:val="bullet"/>
      <w:lvlText w:val="•"/>
      <w:lvlJc w:val="left"/>
      <w:pPr>
        <w:ind w:left="5980" w:hanging="360"/>
      </w:pPr>
      <w:rPr>
        <w:rFonts w:hint="default"/>
      </w:rPr>
    </w:lvl>
    <w:lvl w:ilvl="6" w:tplc="88C0B35C">
      <w:start w:val="1"/>
      <w:numFmt w:val="bullet"/>
      <w:lvlText w:val="•"/>
      <w:lvlJc w:val="left"/>
      <w:pPr>
        <w:ind w:left="6996" w:hanging="360"/>
      </w:pPr>
      <w:rPr>
        <w:rFonts w:hint="default"/>
      </w:rPr>
    </w:lvl>
    <w:lvl w:ilvl="7" w:tplc="56709200">
      <w:start w:val="1"/>
      <w:numFmt w:val="bullet"/>
      <w:lvlText w:val="•"/>
      <w:lvlJc w:val="left"/>
      <w:pPr>
        <w:ind w:left="8012" w:hanging="360"/>
      </w:pPr>
      <w:rPr>
        <w:rFonts w:hint="default"/>
      </w:rPr>
    </w:lvl>
    <w:lvl w:ilvl="8" w:tplc="8272E0C2">
      <w:start w:val="1"/>
      <w:numFmt w:val="bullet"/>
      <w:lvlText w:val="•"/>
      <w:lvlJc w:val="left"/>
      <w:pPr>
        <w:ind w:left="9028" w:hanging="360"/>
      </w:pPr>
      <w:rPr>
        <w:rFonts w:hint="default"/>
      </w:rPr>
    </w:lvl>
  </w:abstractNum>
  <w:abstractNum w:abstractNumId="5" w15:restartNumberingAfterBreak="0">
    <w:nsid w:val="100964B4"/>
    <w:multiLevelType w:val="hybridMultilevel"/>
    <w:tmpl w:val="4CD03346"/>
    <w:lvl w:ilvl="0" w:tplc="33D853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12985"/>
    <w:multiLevelType w:val="hybridMultilevel"/>
    <w:tmpl w:val="193EB4B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16C60"/>
    <w:multiLevelType w:val="hybridMultilevel"/>
    <w:tmpl w:val="F7B4416C"/>
    <w:lvl w:ilvl="0" w:tplc="43EAE9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A6749"/>
    <w:multiLevelType w:val="hybridMultilevel"/>
    <w:tmpl w:val="367CB6CA"/>
    <w:lvl w:ilvl="0" w:tplc="33D853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E21D5"/>
    <w:multiLevelType w:val="hybridMultilevel"/>
    <w:tmpl w:val="80D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6436A"/>
    <w:multiLevelType w:val="hybridMultilevel"/>
    <w:tmpl w:val="211ECD0A"/>
    <w:lvl w:ilvl="0" w:tplc="43EAE920">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DA4AC6"/>
    <w:multiLevelType w:val="hybridMultilevel"/>
    <w:tmpl w:val="91DA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64C031C"/>
    <w:multiLevelType w:val="hybridMultilevel"/>
    <w:tmpl w:val="083A12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274AB"/>
    <w:multiLevelType w:val="hybridMultilevel"/>
    <w:tmpl w:val="3E76A5B8"/>
    <w:lvl w:ilvl="0" w:tplc="33D853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063319"/>
    <w:multiLevelType w:val="hybridMultilevel"/>
    <w:tmpl w:val="2CF40A22"/>
    <w:lvl w:ilvl="0" w:tplc="33D853B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62296D"/>
    <w:multiLevelType w:val="hybridMultilevel"/>
    <w:tmpl w:val="A8985D08"/>
    <w:lvl w:ilvl="0" w:tplc="43EAE92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9D4713"/>
    <w:multiLevelType w:val="hybridMultilevel"/>
    <w:tmpl w:val="D96C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7C3CCE"/>
    <w:multiLevelType w:val="hybridMultilevel"/>
    <w:tmpl w:val="B09A80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9D6DE8"/>
    <w:multiLevelType w:val="hybridMultilevel"/>
    <w:tmpl w:val="BAA0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18"/>
  </w:num>
  <w:num w:numId="6">
    <w:abstractNumId w:val="13"/>
  </w:num>
  <w:num w:numId="7">
    <w:abstractNumId w:val="1"/>
  </w:num>
  <w:num w:numId="8">
    <w:abstractNumId w:val="20"/>
  </w:num>
  <w:num w:numId="9">
    <w:abstractNumId w:val="4"/>
  </w:num>
  <w:num w:numId="10">
    <w:abstractNumId w:val="17"/>
  </w:num>
  <w:num w:numId="11">
    <w:abstractNumId w:val="5"/>
  </w:num>
  <w:num w:numId="12">
    <w:abstractNumId w:val="9"/>
  </w:num>
  <w:num w:numId="13">
    <w:abstractNumId w:val="8"/>
  </w:num>
  <w:num w:numId="14">
    <w:abstractNumId w:val="15"/>
  </w:num>
  <w:num w:numId="15">
    <w:abstractNumId w:val="2"/>
  </w:num>
  <w:num w:numId="16">
    <w:abstractNumId w:val="19"/>
  </w:num>
  <w:num w:numId="17">
    <w:abstractNumId w:val="6"/>
  </w:num>
  <w:num w:numId="18">
    <w:abstractNumId w:val="14"/>
  </w:num>
  <w:num w:numId="19">
    <w:abstractNumId w:val="1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5BE8"/>
    <w:rsid w:val="00037FD5"/>
    <w:rsid w:val="000477E1"/>
    <w:rsid w:val="00060B58"/>
    <w:rsid w:val="000645C8"/>
    <w:rsid w:val="00067161"/>
    <w:rsid w:val="00073778"/>
    <w:rsid w:val="000A06C3"/>
    <w:rsid w:val="000A0CD9"/>
    <w:rsid w:val="000A2621"/>
    <w:rsid w:val="000C3566"/>
    <w:rsid w:val="000C3CC8"/>
    <w:rsid w:val="000D12B3"/>
    <w:rsid w:val="000D799A"/>
    <w:rsid w:val="000F231F"/>
    <w:rsid w:val="00104EC7"/>
    <w:rsid w:val="00122AC1"/>
    <w:rsid w:val="001336E8"/>
    <w:rsid w:val="0013413E"/>
    <w:rsid w:val="00134F5E"/>
    <w:rsid w:val="00153F10"/>
    <w:rsid w:val="00165754"/>
    <w:rsid w:val="001671DC"/>
    <w:rsid w:val="0018091E"/>
    <w:rsid w:val="001815E8"/>
    <w:rsid w:val="00185ABC"/>
    <w:rsid w:val="00192245"/>
    <w:rsid w:val="00194A32"/>
    <w:rsid w:val="001A00F1"/>
    <w:rsid w:val="001A0FC9"/>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2019"/>
    <w:rsid w:val="00253DA4"/>
    <w:rsid w:val="00263ACB"/>
    <w:rsid w:val="0028314F"/>
    <w:rsid w:val="00287C54"/>
    <w:rsid w:val="00295965"/>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5B5"/>
    <w:rsid w:val="00373737"/>
    <w:rsid w:val="00375289"/>
    <w:rsid w:val="00377118"/>
    <w:rsid w:val="0039395B"/>
    <w:rsid w:val="003A2AFA"/>
    <w:rsid w:val="003A3538"/>
    <w:rsid w:val="003A7123"/>
    <w:rsid w:val="003B0F42"/>
    <w:rsid w:val="003B403A"/>
    <w:rsid w:val="003C00FD"/>
    <w:rsid w:val="003C031F"/>
    <w:rsid w:val="003C5EB3"/>
    <w:rsid w:val="003D5227"/>
    <w:rsid w:val="003E2663"/>
    <w:rsid w:val="00404E91"/>
    <w:rsid w:val="00411F3E"/>
    <w:rsid w:val="0041525E"/>
    <w:rsid w:val="004203B4"/>
    <w:rsid w:val="004352BE"/>
    <w:rsid w:val="00436621"/>
    <w:rsid w:val="00442732"/>
    <w:rsid w:val="0045145E"/>
    <w:rsid w:val="00466287"/>
    <w:rsid w:val="0047547E"/>
    <w:rsid w:val="00492AA6"/>
    <w:rsid w:val="004B2175"/>
    <w:rsid w:val="004C45E2"/>
    <w:rsid w:val="004D0C22"/>
    <w:rsid w:val="004D27C8"/>
    <w:rsid w:val="004E44A5"/>
    <w:rsid w:val="004E474E"/>
    <w:rsid w:val="004E7F32"/>
    <w:rsid w:val="00502DBF"/>
    <w:rsid w:val="00521D19"/>
    <w:rsid w:val="00523CFF"/>
    <w:rsid w:val="00527FCF"/>
    <w:rsid w:val="005307BA"/>
    <w:rsid w:val="00545AC6"/>
    <w:rsid w:val="00551038"/>
    <w:rsid w:val="00564B82"/>
    <w:rsid w:val="00577753"/>
    <w:rsid w:val="0059035B"/>
    <w:rsid w:val="005B10E1"/>
    <w:rsid w:val="005B5053"/>
    <w:rsid w:val="005C7AF5"/>
    <w:rsid w:val="005D142C"/>
    <w:rsid w:val="005D71EA"/>
    <w:rsid w:val="005E6C59"/>
    <w:rsid w:val="005E70A9"/>
    <w:rsid w:val="005E75FC"/>
    <w:rsid w:val="005F5FD1"/>
    <w:rsid w:val="005F7EE8"/>
    <w:rsid w:val="006022B4"/>
    <w:rsid w:val="00603D53"/>
    <w:rsid w:val="00612673"/>
    <w:rsid w:val="00612AFA"/>
    <w:rsid w:val="00613458"/>
    <w:rsid w:val="00614552"/>
    <w:rsid w:val="00621D45"/>
    <w:rsid w:val="00623950"/>
    <w:rsid w:val="00626492"/>
    <w:rsid w:val="0063544E"/>
    <w:rsid w:val="00636933"/>
    <w:rsid w:val="006445A4"/>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46074"/>
    <w:rsid w:val="00753EEE"/>
    <w:rsid w:val="00765F77"/>
    <w:rsid w:val="00767553"/>
    <w:rsid w:val="0077023C"/>
    <w:rsid w:val="007736B4"/>
    <w:rsid w:val="00773975"/>
    <w:rsid w:val="00776DCB"/>
    <w:rsid w:val="00780299"/>
    <w:rsid w:val="007862DE"/>
    <w:rsid w:val="00786A0F"/>
    <w:rsid w:val="00792A3E"/>
    <w:rsid w:val="00794CC1"/>
    <w:rsid w:val="00794E0E"/>
    <w:rsid w:val="007A155F"/>
    <w:rsid w:val="007B7C1F"/>
    <w:rsid w:val="007C21C8"/>
    <w:rsid w:val="007D0E2E"/>
    <w:rsid w:val="007E2FB7"/>
    <w:rsid w:val="007F3CD8"/>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2434A"/>
    <w:rsid w:val="00A41E4E"/>
    <w:rsid w:val="00A4412E"/>
    <w:rsid w:val="00A47353"/>
    <w:rsid w:val="00A73C38"/>
    <w:rsid w:val="00A77B0C"/>
    <w:rsid w:val="00A83932"/>
    <w:rsid w:val="00A85305"/>
    <w:rsid w:val="00A8686E"/>
    <w:rsid w:val="00A8732A"/>
    <w:rsid w:val="00A970A2"/>
    <w:rsid w:val="00AB120A"/>
    <w:rsid w:val="00AB50E4"/>
    <w:rsid w:val="00AB5B1D"/>
    <w:rsid w:val="00AC1AF9"/>
    <w:rsid w:val="00AC742D"/>
    <w:rsid w:val="00AC7DC9"/>
    <w:rsid w:val="00AE14D7"/>
    <w:rsid w:val="00AF01AC"/>
    <w:rsid w:val="00AF7D0C"/>
    <w:rsid w:val="00B0574B"/>
    <w:rsid w:val="00B2037F"/>
    <w:rsid w:val="00B32691"/>
    <w:rsid w:val="00B407F6"/>
    <w:rsid w:val="00B416FD"/>
    <w:rsid w:val="00B635E3"/>
    <w:rsid w:val="00B72B4F"/>
    <w:rsid w:val="00B835C0"/>
    <w:rsid w:val="00B876AF"/>
    <w:rsid w:val="00BA759E"/>
    <w:rsid w:val="00BB532F"/>
    <w:rsid w:val="00BC162D"/>
    <w:rsid w:val="00BC2FE4"/>
    <w:rsid w:val="00BD33F1"/>
    <w:rsid w:val="00BD4DDA"/>
    <w:rsid w:val="00BD69E2"/>
    <w:rsid w:val="00BE4EAE"/>
    <w:rsid w:val="00C03AFD"/>
    <w:rsid w:val="00C271F9"/>
    <w:rsid w:val="00C45F7C"/>
    <w:rsid w:val="00C517B6"/>
    <w:rsid w:val="00C63F0F"/>
    <w:rsid w:val="00C70636"/>
    <w:rsid w:val="00C70842"/>
    <w:rsid w:val="00CC76F2"/>
    <w:rsid w:val="00CE105E"/>
    <w:rsid w:val="00CE1E5E"/>
    <w:rsid w:val="00D147EE"/>
    <w:rsid w:val="00D215F4"/>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B1B62"/>
    <w:rsid w:val="00EC0B04"/>
    <w:rsid w:val="00EC4A51"/>
    <w:rsid w:val="00EC5C1D"/>
    <w:rsid w:val="00ED176B"/>
    <w:rsid w:val="00F31B35"/>
    <w:rsid w:val="00F339CD"/>
    <w:rsid w:val="00F33A43"/>
    <w:rsid w:val="00F4009C"/>
    <w:rsid w:val="00F41650"/>
    <w:rsid w:val="00F47143"/>
    <w:rsid w:val="00F9569D"/>
    <w:rsid w:val="00FC306C"/>
    <w:rsid w:val="00FC6457"/>
    <w:rsid w:val="00FD3076"/>
    <w:rsid w:val="00FD46BA"/>
    <w:rsid w:val="00FE1CBC"/>
    <w:rsid w:val="00FE2E58"/>
    <w:rsid w:val="00FE5458"/>
    <w:rsid w:val="00FF467A"/>
    <w:rsid w:val="00FF6513"/>
    <w:rsid w:val="1F3A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E31C"/>
  <w15:docId w15:val="{8F6EA189-0B6B-453E-A334-314F5DE8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
    <w:name w:val="Body Text"/>
    <w:basedOn w:val="Normal"/>
    <w:link w:val="BodyTextChar"/>
    <w:uiPriority w:val="1"/>
    <w:qFormat/>
    <w:rsid w:val="000C3566"/>
    <w:pPr>
      <w:widowControl w:val="0"/>
      <w:spacing w:after="0" w:line="240" w:lineRule="auto"/>
      <w:ind w:left="900" w:hanging="360"/>
    </w:pPr>
    <w:rPr>
      <w:rFonts w:eastAsia="Arial"/>
    </w:rPr>
  </w:style>
  <w:style w:type="character" w:customStyle="1" w:styleId="BodyTextChar">
    <w:name w:val="Body Text Char"/>
    <w:basedOn w:val="DefaultParagraphFont"/>
    <w:link w:val="BodyText"/>
    <w:uiPriority w:val="1"/>
    <w:rsid w:val="000C3566"/>
    <w:rPr>
      <w:rFonts w:eastAsia="Arial"/>
    </w:rPr>
  </w:style>
  <w:style w:type="paragraph" w:styleId="CommentText">
    <w:name w:val="annotation text"/>
    <w:basedOn w:val="Normal"/>
    <w:link w:val="CommentTextChar"/>
    <w:uiPriority w:val="99"/>
    <w:semiHidden/>
    <w:unhideWhenUsed/>
    <w:rsid w:val="000C3566"/>
    <w:pPr>
      <w:spacing w:after="160" w:line="240" w:lineRule="auto"/>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0C3566"/>
    <w:rPr>
      <w:rFonts w:asciiTheme="minorHAnsi" w:eastAsiaTheme="minorHAnsi" w:hAnsiTheme="minorHAnsi"/>
      <w:sz w:val="20"/>
      <w:szCs w:val="20"/>
      <w:lang w:val="en-AU"/>
    </w:rPr>
  </w:style>
  <w:style w:type="character" w:styleId="CommentReference">
    <w:name w:val="annotation reference"/>
    <w:basedOn w:val="DefaultParagraphFont"/>
    <w:uiPriority w:val="99"/>
    <w:semiHidden/>
    <w:unhideWhenUsed/>
    <w:rsid w:val="000C3566"/>
    <w:rPr>
      <w:sz w:val="16"/>
      <w:szCs w:val="16"/>
    </w:rPr>
  </w:style>
  <w:style w:type="table" w:customStyle="1" w:styleId="PSCPurple1">
    <w:name w:val="PSC_Purple1"/>
    <w:basedOn w:val="TableNormal"/>
    <w:uiPriority w:val="99"/>
    <w:rsid w:val="00564B8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564B8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BodyText3">
    <w:name w:val="Body Text 3"/>
    <w:basedOn w:val="Normal"/>
    <w:link w:val="BodyText3Char"/>
    <w:uiPriority w:val="97"/>
    <w:semiHidden/>
    <w:rsid w:val="00192245"/>
    <w:pPr>
      <w:spacing w:after="120" w:line="260" w:lineRule="atLeast"/>
    </w:pPr>
    <w:rPr>
      <w:rFonts w:ascii="Georgia" w:eastAsiaTheme="minorHAnsi" w:hAnsi="Georgia" w:cs="Times New Roman"/>
      <w:sz w:val="16"/>
      <w:szCs w:val="16"/>
      <w:lang w:val="en-AU"/>
    </w:rPr>
  </w:style>
  <w:style w:type="character" w:customStyle="1" w:styleId="BodyText3Char">
    <w:name w:val="Body Text 3 Char"/>
    <w:basedOn w:val="DefaultParagraphFont"/>
    <w:link w:val="BodyText3"/>
    <w:uiPriority w:val="97"/>
    <w:semiHidden/>
    <w:rsid w:val="00192245"/>
    <w:rPr>
      <w:rFonts w:ascii="Georgia" w:eastAsiaTheme="minorHAnsi" w:hAnsi="Georgia"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727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D6C7-EBB4-4F72-AF84-A1690A8BF9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E3C02B-5E4C-4F45-947B-EF8487447267}">
  <ds:schemaRefs>
    <ds:schemaRef ds:uri="http://schemas.microsoft.com/sharepoint/v3/contenttype/forms"/>
  </ds:schemaRefs>
</ds:datastoreItem>
</file>

<file path=customXml/itemProps3.xml><?xml version="1.0" encoding="utf-8"?>
<ds:datastoreItem xmlns:ds="http://schemas.openxmlformats.org/officeDocument/2006/customXml" ds:itemID="{2572EA65-5D1C-4E01-94D8-EDC91A7A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D4647-8853-4917-B9DF-013D83E1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1483</Words>
  <Characters>8457</Characters>
  <Application>Microsoft Office Word</Application>
  <DocSecurity>0</DocSecurity>
  <Lines>70</Lines>
  <Paragraphs>19</Paragraphs>
  <ScaleCrop>false</ScaleCrop>
  <Company>NSW Government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Alannah Talevski</cp:lastModifiedBy>
  <cp:revision>2</cp:revision>
  <cp:lastPrinted>2019-07-24T23:31:00Z</cp:lastPrinted>
  <dcterms:created xsi:type="dcterms:W3CDTF">2021-11-16T00:49:00Z</dcterms:created>
  <dcterms:modified xsi:type="dcterms:W3CDTF">2021-11-16T00:49:00Z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