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180784"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180784" w:rsidRPr="00DC0173" w:rsidRDefault="00180784" w:rsidP="00180784">
            <w:pPr>
              <w:pStyle w:val="TableTextWhite"/>
              <w:rPr>
                <w:b/>
              </w:rPr>
            </w:pPr>
            <w:bookmarkStart w:id="0" w:name="_GoBack"/>
            <w:bookmarkEnd w:id="0"/>
            <w:r>
              <w:rPr>
                <w:b/>
              </w:rPr>
              <w:t>Cluster</w:t>
            </w:r>
          </w:p>
        </w:tc>
        <w:tc>
          <w:tcPr>
            <w:tcW w:w="6561" w:type="dxa"/>
          </w:tcPr>
          <w:p w:rsidR="00180784" w:rsidRPr="00DC0173" w:rsidRDefault="00180784" w:rsidP="00180784">
            <w:pPr>
              <w:pStyle w:val="TableTextWhite"/>
            </w:pPr>
            <w:r>
              <w:t>Planning, Industry and Environment</w:t>
            </w:r>
          </w:p>
        </w:tc>
      </w:tr>
      <w:tr w:rsidR="00180784" w:rsidRPr="00DC0173" w:rsidTr="008476E6">
        <w:tc>
          <w:tcPr>
            <w:tcW w:w="4026" w:type="dxa"/>
            <w:vAlign w:val="center"/>
          </w:tcPr>
          <w:p w:rsidR="00180784" w:rsidRPr="00DC0173" w:rsidRDefault="00180784" w:rsidP="00180784">
            <w:pPr>
              <w:pStyle w:val="TableTextWhite"/>
              <w:rPr>
                <w:b/>
              </w:rPr>
            </w:pPr>
            <w:r>
              <w:rPr>
                <w:b/>
              </w:rPr>
              <w:t>Agency</w:t>
            </w:r>
          </w:p>
        </w:tc>
        <w:tc>
          <w:tcPr>
            <w:tcW w:w="6561" w:type="dxa"/>
          </w:tcPr>
          <w:p w:rsidR="00180784" w:rsidRPr="00DC0173" w:rsidRDefault="00180784" w:rsidP="00180784">
            <w:pPr>
              <w:pStyle w:val="TableTextWhite"/>
            </w:pPr>
            <w:r>
              <w:t xml:space="preserve">Environment, Energy and Science </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Science Division</w:t>
            </w:r>
            <w:r w:rsidR="000A4935">
              <w:t xml:space="preserve"> </w:t>
            </w:r>
            <w:r>
              <w:t>/</w:t>
            </w:r>
            <w:r w:rsidR="000A4935">
              <w:t xml:space="preserve"> </w:t>
            </w:r>
            <w:r>
              <w:t>Climate &amp; Atmospheric Science Branch</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9</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8F4737" w:rsidP="00DC0173">
            <w:pPr>
              <w:pStyle w:val="TableTextWhite"/>
            </w:pPr>
            <w:r w:rsidRPr="008F4737">
              <w:t>234313</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8F4737" w:rsidP="00DC0173">
            <w:pPr>
              <w:pStyle w:val="TableTextWhite"/>
            </w:pPr>
            <w:r w:rsidRPr="008F4737">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0A4935" w:rsidP="00DC0173">
            <w:pPr>
              <w:pStyle w:val="TableTextWhite"/>
            </w:pPr>
            <w:r>
              <w:t>October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1B4D30" w:rsidP="00DC0173">
            <w:pPr>
              <w:pStyle w:val="TableTextWhite"/>
            </w:pPr>
            <w:hyperlink r:id="rId8" w:history="1">
              <w:r w:rsidR="00794760" w:rsidRPr="000A4935">
                <w:rPr>
                  <w:rStyle w:val="Hyperlink"/>
                  <w:color w:val="FFFFFF" w:themeColor="background1"/>
                </w:rPr>
                <w:t>www.environment.nsw.gov.au</w:t>
              </w:r>
            </w:hyperlink>
            <w:r w:rsidR="00794760" w:rsidRPr="000A4935">
              <w:rPr>
                <w:color w:val="FFFFFF" w:themeColor="background1"/>
              </w:rPr>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180784" w:rsidRDefault="00180784" w:rsidP="00180784">
      <w:r>
        <w:t xml:space="preserve">The Planning, Industry and Environment Cluster brings together the functions from the former Planning &amp; Environment and Industry Clusters. </w:t>
      </w:r>
    </w:p>
    <w:p w:rsidR="00180784" w:rsidRDefault="00180784" w:rsidP="00180784">
      <w:r>
        <w:t xml:space="preserve">The new Cluster will drive for greater levels of integration and efficiency across key areas such as long-term planning, precincts, housing, property, infrastructure priorities, open space, the environment, our natural resources – land, water, mining – energy, and growing our industries. In particular, there will be a redoubling of emphasis on regional NSW. </w:t>
      </w:r>
    </w:p>
    <w:p w:rsidR="00180784" w:rsidRDefault="00180784" w:rsidP="00180784">
      <w:pPr>
        <w:spacing w:after="241"/>
      </w:pPr>
      <w:r>
        <w:t xml:space="preserve">The Environment, Energy and Science (EES) Group is part of the Department of Planning, Industry and Environment and aims to support a thriving, sustainable and resilient NSW.  For more information go to </w:t>
      </w:r>
      <w:hyperlink r:id="rId9">
        <w:r>
          <w:rPr>
            <w:color w:val="0000FF"/>
            <w:u w:val="single" w:color="0000FF"/>
          </w:rPr>
          <w:t>www.environment.nsw.gov.au</w:t>
        </w:r>
      </w:hyperlink>
      <w:hyperlink r:id="rId10">
        <w:r>
          <w:t>.</w:t>
        </w:r>
      </w:hyperlink>
      <w:r>
        <w:t xml:space="preserve"> </w:t>
      </w:r>
      <w:r>
        <w:rPr>
          <w:rFonts w:ascii="Georgia" w:eastAsia="Georgia" w:hAnsi="Georgia" w:cs="Georgia"/>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Senior</w:t>
      </w:r>
      <w:r w:rsidR="000A4935">
        <w:rPr>
          <w:rFonts w:cs="Arial"/>
        </w:rPr>
        <w:t xml:space="preserve"> Project Officer</w:t>
      </w:r>
      <w:r w:rsidRPr="00614552">
        <w:rPr>
          <w:rFonts w:cs="Arial"/>
        </w:rPr>
        <w:t xml:space="preserve"> is responsible for providing advanced technical, scientific and analytical support for climate and atmospheric science programs and projects.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Support the strategic direction of climate and atmospheric science priorities and knowledge themes, manage and deliver high quality, cost-effective climate and atmospheric science projects to meet </w:t>
      </w:r>
      <w:proofErr w:type="spellStart"/>
      <w:r w:rsidRPr="00614552">
        <w:rPr>
          <w:rFonts w:cs="Arial"/>
        </w:rPr>
        <w:t>organisational</w:t>
      </w:r>
      <w:proofErr w:type="spellEnd"/>
      <w:r w:rsidRPr="00614552">
        <w:rPr>
          <w:rFonts w:cs="Arial"/>
        </w:rPr>
        <w:t xml:space="preserve"> objectives and appropriate standards of scientific </w:t>
      </w:r>
      <w:proofErr w:type="spellStart"/>
      <w:r w:rsidRPr="00614552">
        <w:rPr>
          <w:rFonts w:cs="Arial"/>
        </w:rPr>
        <w:t>rigour</w:t>
      </w:r>
      <w:proofErr w:type="spellEnd"/>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timely expert advice and communication to relevant stakeholders across the</w:t>
      </w:r>
      <w:r w:rsidR="00180784">
        <w:rPr>
          <w:rFonts w:cs="Arial"/>
        </w:rPr>
        <w:t xml:space="preserve"> EES</w:t>
      </w:r>
      <w:r w:rsidRPr="00614552">
        <w:rPr>
          <w:rFonts w:cs="Arial"/>
        </w:rPr>
        <w:t xml:space="preserve"> regarding the status of climate and atmospheric science within the Division to contribute to the development and the direction of </w:t>
      </w:r>
      <w:r w:rsidR="00180784">
        <w:rPr>
          <w:rFonts w:cs="Arial"/>
        </w:rPr>
        <w:t xml:space="preserve">EES </w:t>
      </w:r>
      <w:r w:rsidRPr="00614552">
        <w:rPr>
          <w:rFonts w:cs="Arial"/>
        </w:rPr>
        <w:t>science 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Maintain the highest standards of open communication, collaboration, data and knowledge management in accordance with </w:t>
      </w:r>
      <w:r w:rsidR="00180784">
        <w:rPr>
          <w:rFonts w:cs="Arial"/>
        </w:rPr>
        <w:t xml:space="preserve">EES </w:t>
      </w:r>
      <w:r w:rsidRPr="00614552">
        <w:rPr>
          <w:rFonts w:cs="Arial"/>
        </w:rPr>
        <w:t xml:space="preserve">policies to support effective knowledge sharing within </w:t>
      </w:r>
      <w:r w:rsidR="00180784">
        <w:rPr>
          <w:rFonts w:cs="Arial"/>
        </w:rPr>
        <w:t>EES</w:t>
      </w:r>
      <w:r w:rsidRPr="00614552">
        <w:rPr>
          <w:rFonts w:cs="Arial"/>
        </w:rPr>
        <w: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 xml:space="preserve">Prepare a range of project related documents, including briefing papers, discussion papers, reports, research papers, submissions and responses to information requests, develop and present scientific and technical presentations that explain complex processes clearly and are suitable for a range of audiences, to facilitate effective policy implementation within </w:t>
      </w:r>
      <w:r w:rsidR="00180784">
        <w:rPr>
          <w:rFonts w:cs="Arial"/>
        </w:rPr>
        <w:t>EES/</w:t>
      </w:r>
      <w:r w:rsidRPr="00614552">
        <w:rPr>
          <w:rFonts w:cs="Arial"/>
        </w:rPr>
        <w:t>EPA.</w:t>
      </w:r>
    </w:p>
    <w:p w:rsidR="00794760" w:rsidRPr="00DD096F" w:rsidRDefault="00F339CD" w:rsidP="00794760">
      <w:pPr>
        <w:pStyle w:val="ListParagraph"/>
        <w:numPr>
          <w:ilvl w:val="0"/>
          <w:numId w:val="3"/>
        </w:numPr>
        <w:tabs>
          <w:tab w:val="left" w:pos="2925"/>
        </w:tabs>
        <w:rPr>
          <w:rFonts w:ascii="Georgia" w:hAnsi="Georgia"/>
        </w:rPr>
      </w:pPr>
      <w:r w:rsidRPr="00614552">
        <w:rPr>
          <w:rFonts w:cs="Arial"/>
        </w:rPr>
        <w:t xml:space="preserve">Contribute to the development of project management methodologies and processes that improve productivity, encourage innovation and develop teamwork to enhance the delivery of science across the </w:t>
      </w:r>
      <w:r w:rsidR="00180784">
        <w:rPr>
          <w:rFonts w:cs="Arial"/>
        </w:rPr>
        <w:t>EES</w:t>
      </w:r>
      <w:r w:rsidRPr="00614552">
        <w:rPr>
          <w:rFonts w:cs="Arial"/>
        </w:rPr>
        <w:t>.</w:t>
      </w:r>
    </w:p>
    <w:p w:rsidR="000A4935" w:rsidRPr="000A4935" w:rsidRDefault="000A4935" w:rsidP="000A4935">
      <w:pPr>
        <w:pStyle w:val="ListParagraph"/>
        <w:numPr>
          <w:ilvl w:val="0"/>
          <w:numId w:val="3"/>
        </w:numPr>
        <w:tabs>
          <w:tab w:val="left" w:pos="2925"/>
        </w:tabs>
        <w:rPr>
          <w:rFonts w:cs="Arial"/>
        </w:rPr>
      </w:pPr>
      <w:r w:rsidRPr="000A4935">
        <w:rPr>
          <w:rFonts w:cs="Arial"/>
        </w:rPr>
        <w:t>Manage particular aspects of scientific project implementation, including monitoring project plans,</w:t>
      </w:r>
      <w:r>
        <w:rPr>
          <w:rFonts w:cs="Arial"/>
        </w:rPr>
        <w:t xml:space="preserve"> </w:t>
      </w:r>
      <w:r w:rsidRPr="000A4935">
        <w:rPr>
          <w:rFonts w:cs="Arial"/>
        </w:rPr>
        <w:t>coordinating resources, managing budgets, maintaining an awareness of time and budget constraints and maintaining WHS procedures to ensure that science projects are delivered to agreed timelines and quality.</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Working within project teams and with collaborators to consistently deliver high quality science to address priority knowledge needs identified through</w:t>
      </w:r>
      <w:r w:rsidR="00180784">
        <w:rPr>
          <w:rFonts w:cs="Arial"/>
        </w:rPr>
        <w:t xml:space="preserve"> EES</w:t>
      </w:r>
      <w:r w:rsidRPr="00614552">
        <w:rPr>
          <w:rFonts w:cs="Arial"/>
        </w:rPr>
        <w:t xml:space="preserve"> knowledge strategy themes.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and support, provide advice and exchange information.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Work collaboratively to contribute to achieving business outcomes.</w:t>
            </w:r>
          </w:p>
          <w:p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Negotiate and liaise with a variety of stakeholders to enable the timely delivery of business initiatives.</w:t>
            </w:r>
          </w:p>
        </w:tc>
      </w:tr>
    </w:tbl>
    <w:p w:rsidR="00603D53" w:rsidRDefault="00603D53" w:rsidP="00DD096F">
      <w:pPr>
        <w:pStyle w:val="Heading1"/>
        <w:spacing w:before="240"/>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Senior Team Leader.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lastRenderedPageBreak/>
        <w:t>Essential requirements</w:t>
      </w:r>
    </w:p>
    <w:p w:rsidR="009F3012" w:rsidRDefault="009F3012" w:rsidP="009F3012">
      <w:r>
        <w:t xml:space="preserve">Scientific qualifications or well-developed knowledge and demonstrated experience in a scientific field. </w:t>
      </w:r>
    </w:p>
    <w:p w:rsidR="009F3012" w:rsidRDefault="009F3012" w:rsidP="009F3012">
      <w:r>
        <w:t>Experience in developing rigorous science projects</w:t>
      </w:r>
      <w:r w:rsidR="00362BE7">
        <w:t>.</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pPr>
        <w:rPr>
          <w:rFonts w:cs="Arial"/>
        </w:rPr>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p w:rsidR="00DD096F" w:rsidRDefault="00DD096F" w:rsidP="00DD096F">
      <w:pPr>
        <w:spacing w:after="0" w:line="240" w:lineRule="auto"/>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0690BFC1" wp14:editId="7A1911F3">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2ED27D84" wp14:editId="5C25EA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3599578C" wp14:editId="56C060B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anchorId="2D4B1191" wp14:editId="33EDAD49">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bl>
    <w:p w:rsidR="00325E9D" w:rsidRPr="00C978B9" w:rsidRDefault="00325E9D" w:rsidP="000A4935">
      <w:pPr>
        <w:pStyle w:val="Heading2"/>
        <w:spacing w:before="240"/>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1588"/>
        <w:gridCol w:w="6509"/>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lastRenderedPageBreak/>
              <w:t>NSW Public Sector Capability Framework</w:t>
            </w:r>
          </w:p>
        </w:tc>
      </w:tr>
      <w:tr w:rsidR="00A85305" w:rsidRPr="00C978B9" w:rsidTr="000A493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1596"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6547"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0A4935">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1596" w:type="dxa"/>
          </w:tcPr>
          <w:p w:rsidR="001F2503" w:rsidRPr="00C978B9" w:rsidRDefault="0039395B" w:rsidP="0039395B">
            <w:pPr>
              <w:pStyle w:val="TableText"/>
              <w:rPr>
                <w:rFonts w:cs="Arial"/>
                <w:color w:val="000000"/>
              </w:rPr>
            </w:pPr>
            <w:r>
              <w:rPr>
                <w:rFonts w:cs="Arial"/>
                <w:color w:val="000000"/>
              </w:rPr>
              <w:t>Adept</w:t>
            </w:r>
          </w:p>
        </w:tc>
        <w:tc>
          <w:tcPr>
            <w:tcW w:w="6547" w:type="dxa"/>
          </w:tcPr>
          <w:p w:rsidR="001F2503" w:rsidRPr="00C978B9" w:rsidRDefault="0039395B" w:rsidP="0039395B">
            <w:pPr>
              <w:pStyle w:val="TableBullet"/>
            </w:pPr>
            <w:r>
              <w:t>Look for and take advantage of opportunities to learn new skills and develop strengths</w:t>
            </w:r>
          </w:p>
          <w:p w:rsidR="001F2503" w:rsidRPr="00C978B9" w:rsidRDefault="0039395B" w:rsidP="0039395B">
            <w:pPr>
              <w:pStyle w:val="TableBullet"/>
            </w:pPr>
            <w:r>
              <w:t>Show commitment to achieving challenging goals</w:t>
            </w:r>
          </w:p>
          <w:p w:rsidR="001F2503" w:rsidRPr="00C978B9" w:rsidRDefault="0039395B" w:rsidP="0039395B">
            <w:pPr>
              <w:pStyle w:val="TableBullet"/>
            </w:pPr>
            <w:r>
              <w:t>Examine and reflect on own performance</w:t>
            </w:r>
          </w:p>
          <w:p w:rsidR="001F2503" w:rsidRPr="00C978B9" w:rsidRDefault="0039395B" w:rsidP="0039395B">
            <w:pPr>
              <w:pStyle w:val="TableBullet"/>
            </w:pPr>
            <w:r>
              <w:t>Seek and respond positively to constructive feedback and guidance</w:t>
            </w:r>
          </w:p>
          <w:p w:rsidR="001F2503" w:rsidRPr="00C978B9" w:rsidRDefault="0039395B" w:rsidP="0039395B">
            <w:pPr>
              <w:pStyle w:val="TableBullet"/>
            </w:pPr>
            <w:r>
              <w:t>Demonstrate a high level of personal motivation</w:t>
            </w:r>
          </w:p>
        </w:tc>
      </w:tr>
      <w:tr w:rsidR="0039395B" w:rsidRPr="00C978B9" w:rsidTr="000A4935">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1596" w:type="dxa"/>
          </w:tcPr>
          <w:p w:rsidR="001F2503" w:rsidRPr="00C978B9" w:rsidRDefault="0039395B" w:rsidP="0039395B">
            <w:pPr>
              <w:pStyle w:val="TableText"/>
              <w:rPr>
                <w:rFonts w:cs="Arial"/>
                <w:color w:val="000000"/>
              </w:rPr>
            </w:pPr>
            <w:r>
              <w:rPr>
                <w:rFonts w:cs="Arial"/>
                <w:color w:val="000000"/>
              </w:rPr>
              <w:t>Adept</w:t>
            </w:r>
          </w:p>
        </w:tc>
        <w:tc>
          <w:tcPr>
            <w:tcW w:w="6547"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0A4935">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1596" w:type="dxa"/>
          </w:tcPr>
          <w:p w:rsidR="001F2503" w:rsidRPr="00C978B9" w:rsidRDefault="0039395B" w:rsidP="0039395B">
            <w:pPr>
              <w:pStyle w:val="TableText"/>
              <w:rPr>
                <w:rFonts w:cs="Arial"/>
                <w:color w:val="000000"/>
              </w:rPr>
            </w:pPr>
            <w:r>
              <w:rPr>
                <w:rFonts w:cs="Arial"/>
                <w:color w:val="000000"/>
              </w:rPr>
              <w:t>Adept</w:t>
            </w:r>
          </w:p>
        </w:tc>
        <w:tc>
          <w:tcPr>
            <w:tcW w:w="6547" w:type="dxa"/>
          </w:tcPr>
          <w:p w:rsidR="001F2503" w:rsidRPr="00C978B9" w:rsidRDefault="0039395B" w:rsidP="0039395B">
            <w:pPr>
              <w:pStyle w:val="TableBullet"/>
            </w:pPr>
            <w:r>
              <w:t>Encourage a culture of recognising the value of collaboration</w:t>
            </w:r>
          </w:p>
          <w:p w:rsidR="001F2503" w:rsidRPr="00C978B9" w:rsidRDefault="0039395B" w:rsidP="0039395B">
            <w:pPr>
              <w:pStyle w:val="TableBullet"/>
            </w:pPr>
            <w:r>
              <w:t>Build co-operation and overcome barriers to information sharing and communication across teams/units</w:t>
            </w:r>
          </w:p>
          <w:p w:rsidR="001F2503" w:rsidRPr="00C978B9" w:rsidRDefault="0039395B" w:rsidP="0039395B">
            <w:pPr>
              <w:pStyle w:val="TableBullet"/>
            </w:pPr>
            <w:r>
              <w:t>Share lessons learned across teams/units</w:t>
            </w:r>
          </w:p>
          <w:p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rsidTr="000A4935">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1596" w:type="dxa"/>
          </w:tcPr>
          <w:p w:rsidR="001F2503" w:rsidRPr="00C978B9" w:rsidRDefault="0039395B" w:rsidP="0039395B">
            <w:pPr>
              <w:pStyle w:val="TableText"/>
              <w:rPr>
                <w:rFonts w:cs="Arial"/>
                <w:color w:val="000000"/>
              </w:rPr>
            </w:pPr>
            <w:r>
              <w:rPr>
                <w:rFonts w:cs="Arial"/>
                <w:color w:val="000000"/>
              </w:rPr>
              <w:t>Adept</w:t>
            </w:r>
          </w:p>
        </w:tc>
        <w:tc>
          <w:tcPr>
            <w:tcW w:w="6547" w:type="dxa"/>
          </w:tcPr>
          <w:p w:rsidR="001F2503" w:rsidRPr="00C978B9" w:rsidRDefault="0039395B" w:rsidP="0039395B">
            <w:pPr>
              <w:pStyle w:val="TableBullet"/>
            </w:pPr>
            <w:r>
              <w:t>Research and analyse information, identify interrelationships and make recommendations based on relevant evidence</w:t>
            </w:r>
          </w:p>
          <w:p w:rsidR="001F2503" w:rsidRPr="00C978B9" w:rsidRDefault="0039395B" w:rsidP="0039395B">
            <w:pPr>
              <w:pStyle w:val="TableBullet"/>
            </w:pPr>
            <w:r>
              <w:t>Anticipate, identify and address issues and potential problems and select the most effective solutions from a range of option</w:t>
            </w:r>
          </w:p>
          <w:p w:rsidR="001F2503" w:rsidRPr="00C978B9" w:rsidRDefault="0039395B" w:rsidP="0039395B">
            <w:pPr>
              <w:pStyle w:val="TableBullet"/>
            </w:pPr>
            <w:r>
              <w:t>Participate in and contribute to team/unit initiatives to resolve common issues or barriers to effectiveness</w:t>
            </w:r>
          </w:p>
          <w:p w:rsidR="001F2503" w:rsidRPr="00C978B9" w:rsidRDefault="0039395B" w:rsidP="0039395B">
            <w:pPr>
              <w:pStyle w:val="TableBullet"/>
            </w:pPr>
            <w:r>
              <w:t>Identify and share business process improvements to enhance effectiveness</w:t>
            </w:r>
          </w:p>
        </w:tc>
      </w:tr>
      <w:tr w:rsidR="0039395B" w:rsidRPr="00C978B9" w:rsidTr="000A4935">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Technology</w:t>
            </w:r>
          </w:p>
        </w:tc>
        <w:tc>
          <w:tcPr>
            <w:tcW w:w="1596" w:type="dxa"/>
          </w:tcPr>
          <w:p w:rsidR="001F2503" w:rsidRPr="00C978B9" w:rsidRDefault="0039395B" w:rsidP="0039395B">
            <w:pPr>
              <w:pStyle w:val="TableText"/>
              <w:rPr>
                <w:rFonts w:cs="Arial"/>
                <w:color w:val="000000"/>
              </w:rPr>
            </w:pPr>
            <w:r>
              <w:rPr>
                <w:rFonts w:cs="Arial"/>
                <w:color w:val="000000"/>
              </w:rPr>
              <w:t>Adept</w:t>
            </w:r>
          </w:p>
        </w:tc>
        <w:tc>
          <w:tcPr>
            <w:tcW w:w="6547" w:type="dxa"/>
          </w:tcPr>
          <w:p w:rsidR="001F2503" w:rsidRPr="00C978B9" w:rsidRDefault="0039395B" w:rsidP="0039395B">
            <w:pPr>
              <w:pStyle w:val="TableBullet"/>
            </w:pPr>
            <w:r>
              <w:t>Demonstrate a sound understanding of technology relevant to the work unit, and identify and select the most appropriate technology for assigned tasks</w:t>
            </w:r>
          </w:p>
          <w:p w:rsidR="001F2503" w:rsidRPr="00C978B9" w:rsidRDefault="0039395B" w:rsidP="0039395B">
            <w:pPr>
              <w:pStyle w:val="TableBullet"/>
            </w:pPr>
            <w:r>
              <w:t>Identify opportunities to use a broad range of communications technologies to deliver effective messages</w:t>
            </w:r>
          </w:p>
          <w:p w:rsidR="001F2503" w:rsidRPr="00C978B9" w:rsidRDefault="0039395B" w:rsidP="0039395B">
            <w:pPr>
              <w:pStyle w:val="TableBullet"/>
            </w:pPr>
            <w:r>
              <w:t>Understand, act on and monitor compliance with information and communications security and use policies</w:t>
            </w:r>
          </w:p>
          <w:p w:rsidR="001F2503" w:rsidRPr="00C978B9" w:rsidRDefault="0039395B" w:rsidP="0039395B">
            <w:pPr>
              <w:pStyle w:val="TableBullet"/>
            </w:pPr>
            <w:r>
              <w:t>Identify ways to leverage the value of technology to achieve team/unit outcomes, using the existing technology of the business</w:t>
            </w:r>
          </w:p>
          <w:p w:rsidR="001F2503" w:rsidRPr="00C978B9" w:rsidRDefault="0039395B" w:rsidP="0039395B">
            <w:pPr>
              <w:pStyle w:val="TableBullet"/>
            </w:pPr>
            <w:r>
              <w:t>Support compliance with the records, information and knowledge management requirements of the organisation</w:t>
            </w:r>
          </w:p>
        </w:tc>
      </w:tr>
      <w:tr w:rsidR="0039395B" w:rsidRPr="00C978B9" w:rsidTr="000A4935">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1596" w:type="dxa"/>
          </w:tcPr>
          <w:p w:rsidR="001F2503" w:rsidRPr="00C978B9" w:rsidRDefault="0039395B" w:rsidP="0039395B">
            <w:pPr>
              <w:pStyle w:val="TableText"/>
              <w:rPr>
                <w:rFonts w:cs="Arial"/>
                <w:color w:val="000000"/>
              </w:rPr>
            </w:pPr>
            <w:r>
              <w:rPr>
                <w:rFonts w:cs="Arial"/>
                <w:color w:val="000000"/>
              </w:rPr>
              <w:t>Adept</w:t>
            </w:r>
          </w:p>
        </w:tc>
        <w:tc>
          <w:tcPr>
            <w:tcW w:w="6547"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lastRenderedPageBreak/>
              <w:t>Evaluate progress and identify improvements to inform future projects</w:t>
            </w:r>
          </w:p>
        </w:tc>
      </w:tr>
    </w:tbl>
    <w:p w:rsidR="002A6A96" w:rsidRDefault="002A6A96"/>
    <w:sectPr w:rsidR="002A6A96"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F1" w:rsidRDefault="008F07F1" w:rsidP="00BB532F">
      <w:pPr>
        <w:spacing w:after="0" w:line="240" w:lineRule="auto"/>
      </w:pPr>
      <w:r>
        <w:separator/>
      </w:r>
    </w:p>
  </w:endnote>
  <w:endnote w:type="continuationSeparator" w:id="0">
    <w:p w:rsidR="008F07F1" w:rsidRDefault="008F07F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0A4935">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 xml:space="preserve">Senior </w:t>
          </w:r>
          <w:r w:rsidR="000A4935">
            <w:rPr>
              <w:color w:val="000000" w:themeColor="text1"/>
              <w:sz w:val="18"/>
            </w:rPr>
            <w:t>Project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F4737">
            <w:rPr>
              <w:noProof/>
              <w:color w:val="928B81"/>
              <w:sz w:val="18"/>
              <w:lang w:eastAsia="en-AU"/>
            </w:rPr>
            <w:t>4</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F4737">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F1" w:rsidRDefault="008F07F1" w:rsidP="00BB532F">
      <w:pPr>
        <w:spacing w:after="0" w:line="240" w:lineRule="auto"/>
      </w:pPr>
      <w:r>
        <w:separator/>
      </w:r>
    </w:p>
  </w:footnote>
  <w:footnote w:type="continuationSeparator" w:id="0">
    <w:p w:rsidR="008F07F1" w:rsidRDefault="008F07F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0A4935">
          <w:pPr>
            <w:pStyle w:val="TitleSub"/>
            <w:spacing w:after="0"/>
            <w:rPr>
              <w:rFonts w:ascii="Arial" w:hAnsi="Arial" w:cs="Arial"/>
              <w:b/>
            </w:rPr>
          </w:pPr>
          <w:r w:rsidRPr="001E49B2">
            <w:rPr>
              <w:rFonts w:ascii="Arial" w:hAnsi="Arial" w:cs="Arial"/>
              <w:b/>
            </w:rPr>
            <w:t xml:space="preserve">Senior </w:t>
          </w:r>
          <w:r w:rsidR="000A4935">
            <w:rPr>
              <w:rFonts w:ascii="Arial" w:hAnsi="Arial" w:cs="Arial"/>
              <w:b/>
            </w:rPr>
            <w:t>Project Officer</w:t>
          </w:r>
          <w:r w:rsidR="0088302E">
            <w:rPr>
              <w:rFonts w:ascii="Arial" w:hAnsi="Arial" w:cs="Arial"/>
              <w:b/>
            </w:rPr>
            <w:t>, Climate &amp; Atmospheric Science</w:t>
          </w:r>
        </w:p>
      </w:tc>
      <w:tc>
        <w:tcPr>
          <w:tcW w:w="3665" w:type="dxa"/>
        </w:tcPr>
        <w:p w:rsidR="000477E1" w:rsidRPr="000477E1" w:rsidRDefault="00180784" w:rsidP="00030565">
          <w:pPr>
            <w:jc w:val="right"/>
          </w:pPr>
          <w:r>
            <w:rPr>
              <w:noProof/>
            </w:rPr>
            <w:drawing>
              <wp:anchor distT="0" distB="0" distL="114300" distR="114300" simplePos="0" relativeHeight="251659264" behindDoc="0" locked="0" layoutInCell="1" allowOverlap="0" wp14:anchorId="452F8CD1" wp14:editId="4C3A072B">
                <wp:simplePos x="0" y="0"/>
                <wp:positionH relativeFrom="column">
                  <wp:posOffset>96520</wp:posOffset>
                </wp:positionH>
                <wp:positionV relativeFrom="paragraph">
                  <wp:posOffset>0</wp:posOffset>
                </wp:positionV>
                <wp:extent cx="2162175" cy="714375"/>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162175" cy="714375"/>
                        </a:xfrm>
                        <a:prstGeom prst="rect">
                          <a:avLst/>
                        </a:prstGeom>
                      </pic:spPr>
                    </pic:pic>
                  </a:graphicData>
                </a:graphic>
              </wp:anchor>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A4935"/>
    <w:rsid w:val="000C3CC8"/>
    <w:rsid w:val="000D12B3"/>
    <w:rsid w:val="000D799A"/>
    <w:rsid w:val="000F231F"/>
    <w:rsid w:val="00104EC7"/>
    <w:rsid w:val="001336E8"/>
    <w:rsid w:val="0013413E"/>
    <w:rsid w:val="00134F5E"/>
    <w:rsid w:val="00153F10"/>
    <w:rsid w:val="00165754"/>
    <w:rsid w:val="001671DC"/>
    <w:rsid w:val="00180784"/>
    <w:rsid w:val="0018091E"/>
    <w:rsid w:val="001815E8"/>
    <w:rsid w:val="00185ABC"/>
    <w:rsid w:val="00194A32"/>
    <w:rsid w:val="001A00F1"/>
    <w:rsid w:val="001A1AA1"/>
    <w:rsid w:val="001A1EC8"/>
    <w:rsid w:val="001A4F0B"/>
    <w:rsid w:val="001B1F0F"/>
    <w:rsid w:val="001B4D30"/>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A6A96"/>
    <w:rsid w:val="002B0B83"/>
    <w:rsid w:val="002B1F76"/>
    <w:rsid w:val="002C2823"/>
    <w:rsid w:val="002D36BB"/>
    <w:rsid w:val="00301747"/>
    <w:rsid w:val="00325E9D"/>
    <w:rsid w:val="00326BE3"/>
    <w:rsid w:val="00327F5C"/>
    <w:rsid w:val="00340ADC"/>
    <w:rsid w:val="00343491"/>
    <w:rsid w:val="0034421B"/>
    <w:rsid w:val="00345199"/>
    <w:rsid w:val="00346D51"/>
    <w:rsid w:val="00351826"/>
    <w:rsid w:val="00362BE7"/>
    <w:rsid w:val="00372A99"/>
    <w:rsid w:val="00373737"/>
    <w:rsid w:val="00375289"/>
    <w:rsid w:val="00377118"/>
    <w:rsid w:val="00390AF2"/>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469DC"/>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3693"/>
    <w:rsid w:val="00674D4C"/>
    <w:rsid w:val="00681DF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760"/>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302E"/>
    <w:rsid w:val="008A0EBB"/>
    <w:rsid w:val="008A13AC"/>
    <w:rsid w:val="008B74C1"/>
    <w:rsid w:val="008C0B4D"/>
    <w:rsid w:val="008C37C8"/>
    <w:rsid w:val="008D7766"/>
    <w:rsid w:val="008E08E3"/>
    <w:rsid w:val="008F07F1"/>
    <w:rsid w:val="008F4737"/>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3012"/>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6064"/>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84EBF"/>
    <w:rsid w:val="00D956AA"/>
    <w:rsid w:val="00DA543F"/>
    <w:rsid w:val="00DC0173"/>
    <w:rsid w:val="00DC11EA"/>
    <w:rsid w:val="00DC4056"/>
    <w:rsid w:val="00DD096F"/>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17155-68E3-462B-87C3-06EB271F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186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nsw.gov.au/capabilityframework"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environment.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0833-2B0E-417E-A20B-7F798DD5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1301</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2020-01-27T21:12:00Z</dcterms:created>
  <dcterms:modified xsi:type="dcterms:W3CDTF">2020-01-27T21:12:00Z</dcterms:modified>
</cp:coreProperties>
</file>