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r>
              <w:rPr>
                <w:b/>
              </w:rPr>
              <w:t>Cluster</w:t>
            </w:r>
          </w:p>
        </w:tc>
        <w:tc>
          <w:tcPr>
            <w:tcW w:w="6831" w:type="dxa"/>
          </w:tcPr>
          <w:p w14:paraId="096A94D2" w14:textId="77777777" w:rsidR="00801E41" w:rsidRPr="00DC0173" w:rsidRDefault="00801E41" w:rsidP="00C60D72">
            <w:pPr>
              <w:pStyle w:val="TableTextWhite"/>
            </w:pPr>
            <w:r>
              <w:t>Premier and Cabinet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7777777" w:rsidR="00801E41" w:rsidRDefault="00801E41" w:rsidP="00C60D72">
            <w:pPr>
              <w:pStyle w:val="TableTextWhite"/>
            </w:pPr>
            <w:r>
              <w:t>Public Service Commission</w:t>
            </w:r>
          </w:p>
        </w:tc>
      </w:tr>
      <w:tr w:rsidR="00151028" w:rsidRPr="00DC0173" w14:paraId="4DBAE919" w14:textId="77777777" w:rsidTr="00C60D72">
        <w:tc>
          <w:tcPr>
            <w:tcW w:w="4026" w:type="dxa"/>
          </w:tcPr>
          <w:p w14:paraId="712FA672" w14:textId="76F71411" w:rsidR="00151028" w:rsidRDefault="00151028" w:rsidP="00C60D72">
            <w:pPr>
              <w:pStyle w:val="TableTextWhite"/>
              <w:rPr>
                <w:b/>
              </w:rPr>
            </w:pPr>
            <w:r>
              <w:rPr>
                <w:b/>
              </w:rPr>
              <w:t>Division/ Branch/ Unit</w:t>
            </w:r>
          </w:p>
        </w:tc>
        <w:tc>
          <w:tcPr>
            <w:tcW w:w="6831" w:type="dxa"/>
          </w:tcPr>
          <w:p w14:paraId="4C114618" w14:textId="1D340A0F" w:rsidR="00151028" w:rsidRDefault="00151028" w:rsidP="00C60D72">
            <w:pPr>
              <w:pStyle w:val="TableTextWhite"/>
            </w:pPr>
            <w:r>
              <w:t>Capability and Culture/ Workforce Strategy and Capability</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Clerk Grade 9/10</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224412</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1119192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2897CA8B" w:rsidR="00801E41" w:rsidRDefault="00801E41" w:rsidP="00C60D72">
            <w:pPr>
              <w:pStyle w:val="TableTextWhite"/>
            </w:pPr>
            <w:r>
              <w:t>October 2020</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50C567D7" w:rsidR="00801E41" w:rsidRDefault="00FC75B9" w:rsidP="00C60D72">
            <w:pPr>
              <w:pStyle w:val="TableTextWhite"/>
            </w:pPr>
            <w:r w:rsidRPr="00FC75B9">
              <w:t>https://www.psc.nsw.gov.au/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0EFE4C3B" w14:textId="77777777" w:rsidR="00FF3A76" w:rsidRDefault="003927AE" w:rsidP="003927AE">
      <w:pPr>
        <w:tabs>
          <w:tab w:val="left" w:pos="2925"/>
        </w:tabs>
      </w:pPr>
      <w:r>
        <w:t xml:space="preserve">The Public Service Commission (PSC) is headed by an independent Public Service Commissioner and is a separate agency under the Government Sector Employment Act 2013 (GSE Act) that supports the Commissioner in </w:t>
      </w:r>
      <w:r w:rsidR="00FF3A76">
        <w:t>exercising</w:t>
      </w:r>
      <w:r>
        <w:t xml:space="preserve"> his/her functions and powers.</w:t>
      </w:r>
    </w:p>
    <w:p w14:paraId="5B365679" w14:textId="45E442FD" w:rsidR="00FF3A76" w:rsidRPr="00F47143" w:rsidRDefault="003927AE" w:rsidP="00FF3A76">
      <w:pPr>
        <w:tabs>
          <w:tab w:val="left" w:pos="2925"/>
        </w:tabs>
        <w:rPr>
          <w:rFonts w:ascii="Georgia" w:hAnsi="Georgia"/>
        </w:rPr>
      </w:pPr>
      <w:r>
        <w:t xml:space="preserve">The PSC leads the design, </w:t>
      </w:r>
      <w:proofErr w:type="gramStart"/>
      <w:r>
        <w:t>development</w:t>
      </w:r>
      <w:proofErr w:type="gramEnd"/>
      <w:r>
        <w:t xml:space="preserve"> and implementation of the full range of workforce management strategies - including workforce capability, recruitment and assessment</w:t>
      </w:r>
      <w:r w:rsidR="00ED42FE">
        <w:t xml:space="preserve"> </w:t>
      </w:r>
      <w:r>
        <w:t>and strategic workforce planning - to enhance the effectiveness and efficiency of the NSW public sector workforce.</w:t>
      </w:r>
    </w:p>
    <w:p w14:paraId="5A225B21" w14:textId="77777777" w:rsidR="003927AE" w:rsidRPr="00614552" w:rsidRDefault="003927AE" w:rsidP="003927AE">
      <w:pPr>
        <w:tabs>
          <w:tab w:val="left" w:pos="2925"/>
        </w:tabs>
        <w:rPr>
          <w:rStyle w:val="Heading1Char"/>
        </w:rPr>
      </w:pPr>
      <w:r w:rsidRPr="00614552">
        <w:rPr>
          <w:rStyle w:val="Heading1Char"/>
        </w:rPr>
        <w:t>Primary purpose of the role</w:t>
      </w:r>
    </w:p>
    <w:p w14:paraId="730EF400" w14:textId="77777777" w:rsidR="003927AE" w:rsidRDefault="003927AE" w:rsidP="003927AE">
      <w:pPr>
        <w:tabs>
          <w:tab w:val="left" w:pos="2925"/>
        </w:tabs>
        <w:rPr>
          <w:rFonts w:ascii="Georgia" w:hAnsi="Georgia"/>
        </w:rPr>
      </w:pPr>
      <w:r>
        <w:t>The Senior Advisor contributes to program and policy development initiatives, including their implementation and evaluation, and provides timely, policy advice on matters relating to the public sector workforce.</w:t>
      </w:r>
    </w:p>
    <w:p w14:paraId="1FB39D3C" w14:textId="77777777" w:rsidR="003927AE" w:rsidRPr="00172DFE" w:rsidRDefault="003927AE" w:rsidP="00172DFE">
      <w:pPr>
        <w:tabs>
          <w:tab w:val="left" w:pos="2925"/>
        </w:tabs>
        <w:rPr>
          <w:rStyle w:val="Heading1Char"/>
        </w:rPr>
      </w:pPr>
      <w:r w:rsidRPr="00172DFE">
        <w:rPr>
          <w:rStyle w:val="Heading1Char"/>
        </w:rPr>
        <w:t>Key accountabilities</w:t>
      </w:r>
    </w:p>
    <w:p w14:paraId="7A1DDA35" w14:textId="289D0034" w:rsidR="00FF3A76" w:rsidRPr="00096E4D" w:rsidRDefault="007E77DC" w:rsidP="00096E4D">
      <w:pPr>
        <w:pStyle w:val="ListParagraph"/>
        <w:numPr>
          <w:ilvl w:val="0"/>
          <w:numId w:val="14"/>
        </w:numPr>
        <w:ind w:left="426"/>
        <w:rPr>
          <w:rFonts w:cs="Arial"/>
        </w:rPr>
      </w:pPr>
      <w:r>
        <w:t xml:space="preserve">Research, </w:t>
      </w:r>
      <w:proofErr w:type="spellStart"/>
      <w:r>
        <w:t>analyse</w:t>
      </w:r>
      <w:proofErr w:type="spellEnd"/>
      <w:r>
        <w:t xml:space="preserve"> and review complex policy issues in relation to the public sector workforce, </w:t>
      </w:r>
      <w:r w:rsidR="0043317C">
        <w:t xml:space="preserve">identify and act on opportunities, </w:t>
      </w:r>
      <w:r>
        <w:t>identif</w:t>
      </w:r>
      <w:r w:rsidR="0043317C">
        <w:t>y</w:t>
      </w:r>
      <w:r>
        <w:t xml:space="preserve"> emerging issues, develop </w:t>
      </w:r>
      <w:r w:rsidR="00B81996">
        <w:t>evidence-based</w:t>
      </w:r>
      <w:r>
        <w:t xml:space="preserve"> options, and recommend solutions to resolve</w:t>
      </w:r>
      <w:r w:rsidR="00FF3A76">
        <w:t xml:space="preserve"> problems and mitigate risks</w:t>
      </w:r>
      <w:r w:rsidR="0043317C">
        <w:t>.</w:t>
      </w:r>
    </w:p>
    <w:p w14:paraId="16AE0C98" w14:textId="77777777" w:rsidR="00FF3A76" w:rsidRPr="00096E4D" w:rsidRDefault="007E77DC" w:rsidP="00096E4D">
      <w:pPr>
        <w:pStyle w:val="ListParagraph"/>
        <w:numPr>
          <w:ilvl w:val="0"/>
          <w:numId w:val="14"/>
        </w:numPr>
        <w:ind w:left="426"/>
        <w:rPr>
          <w:rFonts w:cs="Arial"/>
        </w:rPr>
      </w:pPr>
      <w:r>
        <w:t xml:space="preserve">Provide timely, expert advice and professional support to government agencies concerning public sector workforce policies, programs, </w:t>
      </w:r>
      <w:proofErr w:type="gramStart"/>
      <w:r>
        <w:t>initiatives</w:t>
      </w:r>
      <w:proofErr w:type="gramEnd"/>
      <w:r>
        <w:t xml:space="preserve"> and issues to enhance the capability of agencies to </w:t>
      </w:r>
      <w:r w:rsidR="00FF3A76">
        <w:t>make well informed decisions.</w:t>
      </w:r>
    </w:p>
    <w:p w14:paraId="0B9E942E" w14:textId="343CF9F6" w:rsidR="00FF3A76" w:rsidRPr="00096E4D" w:rsidRDefault="007E77DC" w:rsidP="00096E4D">
      <w:pPr>
        <w:pStyle w:val="ListParagraph"/>
        <w:numPr>
          <w:ilvl w:val="0"/>
          <w:numId w:val="14"/>
        </w:numPr>
        <w:ind w:left="426"/>
        <w:rPr>
          <w:rFonts w:cs="Arial"/>
        </w:rPr>
      </w:pPr>
      <w:r>
        <w:t>Develop issues papers, policy papers, briefs,</w:t>
      </w:r>
      <w:r w:rsidR="0043317C">
        <w:t xml:space="preserve"> reports,</w:t>
      </w:r>
      <w:r>
        <w:t xml:space="preserve"> </w:t>
      </w:r>
      <w:proofErr w:type="gramStart"/>
      <w:r>
        <w:t>speeches</w:t>
      </w:r>
      <w:proofErr w:type="gramEnd"/>
      <w:r>
        <w:t xml:space="preserve"> and correspondence to enable the Commissioner to respond to the Government’s requests or infor</w:t>
      </w:r>
      <w:r w:rsidR="00FF3A76">
        <w:t>m the Government’s decisions.</w:t>
      </w:r>
    </w:p>
    <w:p w14:paraId="24905F5D" w14:textId="77777777" w:rsidR="00FF3A76" w:rsidRPr="00096E4D" w:rsidRDefault="007E77DC" w:rsidP="00096E4D">
      <w:pPr>
        <w:pStyle w:val="ListParagraph"/>
        <w:numPr>
          <w:ilvl w:val="0"/>
          <w:numId w:val="14"/>
        </w:numPr>
        <w:ind w:left="426"/>
        <w:rPr>
          <w:rFonts w:cs="Arial"/>
        </w:rPr>
      </w:pPr>
      <w:r>
        <w:t>Undertake quantitative and qualitative research and analysis to support public sector workforce management policy and program development and eval</w:t>
      </w:r>
      <w:r w:rsidR="00FF3A76">
        <w:t>uate implementation outcomes.</w:t>
      </w:r>
    </w:p>
    <w:p w14:paraId="48A3DCBD" w14:textId="60EACDEF" w:rsidR="003927AE" w:rsidRPr="00096E4D" w:rsidRDefault="007E77DC" w:rsidP="00096E4D">
      <w:pPr>
        <w:pStyle w:val="ListParagraph"/>
        <w:numPr>
          <w:ilvl w:val="0"/>
          <w:numId w:val="14"/>
        </w:numPr>
        <w:ind w:left="426"/>
        <w:rPr>
          <w:rFonts w:cs="Arial"/>
        </w:rPr>
      </w:pPr>
      <w:r>
        <w:t xml:space="preserve">Maintain current knowledge of contemporary trends and developments including </w:t>
      </w:r>
      <w:proofErr w:type="spellStart"/>
      <w:r>
        <w:t>organisational</w:t>
      </w:r>
      <w:proofErr w:type="spellEnd"/>
      <w:r>
        <w:t xml:space="preserve"> development and workforce management practices, legislation, </w:t>
      </w:r>
      <w:proofErr w:type="gramStart"/>
      <w:r>
        <w:t>policy</w:t>
      </w:r>
      <w:proofErr w:type="gramEnd"/>
      <w:r>
        <w:t xml:space="preserve"> and funding initiatives impacting the public sector workforce and identifying and assessing their potential for application in an environment which is subject to rapid change and development.</w:t>
      </w:r>
    </w:p>
    <w:p w14:paraId="17CD8F35" w14:textId="70728FFA" w:rsidR="00894DBE" w:rsidRDefault="00894DBE">
      <w:pPr>
        <w:rPr>
          <w:rStyle w:val="Heading1Char"/>
        </w:rPr>
      </w:pPr>
    </w:p>
    <w:p w14:paraId="5158259C" w14:textId="6241F7D5" w:rsidR="003927AE" w:rsidRPr="00614552" w:rsidRDefault="003927AE" w:rsidP="003927AE">
      <w:pPr>
        <w:tabs>
          <w:tab w:val="left" w:pos="2925"/>
        </w:tabs>
        <w:rPr>
          <w:rStyle w:val="Heading1Char"/>
        </w:rPr>
      </w:pPr>
      <w:r w:rsidRPr="00614552">
        <w:rPr>
          <w:rStyle w:val="Heading1Char"/>
        </w:rPr>
        <w:t>Key challenges</w:t>
      </w:r>
    </w:p>
    <w:p w14:paraId="4F86EB50" w14:textId="18E3363D" w:rsidR="00FF3A76" w:rsidRDefault="007E77DC" w:rsidP="00096E4D">
      <w:pPr>
        <w:pStyle w:val="ListParagraph"/>
        <w:numPr>
          <w:ilvl w:val="0"/>
          <w:numId w:val="14"/>
        </w:numPr>
        <w:ind w:left="426"/>
      </w:pPr>
      <w:r>
        <w:t>Delivering policy initiatives and projects to the required standards and timeframes, given the need to</w:t>
      </w:r>
      <w:r>
        <w:br/>
        <w:t>rapidly understand and integrate</w:t>
      </w:r>
      <w:r w:rsidR="00ED42FE">
        <w:t xml:space="preserve"> new and novel</w:t>
      </w:r>
      <w:r>
        <w:t xml:space="preserve"> information and adapt in an often changing and unpredictable</w:t>
      </w:r>
      <w:r w:rsidR="00DD7877">
        <w:t xml:space="preserve"> </w:t>
      </w:r>
      <w:r>
        <w:t xml:space="preserve">environment. </w:t>
      </w:r>
    </w:p>
    <w:p w14:paraId="6308ED0A" w14:textId="17CE1901" w:rsidR="00FF3A76" w:rsidRDefault="00FF3A76" w:rsidP="00096E4D">
      <w:pPr>
        <w:pStyle w:val="ListParagraph"/>
        <w:numPr>
          <w:ilvl w:val="0"/>
          <w:numId w:val="14"/>
        </w:numPr>
        <w:ind w:left="426"/>
      </w:pPr>
      <w:r>
        <w:t xml:space="preserve">Managing </w:t>
      </w:r>
      <w:r w:rsidR="007E77DC">
        <w:t xml:space="preserve">the consultation process with sector representatives to </w:t>
      </w:r>
      <w:proofErr w:type="spellStart"/>
      <w:r w:rsidR="007E77DC">
        <w:t>optimise</w:t>
      </w:r>
      <w:proofErr w:type="spellEnd"/>
      <w:r w:rsidR="007E77DC">
        <w:t xml:space="preserve"> acceptance and ease of implementation once a policy or program direction is decided.</w:t>
      </w:r>
    </w:p>
    <w:p w14:paraId="3DA7C18A" w14:textId="6A65B0EF" w:rsidR="003927AE" w:rsidRPr="00DD7877" w:rsidRDefault="00ED42FE" w:rsidP="00096E4D">
      <w:pPr>
        <w:pStyle w:val="ListParagraph"/>
        <w:numPr>
          <w:ilvl w:val="0"/>
          <w:numId w:val="14"/>
        </w:numPr>
        <w:ind w:left="426"/>
      </w:pPr>
      <w:r>
        <w:t>Operating flexibly, being adaptable and assimilating information quickly.</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SC_Key_RelationshipsTable"/>
      </w:tblPr>
      <w:tblGrid>
        <w:gridCol w:w="3055"/>
        <w:gridCol w:w="5971"/>
      </w:tblGrid>
      <w:tr w:rsidR="00397FBC" w:rsidRPr="005F0398" w14:paraId="6D70AD08" w14:textId="77777777" w:rsidTr="005B2E6F">
        <w:tc>
          <w:tcPr>
            <w:tcW w:w="3055" w:type="dxa"/>
            <w:tcBorders>
              <w:top w:val="single" w:sz="6" w:space="0" w:color="auto"/>
              <w:left w:val="nil"/>
              <w:bottom w:val="single" w:sz="6" w:space="0" w:color="auto"/>
              <w:right w:val="nil"/>
            </w:tcBorders>
            <w:shd w:val="clear" w:color="auto" w:fill="6D276A"/>
            <w:hideMark/>
          </w:tcPr>
          <w:p w14:paraId="141B5858" w14:textId="77777777" w:rsidR="00397FBC" w:rsidRPr="005F0398" w:rsidRDefault="00397FBC" w:rsidP="005B2E6F">
            <w:pPr>
              <w:spacing w:after="0" w:line="240" w:lineRule="auto"/>
              <w:textAlignment w:val="baseline"/>
              <w:rPr>
                <w:rFonts w:eastAsia="Times New Roman" w:cs="Arial"/>
                <w:b/>
                <w:bCs/>
                <w:color w:val="FFFFFF"/>
                <w:sz w:val="20"/>
                <w:szCs w:val="20"/>
                <w:lang w:eastAsia="en-AU"/>
              </w:rPr>
            </w:pPr>
            <w:r w:rsidRPr="005F0398">
              <w:rPr>
                <w:rFonts w:eastAsia="Times New Roman" w:cs="Arial"/>
                <w:b/>
                <w:bCs/>
                <w:color w:val="FFFFFF"/>
                <w:sz w:val="20"/>
                <w:szCs w:val="20"/>
                <w:lang w:eastAsia="en-AU"/>
              </w:rPr>
              <w:t>Who </w:t>
            </w:r>
          </w:p>
        </w:tc>
        <w:tc>
          <w:tcPr>
            <w:tcW w:w="5971" w:type="dxa"/>
            <w:tcBorders>
              <w:top w:val="single" w:sz="6" w:space="0" w:color="auto"/>
              <w:left w:val="nil"/>
              <w:bottom w:val="single" w:sz="6" w:space="0" w:color="auto"/>
              <w:right w:val="nil"/>
            </w:tcBorders>
            <w:shd w:val="clear" w:color="auto" w:fill="6D276A"/>
            <w:hideMark/>
          </w:tcPr>
          <w:p w14:paraId="7818E0B0" w14:textId="77777777" w:rsidR="00397FBC" w:rsidRPr="005F0398" w:rsidRDefault="00397FBC" w:rsidP="005B2E6F">
            <w:pPr>
              <w:spacing w:after="0" w:line="240" w:lineRule="auto"/>
              <w:textAlignment w:val="baseline"/>
              <w:rPr>
                <w:rFonts w:eastAsia="Times New Roman" w:cs="Arial"/>
                <w:b/>
                <w:bCs/>
                <w:color w:val="FFFFFF"/>
                <w:sz w:val="20"/>
                <w:szCs w:val="20"/>
                <w:lang w:eastAsia="en-AU"/>
              </w:rPr>
            </w:pPr>
            <w:r w:rsidRPr="005F0398">
              <w:rPr>
                <w:rFonts w:eastAsia="Times New Roman" w:cs="Arial"/>
                <w:b/>
                <w:bCs/>
                <w:color w:val="FFFFFF"/>
                <w:sz w:val="20"/>
                <w:szCs w:val="20"/>
                <w:lang w:eastAsia="en-AU"/>
              </w:rPr>
              <w:t> Why </w:t>
            </w:r>
          </w:p>
        </w:tc>
      </w:tr>
      <w:tr w:rsidR="00397FBC" w:rsidRPr="005F0398" w14:paraId="54281878" w14:textId="77777777" w:rsidTr="005B2E6F">
        <w:tc>
          <w:tcPr>
            <w:tcW w:w="3055" w:type="dxa"/>
            <w:tcBorders>
              <w:top w:val="single" w:sz="6" w:space="0" w:color="BCBEC0"/>
              <w:left w:val="nil"/>
              <w:bottom w:val="single" w:sz="6" w:space="0" w:color="BCBEC0"/>
              <w:right w:val="nil"/>
            </w:tcBorders>
            <w:shd w:val="clear" w:color="auto" w:fill="BCBEC0"/>
            <w:hideMark/>
          </w:tcPr>
          <w:p w14:paraId="16AAF7BB"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b/>
                <w:bCs/>
                <w:sz w:val="20"/>
                <w:szCs w:val="20"/>
                <w:lang w:eastAsia="en-AU"/>
              </w:rPr>
              <w:t>Internal</w:t>
            </w:r>
            <w:r w:rsidRPr="005F0398">
              <w:rPr>
                <w:rFonts w:eastAsia="Times New Roman" w:cs="Arial"/>
                <w:sz w:val="20"/>
                <w:szCs w:val="20"/>
                <w:lang w:eastAsia="en-AU"/>
              </w:rPr>
              <w:t> </w:t>
            </w:r>
          </w:p>
        </w:tc>
        <w:tc>
          <w:tcPr>
            <w:tcW w:w="5971" w:type="dxa"/>
            <w:tcBorders>
              <w:top w:val="single" w:sz="6" w:space="0" w:color="BCBEC0"/>
              <w:left w:val="nil"/>
              <w:bottom w:val="single" w:sz="6" w:space="0" w:color="BCBEC0"/>
              <w:right w:val="nil"/>
            </w:tcBorders>
            <w:shd w:val="clear" w:color="auto" w:fill="BCBEC0"/>
            <w:hideMark/>
          </w:tcPr>
          <w:p w14:paraId="37EE8319"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w:t>
            </w:r>
          </w:p>
        </w:tc>
      </w:tr>
      <w:tr w:rsidR="00397FBC" w:rsidRPr="005F0398" w14:paraId="4321D4C6" w14:textId="77777777" w:rsidTr="005B2E6F">
        <w:tc>
          <w:tcPr>
            <w:tcW w:w="3055" w:type="dxa"/>
            <w:tcBorders>
              <w:top w:val="single" w:sz="6" w:space="0" w:color="auto"/>
              <w:left w:val="nil"/>
              <w:bottom w:val="single" w:sz="6" w:space="0" w:color="BCBEC0"/>
              <w:right w:val="nil"/>
            </w:tcBorders>
            <w:shd w:val="clear" w:color="auto" w:fill="auto"/>
            <w:hideMark/>
          </w:tcPr>
          <w:p w14:paraId="213F8AE3"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Relevant Reporting Line Manager </w:t>
            </w:r>
          </w:p>
        </w:tc>
        <w:tc>
          <w:tcPr>
            <w:tcW w:w="5971" w:type="dxa"/>
            <w:tcBorders>
              <w:top w:val="single" w:sz="6" w:space="0" w:color="auto"/>
              <w:left w:val="nil"/>
              <w:bottom w:val="single" w:sz="6" w:space="0" w:color="BCBEC0"/>
              <w:right w:val="nil"/>
            </w:tcBorders>
            <w:shd w:val="clear" w:color="auto" w:fill="auto"/>
            <w:hideMark/>
          </w:tcPr>
          <w:p w14:paraId="1DBFF165" w14:textId="77777777" w:rsidR="00397FBC" w:rsidRPr="005F0398" w:rsidRDefault="00397FBC" w:rsidP="00397FBC">
            <w:pPr>
              <w:pStyle w:val="ListParagraph"/>
              <w:numPr>
                <w:ilvl w:val="0"/>
                <w:numId w:val="15"/>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Provide regular updates on key projects, issues and </w:t>
            </w:r>
            <w:proofErr w:type="gramStart"/>
            <w:r w:rsidRPr="005F0398">
              <w:rPr>
                <w:rFonts w:eastAsia="Times New Roman" w:cs="Arial"/>
                <w:sz w:val="20"/>
                <w:szCs w:val="20"/>
                <w:lang w:eastAsia="en-AU"/>
              </w:rPr>
              <w:t>priorities</w:t>
            </w:r>
            <w:proofErr w:type="gramEnd"/>
            <w:r w:rsidRPr="005F0398">
              <w:rPr>
                <w:rFonts w:eastAsia="Times New Roman" w:cs="Arial"/>
                <w:sz w:val="20"/>
                <w:szCs w:val="20"/>
                <w:lang w:eastAsia="en-AU"/>
              </w:rPr>
              <w:t xml:space="preserve"> </w:t>
            </w:r>
          </w:p>
          <w:p w14:paraId="679C7BBE" w14:textId="77777777" w:rsidR="00397FBC" w:rsidRPr="005F0398" w:rsidRDefault="00397FBC" w:rsidP="00397FBC">
            <w:pPr>
              <w:pStyle w:val="ListParagraph"/>
              <w:numPr>
                <w:ilvl w:val="0"/>
                <w:numId w:val="15"/>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Contribute to strategic planning, policy development and decision making</w:t>
            </w:r>
          </w:p>
          <w:p w14:paraId="79440FDF" w14:textId="77777777" w:rsidR="00397FBC" w:rsidRPr="005F0398" w:rsidRDefault="00397FBC" w:rsidP="00397FBC">
            <w:pPr>
              <w:pStyle w:val="ListParagraph"/>
              <w:numPr>
                <w:ilvl w:val="0"/>
                <w:numId w:val="15"/>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Escalate issues, keep informed and receive instructions.</w:t>
            </w:r>
          </w:p>
        </w:tc>
      </w:tr>
      <w:tr w:rsidR="00397FBC" w:rsidRPr="005F0398" w14:paraId="4794FB14" w14:textId="77777777" w:rsidTr="005B2E6F">
        <w:tc>
          <w:tcPr>
            <w:tcW w:w="3055" w:type="dxa"/>
            <w:tcBorders>
              <w:top w:val="single" w:sz="6" w:space="0" w:color="auto"/>
              <w:left w:val="nil"/>
              <w:bottom w:val="single" w:sz="6" w:space="0" w:color="BCBEC0"/>
              <w:right w:val="nil"/>
            </w:tcBorders>
            <w:shd w:val="clear" w:color="auto" w:fill="auto"/>
            <w:hideMark/>
          </w:tcPr>
          <w:p w14:paraId="03EC8607"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Senior Executive/ Leadership (if relevant)</w:t>
            </w:r>
          </w:p>
        </w:tc>
        <w:tc>
          <w:tcPr>
            <w:tcW w:w="5971" w:type="dxa"/>
            <w:tcBorders>
              <w:top w:val="single" w:sz="6" w:space="0" w:color="auto"/>
              <w:left w:val="nil"/>
              <w:bottom w:val="single" w:sz="6" w:space="0" w:color="BCBEC0"/>
              <w:right w:val="nil"/>
            </w:tcBorders>
            <w:shd w:val="clear" w:color="auto" w:fill="auto"/>
            <w:hideMark/>
          </w:tcPr>
          <w:p w14:paraId="23DE62B5" w14:textId="77777777" w:rsidR="00397FBC" w:rsidRPr="005F0398" w:rsidRDefault="00397FBC" w:rsidP="00397FBC">
            <w:pPr>
              <w:pStyle w:val="ListParagraph"/>
              <w:numPr>
                <w:ilvl w:val="0"/>
                <w:numId w:val="15"/>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Provide strategic and/ or tailored advice and recommendations </w:t>
            </w:r>
          </w:p>
          <w:p w14:paraId="257D7B05" w14:textId="77777777" w:rsidR="00397FBC" w:rsidRPr="005F0398" w:rsidRDefault="00397FBC" w:rsidP="00397FBC">
            <w:pPr>
              <w:pStyle w:val="ListParagraph"/>
              <w:numPr>
                <w:ilvl w:val="0"/>
                <w:numId w:val="15"/>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Provide updates on work activity and performance </w:t>
            </w:r>
          </w:p>
          <w:p w14:paraId="59E52A4F" w14:textId="77777777" w:rsidR="00397FBC" w:rsidRPr="005F0398" w:rsidRDefault="00397FBC" w:rsidP="00397FBC">
            <w:pPr>
              <w:pStyle w:val="ListParagraph"/>
              <w:numPr>
                <w:ilvl w:val="0"/>
                <w:numId w:val="15"/>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Discuss solutions to challenging issues</w:t>
            </w:r>
          </w:p>
        </w:tc>
      </w:tr>
      <w:tr w:rsidR="00397FBC" w:rsidRPr="005F0398" w14:paraId="6A44F3B8" w14:textId="77777777" w:rsidTr="005B2E6F">
        <w:tc>
          <w:tcPr>
            <w:tcW w:w="3055" w:type="dxa"/>
            <w:tcBorders>
              <w:top w:val="single" w:sz="6" w:space="0" w:color="auto"/>
              <w:left w:val="nil"/>
              <w:bottom w:val="single" w:sz="6" w:space="0" w:color="BCBEC0"/>
              <w:right w:val="nil"/>
            </w:tcBorders>
            <w:shd w:val="clear" w:color="auto" w:fill="auto"/>
          </w:tcPr>
          <w:p w14:paraId="39711B10"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Work Team/ Direct and Indirect Report(s) </w:t>
            </w:r>
          </w:p>
          <w:p w14:paraId="432804C3" w14:textId="158A18FC" w:rsidR="00397FBC" w:rsidRPr="005F0398" w:rsidRDefault="00397FBC" w:rsidP="005B2E6F">
            <w:pPr>
              <w:spacing w:after="0" w:line="240" w:lineRule="auto"/>
              <w:textAlignment w:val="baseline"/>
              <w:rPr>
                <w:sz w:val="20"/>
                <w:szCs w:val="20"/>
              </w:rPr>
            </w:pPr>
          </w:p>
        </w:tc>
        <w:tc>
          <w:tcPr>
            <w:tcW w:w="5971" w:type="dxa"/>
            <w:tcBorders>
              <w:top w:val="single" w:sz="6" w:space="0" w:color="auto"/>
              <w:left w:val="nil"/>
              <w:bottom w:val="single" w:sz="6" w:space="0" w:color="BCBEC0"/>
              <w:right w:val="nil"/>
            </w:tcBorders>
            <w:shd w:val="clear" w:color="auto" w:fill="auto"/>
          </w:tcPr>
          <w:p w14:paraId="714B7F68" w14:textId="77777777" w:rsidR="00397FBC" w:rsidRPr="005F0398" w:rsidRDefault="00397FBC" w:rsidP="00397FBC">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xml:space="preserve">Lead, direct and manage performance </w:t>
            </w:r>
          </w:p>
          <w:p w14:paraId="7863BF6D" w14:textId="77777777" w:rsidR="00397FBC" w:rsidRPr="005F0398" w:rsidRDefault="00397FBC" w:rsidP="00397FBC">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Coach and mentor to build professional expertise</w:t>
            </w:r>
          </w:p>
          <w:p w14:paraId="25B3A22C" w14:textId="77777777" w:rsidR="00397FBC" w:rsidRPr="005F0398" w:rsidRDefault="00397FBC" w:rsidP="00397FBC">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Collaborate to continually improve knowledge, build capability, and improve consistency and service quality</w:t>
            </w:r>
          </w:p>
          <w:p w14:paraId="77614946" w14:textId="77777777" w:rsidR="00397FBC" w:rsidRPr="005F0398" w:rsidRDefault="00397FBC" w:rsidP="00397FBC">
            <w:pPr>
              <w:pStyle w:val="ListParagraph"/>
              <w:numPr>
                <w:ilvl w:val="0"/>
                <w:numId w:val="16"/>
              </w:num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Provide an escalation point for issues or complex decision-making.</w:t>
            </w:r>
          </w:p>
        </w:tc>
      </w:tr>
      <w:tr w:rsidR="00397FBC" w:rsidRPr="005F0398" w14:paraId="547BA5BC" w14:textId="77777777" w:rsidTr="005B2E6F">
        <w:tc>
          <w:tcPr>
            <w:tcW w:w="3055" w:type="dxa"/>
            <w:tcBorders>
              <w:top w:val="single" w:sz="6" w:space="0" w:color="BCBEC0"/>
              <w:left w:val="nil"/>
              <w:bottom w:val="single" w:sz="6" w:space="0" w:color="BCBEC0"/>
              <w:right w:val="nil"/>
            </w:tcBorders>
            <w:shd w:val="clear" w:color="auto" w:fill="BCBEC0"/>
            <w:hideMark/>
          </w:tcPr>
          <w:p w14:paraId="6E592E61"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b/>
                <w:bCs/>
                <w:sz w:val="20"/>
                <w:szCs w:val="20"/>
                <w:lang w:eastAsia="en-AU"/>
              </w:rPr>
              <w:t>External</w:t>
            </w:r>
            <w:r w:rsidRPr="005F0398">
              <w:rPr>
                <w:rFonts w:eastAsia="Times New Roman" w:cs="Arial"/>
                <w:sz w:val="20"/>
                <w:szCs w:val="20"/>
                <w:lang w:eastAsia="en-AU"/>
              </w:rPr>
              <w:t> </w:t>
            </w:r>
          </w:p>
        </w:tc>
        <w:tc>
          <w:tcPr>
            <w:tcW w:w="5971" w:type="dxa"/>
            <w:tcBorders>
              <w:top w:val="single" w:sz="6" w:space="0" w:color="BCBEC0"/>
              <w:left w:val="nil"/>
              <w:bottom w:val="single" w:sz="6" w:space="0" w:color="BCBEC0"/>
              <w:right w:val="nil"/>
            </w:tcBorders>
            <w:shd w:val="clear" w:color="auto" w:fill="BCBEC0"/>
            <w:hideMark/>
          </w:tcPr>
          <w:p w14:paraId="6E552BBB"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eastAsia="Times New Roman" w:cs="Arial"/>
                <w:sz w:val="20"/>
                <w:szCs w:val="20"/>
                <w:lang w:eastAsia="en-AU"/>
              </w:rPr>
              <w:t> </w:t>
            </w:r>
          </w:p>
        </w:tc>
      </w:tr>
      <w:tr w:rsidR="00397FBC" w:rsidRPr="005F0398" w14:paraId="4D87085E" w14:textId="77777777" w:rsidTr="005B2E6F">
        <w:tc>
          <w:tcPr>
            <w:tcW w:w="3055" w:type="dxa"/>
            <w:tcBorders>
              <w:top w:val="single" w:sz="6" w:space="0" w:color="auto"/>
              <w:left w:val="nil"/>
              <w:bottom w:val="single" w:sz="6" w:space="0" w:color="auto"/>
              <w:right w:val="nil"/>
            </w:tcBorders>
            <w:shd w:val="clear" w:color="auto" w:fill="auto"/>
            <w:hideMark/>
          </w:tcPr>
          <w:p w14:paraId="2692006E" w14:textId="77777777" w:rsidR="00397FBC" w:rsidRPr="005F0398" w:rsidRDefault="00397FBC" w:rsidP="005B2E6F">
            <w:pPr>
              <w:spacing w:after="0" w:line="240" w:lineRule="auto"/>
              <w:textAlignment w:val="baseline"/>
              <w:rPr>
                <w:rFonts w:eastAsia="Times New Roman" w:cs="Arial"/>
                <w:sz w:val="20"/>
                <w:szCs w:val="20"/>
                <w:lang w:eastAsia="en-AU"/>
              </w:rPr>
            </w:pPr>
            <w:r w:rsidRPr="005F0398">
              <w:rPr>
                <w:rFonts w:cs="Arial"/>
                <w:sz w:val="20"/>
                <w:szCs w:val="20"/>
              </w:rPr>
              <w:t xml:space="preserve">External Stakeholders/ Customers </w:t>
            </w:r>
          </w:p>
        </w:tc>
        <w:tc>
          <w:tcPr>
            <w:tcW w:w="5971" w:type="dxa"/>
            <w:tcBorders>
              <w:top w:val="single" w:sz="6" w:space="0" w:color="auto"/>
              <w:left w:val="nil"/>
              <w:bottom w:val="single" w:sz="6" w:space="0" w:color="auto"/>
              <w:right w:val="nil"/>
            </w:tcBorders>
            <w:shd w:val="clear" w:color="auto" w:fill="auto"/>
            <w:hideMark/>
          </w:tcPr>
          <w:p w14:paraId="4A273B5A" w14:textId="77777777" w:rsidR="00397FBC" w:rsidRPr="005F0398" w:rsidRDefault="00397FBC" w:rsidP="00397FBC">
            <w:pPr>
              <w:pStyle w:val="ListParagraph"/>
              <w:numPr>
                <w:ilvl w:val="0"/>
                <w:numId w:val="17"/>
              </w:numPr>
              <w:spacing w:after="0" w:line="240" w:lineRule="auto"/>
              <w:textAlignment w:val="baseline"/>
              <w:rPr>
                <w:rFonts w:cs="Arial"/>
                <w:sz w:val="20"/>
                <w:szCs w:val="20"/>
              </w:rPr>
            </w:pPr>
            <w:r w:rsidRPr="005F0398">
              <w:rPr>
                <w:rFonts w:cs="Arial"/>
                <w:sz w:val="20"/>
                <w:szCs w:val="20"/>
              </w:rPr>
              <w:t>Address queries and/or redirect to relevant party for review and resolution.</w:t>
            </w:r>
          </w:p>
          <w:p w14:paraId="5E1CB8CC" w14:textId="77777777" w:rsidR="00397FBC" w:rsidRPr="005F0398" w:rsidRDefault="00397FBC" w:rsidP="00397FBC">
            <w:pPr>
              <w:pStyle w:val="ListParagraph"/>
              <w:numPr>
                <w:ilvl w:val="0"/>
                <w:numId w:val="17"/>
              </w:numPr>
              <w:spacing w:after="0" w:line="240" w:lineRule="auto"/>
              <w:textAlignment w:val="baseline"/>
              <w:rPr>
                <w:rFonts w:cs="Arial"/>
                <w:sz w:val="20"/>
                <w:szCs w:val="20"/>
              </w:rPr>
            </w:pPr>
            <w:r w:rsidRPr="005F0398">
              <w:rPr>
                <w:rFonts w:cs="Arial"/>
                <w:sz w:val="20"/>
                <w:szCs w:val="20"/>
              </w:rPr>
              <w:t xml:space="preserve">Contribute to a client-focused approach to service provision </w:t>
            </w:r>
          </w:p>
          <w:p w14:paraId="0EEA406E" w14:textId="77777777" w:rsidR="00397FBC" w:rsidRPr="005F0398" w:rsidRDefault="00397FBC" w:rsidP="00397FBC">
            <w:pPr>
              <w:pStyle w:val="ListParagraph"/>
              <w:numPr>
                <w:ilvl w:val="0"/>
                <w:numId w:val="17"/>
              </w:numPr>
              <w:spacing w:after="0" w:line="240" w:lineRule="auto"/>
              <w:textAlignment w:val="baseline"/>
              <w:rPr>
                <w:rFonts w:eastAsia="Times New Roman" w:cs="Arial"/>
                <w:sz w:val="20"/>
                <w:szCs w:val="20"/>
                <w:lang w:eastAsia="en-AU"/>
              </w:rPr>
            </w:pPr>
            <w:r w:rsidRPr="005F0398">
              <w:rPr>
                <w:rFonts w:cs="Arial"/>
                <w:sz w:val="20"/>
                <w:szCs w:val="20"/>
              </w:rPr>
              <w:t xml:space="preserve">Provide advice to support decision-making and provide solutions to issues </w:t>
            </w:r>
          </w:p>
          <w:p w14:paraId="4BB67907" w14:textId="77777777" w:rsidR="00397FBC" w:rsidRPr="005F0398" w:rsidRDefault="00397FBC" w:rsidP="00397FBC">
            <w:pPr>
              <w:pStyle w:val="ListParagraph"/>
              <w:numPr>
                <w:ilvl w:val="0"/>
                <w:numId w:val="17"/>
              </w:numPr>
              <w:spacing w:after="0" w:line="240" w:lineRule="auto"/>
              <w:textAlignment w:val="baseline"/>
              <w:rPr>
                <w:rFonts w:eastAsia="Times New Roman" w:cs="Arial"/>
                <w:sz w:val="20"/>
                <w:szCs w:val="20"/>
                <w:lang w:eastAsia="en-AU"/>
              </w:rPr>
            </w:pPr>
            <w:proofErr w:type="spellStart"/>
            <w:r w:rsidRPr="005F0398">
              <w:rPr>
                <w:rFonts w:cs="Arial"/>
                <w:sz w:val="20"/>
                <w:szCs w:val="20"/>
              </w:rPr>
              <w:t>Optimise</w:t>
            </w:r>
            <w:proofErr w:type="spellEnd"/>
            <w:r w:rsidRPr="005F0398">
              <w:rPr>
                <w:rFonts w:cs="Arial"/>
                <w:sz w:val="20"/>
                <w:szCs w:val="20"/>
              </w:rPr>
              <w:t xml:space="preserve"> engagement to define mutual interests, manage expectations and achieve defined outcomes </w:t>
            </w:r>
          </w:p>
          <w:p w14:paraId="324DDCCF" w14:textId="77777777" w:rsidR="00397FBC" w:rsidRPr="005F0398" w:rsidRDefault="00397FBC" w:rsidP="00397FBC">
            <w:pPr>
              <w:pStyle w:val="ListParagraph"/>
              <w:numPr>
                <w:ilvl w:val="0"/>
                <w:numId w:val="17"/>
              </w:numPr>
              <w:spacing w:after="0" w:line="240" w:lineRule="auto"/>
              <w:textAlignment w:val="baseline"/>
              <w:rPr>
                <w:rFonts w:eastAsia="Times New Roman" w:cs="Arial"/>
                <w:sz w:val="20"/>
                <w:szCs w:val="20"/>
                <w:lang w:eastAsia="en-AU"/>
              </w:rPr>
            </w:pPr>
            <w:r w:rsidRPr="005F0398">
              <w:rPr>
                <w:rFonts w:cs="Arial"/>
                <w:sz w:val="20"/>
                <w:szCs w:val="20"/>
              </w:rPr>
              <w:t>Establish networks to enable performance benchmarking and maintain currency in trends and developments</w:t>
            </w:r>
          </w:p>
          <w:p w14:paraId="701CADD0" w14:textId="77777777" w:rsidR="00397FBC" w:rsidRPr="005F0398" w:rsidRDefault="00397FBC" w:rsidP="00397FBC">
            <w:pPr>
              <w:pStyle w:val="ListParagraph"/>
              <w:numPr>
                <w:ilvl w:val="0"/>
                <w:numId w:val="17"/>
              </w:numPr>
              <w:spacing w:after="0" w:line="240" w:lineRule="auto"/>
              <w:textAlignment w:val="baseline"/>
              <w:rPr>
                <w:rFonts w:eastAsia="Times New Roman" w:cs="Arial"/>
                <w:sz w:val="20"/>
                <w:szCs w:val="20"/>
                <w:lang w:eastAsia="en-AU"/>
              </w:rPr>
            </w:pPr>
            <w:r w:rsidRPr="005F0398">
              <w:rPr>
                <w:rFonts w:cs="Arial"/>
                <w:sz w:val="20"/>
                <w:szCs w:val="20"/>
              </w:rPr>
              <w:t xml:space="preserve">Contribute to cross agency or whole of government projects/programs </w:t>
            </w:r>
          </w:p>
          <w:p w14:paraId="174502BF" w14:textId="77777777" w:rsidR="00397FBC" w:rsidRPr="005F0398" w:rsidRDefault="00397FBC" w:rsidP="00397FBC">
            <w:pPr>
              <w:pStyle w:val="ListParagraph"/>
              <w:numPr>
                <w:ilvl w:val="0"/>
                <w:numId w:val="17"/>
              </w:numPr>
              <w:spacing w:after="0" w:line="240" w:lineRule="auto"/>
              <w:textAlignment w:val="baseline"/>
              <w:rPr>
                <w:rFonts w:eastAsia="Times New Roman" w:cs="Arial"/>
                <w:sz w:val="20"/>
                <w:szCs w:val="20"/>
                <w:lang w:eastAsia="en-AU"/>
              </w:rPr>
            </w:pPr>
            <w:r w:rsidRPr="005F0398">
              <w:rPr>
                <w:rFonts w:eastAsia="Arial" w:cs="Arial"/>
                <w:sz w:val="20"/>
                <w:szCs w:val="20"/>
              </w:rPr>
              <w:t>Actively manage the relationships with providers to ensure services and information is maintained in accordance with any agreements with a continued focus on improvements in accuracy and timeliness.</w:t>
            </w:r>
          </w:p>
        </w:tc>
      </w:tr>
    </w:tbl>
    <w:p w14:paraId="14D7A223" w14:textId="6A204D67" w:rsidR="003927AE" w:rsidRDefault="003927AE" w:rsidP="0067364E">
      <w:pPr>
        <w:pStyle w:val="Heading1"/>
        <w:spacing w:before="240"/>
        <w:rPr>
          <w:sz w:val="28"/>
        </w:rPr>
      </w:pPr>
      <w:r w:rsidRPr="00614552">
        <w:t>Role dimensions</w:t>
      </w:r>
    </w:p>
    <w:p w14:paraId="2F73CAB1" w14:textId="77777777" w:rsidR="003927AE" w:rsidRPr="00614552" w:rsidRDefault="003927AE" w:rsidP="003927AE">
      <w:pPr>
        <w:pStyle w:val="Heading2"/>
      </w:pPr>
      <w:r w:rsidRPr="00614552">
        <w:t>Decision making</w:t>
      </w:r>
    </w:p>
    <w:p w14:paraId="5AAED9D3" w14:textId="5411F51A" w:rsidR="00C84E05" w:rsidRDefault="00C84E05" w:rsidP="00C84E05">
      <w:pPr>
        <w:rPr>
          <w:rFonts w:cs="Arial"/>
        </w:rPr>
      </w:pPr>
      <w:r w:rsidRPr="00731F45">
        <w:rPr>
          <w:rFonts w:cs="Arial"/>
        </w:rPr>
        <w:t xml:space="preserve">The role operates with autonomy in determining day to day work priorities within the context of an agreed work plan and in making associated decisions. Decisions on complex issues or those with </w:t>
      </w:r>
      <w:r>
        <w:rPr>
          <w:rFonts w:cs="Arial"/>
        </w:rPr>
        <w:t>political impact</w:t>
      </w:r>
      <w:r w:rsidRPr="00731F45">
        <w:rPr>
          <w:rFonts w:cs="Arial"/>
        </w:rPr>
        <w:t xml:space="preserve"> are referred to a higher level of authority.</w:t>
      </w:r>
    </w:p>
    <w:p w14:paraId="458EC689" w14:textId="00E7555D" w:rsidR="003927AE" w:rsidRPr="00C84E05" w:rsidRDefault="003927AE" w:rsidP="00C84E05">
      <w:pPr>
        <w:rPr>
          <w:rFonts w:eastAsiaTheme="minorHAnsi" w:cs="Arial"/>
          <w:b/>
          <w:bCs/>
          <w:iCs/>
          <w:color w:val="6D6E71"/>
          <w:sz w:val="24"/>
          <w:szCs w:val="28"/>
          <w:lang w:val="en-AU"/>
        </w:rPr>
      </w:pPr>
      <w:r w:rsidRPr="00C84E05">
        <w:rPr>
          <w:rFonts w:eastAsiaTheme="minorHAnsi" w:cs="Arial"/>
          <w:b/>
          <w:bCs/>
          <w:iCs/>
          <w:color w:val="6D6E71"/>
          <w:sz w:val="24"/>
          <w:szCs w:val="28"/>
          <w:lang w:val="en-AU"/>
        </w:rPr>
        <w:lastRenderedPageBreak/>
        <w:t>Reporting line</w:t>
      </w:r>
    </w:p>
    <w:p w14:paraId="4390FF6C" w14:textId="77777777" w:rsidR="00D314CB" w:rsidRPr="00345BD0" w:rsidRDefault="00D314CB" w:rsidP="00D314CB">
      <w:pPr>
        <w:rPr>
          <w:rFonts w:cs="Arial"/>
        </w:rPr>
      </w:pPr>
      <w:r w:rsidRPr="00345BD0">
        <w:rPr>
          <w:rFonts w:cs="Arial"/>
        </w:rPr>
        <w:t>Th</w:t>
      </w:r>
      <w:r>
        <w:rPr>
          <w:rFonts w:cs="Arial"/>
        </w:rPr>
        <w:t>e role</w:t>
      </w:r>
      <w:r w:rsidRPr="00345BD0">
        <w:rPr>
          <w:rFonts w:cs="Arial"/>
        </w:rPr>
        <w:t xml:space="preserve"> reports to the relevant reporting line manager. </w:t>
      </w:r>
    </w:p>
    <w:p w14:paraId="2714E653" w14:textId="77777777" w:rsidR="003927AE" w:rsidRPr="00614552" w:rsidRDefault="003927AE" w:rsidP="003927AE">
      <w:pPr>
        <w:pStyle w:val="Heading2"/>
      </w:pPr>
      <w:r w:rsidRPr="00614552">
        <w:t>Direct reports</w:t>
      </w:r>
    </w:p>
    <w:p w14:paraId="3E42FA1A" w14:textId="77777777" w:rsidR="00682851" w:rsidRPr="00682851" w:rsidRDefault="00682851" w:rsidP="003927AE">
      <w:pPr>
        <w:pStyle w:val="Heading2"/>
        <w:rPr>
          <w:rFonts w:eastAsiaTheme="minorEastAsia" w:cstheme="minorBidi"/>
          <w:b w:val="0"/>
          <w:bCs w:val="0"/>
          <w:iCs w:val="0"/>
          <w:color w:val="auto"/>
          <w:sz w:val="22"/>
          <w:szCs w:val="22"/>
          <w:lang w:val="en-US"/>
        </w:rPr>
      </w:pPr>
      <w:r w:rsidRPr="00682851">
        <w:rPr>
          <w:rFonts w:eastAsiaTheme="minorEastAsia" w:cstheme="minorBidi"/>
          <w:b w:val="0"/>
          <w:bCs w:val="0"/>
          <w:iCs w:val="0"/>
          <w:color w:val="auto"/>
          <w:sz w:val="22"/>
          <w:szCs w:val="22"/>
          <w:lang w:val="en-US"/>
        </w:rPr>
        <w:t xml:space="preserve">The role will have a variable number of direct and indirect reports (depending on business/ project requirements) </w:t>
      </w:r>
    </w:p>
    <w:p w14:paraId="67DFC5F1" w14:textId="140FD3F4" w:rsidR="003927AE" w:rsidRPr="00614552" w:rsidRDefault="003927AE" w:rsidP="003927AE">
      <w:pPr>
        <w:pStyle w:val="Heading2"/>
      </w:pPr>
      <w:r w:rsidRPr="00614552">
        <w:t>Budget/Expenditure</w:t>
      </w:r>
    </w:p>
    <w:p w14:paraId="49A4910E" w14:textId="77777777" w:rsidR="008830A7" w:rsidRPr="004B63EE" w:rsidRDefault="008830A7" w:rsidP="008830A7">
      <w:pPr>
        <w:rPr>
          <w:rFonts w:cs="Arial"/>
        </w:rPr>
      </w:pPr>
      <w:r w:rsidRPr="004B63EE">
        <w:rPr>
          <w:rFonts w:cs="Arial"/>
        </w:rPr>
        <w:t xml:space="preserve">As per PSC financial delegations. </w:t>
      </w:r>
    </w:p>
    <w:p w14:paraId="64D69E36" w14:textId="77777777" w:rsidR="00CB021B" w:rsidRPr="00BE68F4" w:rsidRDefault="00CB021B" w:rsidP="00CB021B">
      <w:pPr>
        <w:rPr>
          <w:rStyle w:val="normaltextrun"/>
          <w:rFonts w:eastAsia="Times New Roman" w:cs="Arial"/>
          <w:b/>
          <w:bCs/>
          <w:sz w:val="26"/>
          <w:szCs w:val="26"/>
          <w:lang w:eastAsia="en-AU"/>
        </w:rPr>
      </w:pPr>
      <w:r w:rsidRPr="00BE68F4">
        <w:rPr>
          <w:rStyle w:val="normaltextrun"/>
          <w:rFonts w:eastAsia="Times New Roman" w:cs="Arial"/>
          <w:b/>
          <w:bCs/>
          <w:sz w:val="26"/>
          <w:szCs w:val="26"/>
          <w:lang w:eastAsia="en-AU"/>
        </w:rPr>
        <w:t xml:space="preserve">Essential requirements </w:t>
      </w:r>
    </w:p>
    <w:p w14:paraId="14146DB8" w14:textId="77777777" w:rsidR="00CB021B" w:rsidRPr="004A0A9A" w:rsidRDefault="00CB021B" w:rsidP="00CB021B">
      <w:pPr>
        <w:pStyle w:val="ListParagraph"/>
        <w:numPr>
          <w:ilvl w:val="0"/>
          <w:numId w:val="18"/>
        </w:numPr>
        <w:spacing w:after="160" w:line="259" w:lineRule="auto"/>
        <w:rPr>
          <w:rFonts w:cs="Arial"/>
        </w:rPr>
      </w:pPr>
      <w:r w:rsidRPr="004A0A9A">
        <w:rPr>
          <w:rFonts w:cs="Arial"/>
        </w:rPr>
        <w:t>Appropriate tertiary qualifications and/or demonstrated, relevant, equivalent professional experience.</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67364E">
        <w:t xml:space="preserve">The </w:t>
      </w:r>
      <w:hyperlink r:id="rId12" w:history="1">
        <w:r w:rsidRPr="0067364E">
          <w:rPr>
            <w:rStyle w:val="Hyperlink"/>
            <w:sz w:val="22"/>
          </w:rPr>
          <w:t>NSW public sector capability framework</w:t>
        </w:r>
      </w:hyperlink>
      <w:r w:rsidRPr="0067364E">
        <w:t xml:space="preserve"> describ</w:t>
      </w:r>
      <w:r>
        <w:t xml:space="preserve">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Display Resilience and Courage</w:t>
            </w:r>
          </w:p>
          <w:p w14:paraId="0137B693" w14:textId="77777777" w:rsidR="002D336D" w:rsidRPr="00AA57E3" w:rsidRDefault="002D336D" w:rsidP="006D75C8">
            <w:pPr>
              <w:pStyle w:val="TableText"/>
              <w:keepNext/>
            </w:pPr>
            <w:r>
              <w:t>Be open and honest, prepared to express your views, and willing to accept and commit to change</w:t>
            </w:r>
          </w:p>
        </w:tc>
        <w:tc>
          <w:tcPr>
            <w:tcW w:w="4770" w:type="dxa"/>
            <w:tcBorders>
              <w:bottom w:val="single" w:sz="4" w:space="0" w:color="BCBEC0"/>
            </w:tcBorders>
          </w:tcPr>
          <w:p w14:paraId="5163DB93" w14:textId="77777777" w:rsidR="002D336D" w:rsidRPr="00AA57E3" w:rsidRDefault="002D336D" w:rsidP="006D75C8">
            <w:pPr>
              <w:pStyle w:val="TableBullet"/>
            </w:pPr>
            <w:r>
              <w:t>Be flexible, show initiative and respond quickly when situations change</w:t>
            </w:r>
          </w:p>
          <w:p w14:paraId="7E1BE965" w14:textId="77777777" w:rsidR="002D336D" w:rsidRPr="00AA57E3" w:rsidRDefault="002D336D" w:rsidP="006D75C8">
            <w:pPr>
              <w:pStyle w:val="TableBullet"/>
            </w:pPr>
            <w:r>
              <w:t>Give frank and honest feedback and advice</w:t>
            </w:r>
          </w:p>
          <w:p w14:paraId="0FD5BFA8" w14:textId="77777777" w:rsidR="002D336D" w:rsidRPr="00AA57E3" w:rsidRDefault="002D336D" w:rsidP="006D75C8">
            <w:pPr>
              <w:pStyle w:val="TableBullet"/>
            </w:pPr>
            <w:r>
              <w:t xml:space="preserve">Listen when ideas are challenged, seek to understand the nature of the </w:t>
            </w:r>
            <w:proofErr w:type="gramStart"/>
            <w:r>
              <w:t>comment</w:t>
            </w:r>
            <w:proofErr w:type="gramEnd"/>
            <w:r>
              <w:t xml:space="preserve"> and respond appropriately</w:t>
            </w:r>
          </w:p>
          <w:p w14:paraId="16263C2B" w14:textId="77777777" w:rsidR="002D336D" w:rsidRPr="00AA57E3" w:rsidRDefault="002D336D" w:rsidP="006D75C8">
            <w:pPr>
              <w:pStyle w:val="TableBullet"/>
            </w:pPr>
            <w:r>
              <w:t>Raise and work through challenging issues and seek alternatives</w:t>
            </w:r>
          </w:p>
          <w:p w14:paraId="53DEF092" w14:textId="77777777" w:rsidR="002D336D" w:rsidRPr="00AA57E3" w:rsidRDefault="002D336D" w:rsidP="006D75C8">
            <w:pPr>
              <w:pStyle w:val="TableBullet"/>
            </w:pPr>
            <w:r>
              <w:t>Remain composed and calm under pressure and in challenging situations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Adept</w:t>
            </w:r>
          </w:p>
        </w:tc>
      </w:tr>
      <w:tr w:rsidR="002D336D" w:rsidRPr="00C978B9" w14:paraId="581E8C5A" w14:textId="77777777" w:rsidTr="006D75C8">
        <w:tc>
          <w:tcPr>
            <w:tcW w:w="1406" w:type="dxa"/>
            <w:vMerge w:val="restart"/>
            <w:tcBorders>
              <w:bottom w:val="single" w:sz="4" w:space="0" w:color="BCBEC0"/>
            </w:tcBorders>
          </w:tcPr>
          <w:p w14:paraId="2ABFFEA9" w14:textId="77777777" w:rsidR="002D336D" w:rsidRPr="00C978B9" w:rsidRDefault="002D336D" w:rsidP="006D75C8">
            <w:pPr>
              <w:keepNext/>
            </w:pPr>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2996945" w14:textId="77777777" w:rsidR="002D336D" w:rsidRPr="00A8226F" w:rsidRDefault="002D336D" w:rsidP="006D75C8">
            <w:pPr>
              <w:pStyle w:val="TableText"/>
              <w:keepNext/>
              <w:rPr>
                <w:b/>
              </w:rPr>
            </w:pPr>
            <w:r>
              <w:rPr>
                <w:b/>
              </w:rPr>
              <w:t>Communicate Effectively</w:t>
            </w:r>
          </w:p>
          <w:p w14:paraId="726847AB"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25924F87" w14:textId="77777777" w:rsidR="002D336D" w:rsidRPr="00AA57E3" w:rsidRDefault="002D336D" w:rsidP="006D75C8">
            <w:pPr>
              <w:pStyle w:val="TableBullet"/>
            </w:pPr>
            <w:r>
              <w:t>Tailor communication to diverse audiences</w:t>
            </w:r>
          </w:p>
          <w:p w14:paraId="7901B0CD" w14:textId="77777777" w:rsidR="002D336D" w:rsidRPr="00AA57E3" w:rsidRDefault="002D336D" w:rsidP="006D75C8">
            <w:pPr>
              <w:pStyle w:val="TableBullet"/>
            </w:pPr>
            <w:r>
              <w:t>Clearly explain complex concepts and arguments to individuals and groups</w:t>
            </w:r>
          </w:p>
          <w:p w14:paraId="50E8A29B" w14:textId="77777777" w:rsidR="002D336D" w:rsidRPr="00AA57E3" w:rsidRDefault="002D336D" w:rsidP="006D75C8">
            <w:pPr>
              <w:pStyle w:val="TableBullet"/>
            </w:pPr>
            <w:r>
              <w:lastRenderedPageBreak/>
              <w:t xml:space="preserve">Create opportunities for others to be heard, listen </w:t>
            </w:r>
            <w:proofErr w:type="gramStart"/>
            <w:r>
              <w:t>attentively</w:t>
            </w:r>
            <w:proofErr w:type="gramEnd"/>
            <w:r>
              <w:t xml:space="preserve"> and encourage them to express their views</w:t>
            </w:r>
          </w:p>
          <w:p w14:paraId="07B2F126" w14:textId="77777777" w:rsidR="002D336D" w:rsidRPr="00AA57E3" w:rsidRDefault="002D336D" w:rsidP="006D75C8">
            <w:pPr>
              <w:pStyle w:val="TableBullet"/>
            </w:pPr>
            <w:r>
              <w:t>Share information across teams and units to enable informed decision making</w:t>
            </w:r>
          </w:p>
          <w:p w14:paraId="76D9F44D" w14:textId="77777777" w:rsidR="002D336D" w:rsidRPr="00AA57E3" w:rsidRDefault="002D336D" w:rsidP="006D75C8">
            <w:pPr>
              <w:pStyle w:val="TableBullet"/>
            </w:pPr>
            <w:r>
              <w:t>Write fluently in plain English and in a range of styles and formats</w:t>
            </w:r>
          </w:p>
          <w:p w14:paraId="76D3ADAD" w14:textId="77777777" w:rsidR="002D336D" w:rsidRDefault="002D336D" w:rsidP="006D75C8">
            <w:pPr>
              <w:pStyle w:val="TableBullet"/>
            </w:pPr>
            <w:r>
              <w:t>Use contemporary communication channels to share information, engage and interact with diverse audiences</w:t>
            </w:r>
          </w:p>
          <w:p w14:paraId="227E2257" w14:textId="47432AF4" w:rsidR="00DF6205" w:rsidRPr="00AA57E3" w:rsidRDefault="00DF6205" w:rsidP="00DF6205">
            <w:pPr>
              <w:pStyle w:val="TableBullet"/>
              <w:numPr>
                <w:ilvl w:val="0"/>
                <w:numId w:val="0"/>
              </w:numPr>
              <w:ind w:left="360"/>
            </w:pPr>
          </w:p>
        </w:tc>
        <w:tc>
          <w:tcPr>
            <w:tcW w:w="1606" w:type="dxa"/>
            <w:tcBorders>
              <w:bottom w:val="single" w:sz="4" w:space="0" w:color="BCBEC0"/>
            </w:tcBorders>
          </w:tcPr>
          <w:p w14:paraId="5BF81A87" w14:textId="77777777" w:rsidR="002D336D" w:rsidRDefault="00F15669" w:rsidP="006D75C8">
            <w:pPr>
              <w:pStyle w:val="TableBullet"/>
              <w:numPr>
                <w:ilvl w:val="0"/>
                <w:numId w:val="0"/>
              </w:numPr>
              <w:jc w:val="both"/>
            </w:pPr>
            <w:r>
              <w:lastRenderedPageBreak/>
              <w:t>Adept</w:t>
            </w:r>
          </w:p>
        </w:tc>
      </w:tr>
      <w:tr w:rsidR="00DF6205" w:rsidRPr="00C978B9" w14:paraId="5E47B630" w14:textId="77777777" w:rsidTr="006D75C8">
        <w:tc>
          <w:tcPr>
            <w:tcW w:w="1406" w:type="dxa"/>
            <w:vMerge/>
            <w:tcBorders>
              <w:bottom w:val="single" w:sz="4" w:space="0" w:color="BCBEC0"/>
            </w:tcBorders>
          </w:tcPr>
          <w:p w14:paraId="5593C5C9" w14:textId="77777777" w:rsidR="00DF6205" w:rsidRPr="00C978B9" w:rsidRDefault="00DF6205" w:rsidP="00DF6205">
            <w:pPr>
              <w:keepNext/>
              <w:rPr>
                <w:noProof/>
                <w:lang w:eastAsia="en-AU"/>
              </w:rPr>
            </w:pPr>
          </w:p>
        </w:tc>
        <w:tc>
          <w:tcPr>
            <w:tcW w:w="2971" w:type="dxa"/>
            <w:gridSpan w:val="2"/>
            <w:tcBorders>
              <w:bottom w:val="single" w:sz="4" w:space="0" w:color="BCBEC0"/>
            </w:tcBorders>
          </w:tcPr>
          <w:p w14:paraId="0529759A" w14:textId="77777777" w:rsidR="00DF6205" w:rsidRDefault="00DF6205" w:rsidP="00DF6205">
            <w:pPr>
              <w:pStyle w:val="TableText"/>
              <w:keepNext/>
              <w:rPr>
                <w:b/>
                <w:bCs/>
              </w:rPr>
            </w:pPr>
            <w:r w:rsidRPr="00767A60">
              <w:rPr>
                <w:b/>
                <w:bCs/>
              </w:rPr>
              <w:t>Work Collaboratively</w:t>
            </w:r>
          </w:p>
          <w:p w14:paraId="22913ADC" w14:textId="77777777" w:rsidR="00DF6205" w:rsidRPr="00767A60" w:rsidRDefault="00DF6205" w:rsidP="00DF6205">
            <w:pPr>
              <w:pStyle w:val="TableText"/>
              <w:keepNext/>
            </w:pPr>
            <w:r w:rsidRPr="00767A60">
              <w:t xml:space="preserve">Collaborate with others and value </w:t>
            </w:r>
            <w:r>
              <w:t xml:space="preserve">their contribution </w:t>
            </w:r>
            <w:r w:rsidRPr="00767A60">
              <w:t xml:space="preserve"> </w:t>
            </w:r>
          </w:p>
          <w:p w14:paraId="21178178" w14:textId="77777777" w:rsidR="00DF6205" w:rsidRDefault="00DF6205" w:rsidP="00DF6205">
            <w:pPr>
              <w:pStyle w:val="TableText"/>
              <w:keepNext/>
              <w:rPr>
                <w:b/>
              </w:rPr>
            </w:pPr>
          </w:p>
        </w:tc>
        <w:tc>
          <w:tcPr>
            <w:tcW w:w="4770" w:type="dxa"/>
            <w:tcBorders>
              <w:bottom w:val="single" w:sz="4" w:space="0" w:color="BCBEC0"/>
            </w:tcBorders>
          </w:tcPr>
          <w:p w14:paraId="388BE051" w14:textId="77777777" w:rsidR="00DF6205" w:rsidRDefault="00DF6205" w:rsidP="00DF6205">
            <w:pPr>
              <w:pStyle w:val="TableBullet"/>
            </w:pPr>
            <w:r>
              <w:t>Encourage a culture that recognises the value of collaboration</w:t>
            </w:r>
          </w:p>
          <w:p w14:paraId="69294775" w14:textId="77777777" w:rsidR="00DF6205" w:rsidRDefault="00DF6205" w:rsidP="00DF6205">
            <w:pPr>
              <w:pStyle w:val="TableBullet"/>
            </w:pPr>
            <w:r>
              <w:t>Build cooperation and overcome barriers to information sharing and communication across teams and units</w:t>
            </w:r>
          </w:p>
          <w:p w14:paraId="6FA75102" w14:textId="77777777" w:rsidR="00DF6205" w:rsidRDefault="00DF6205" w:rsidP="00DF6205">
            <w:pPr>
              <w:pStyle w:val="TableBullet"/>
            </w:pPr>
            <w:r>
              <w:t>Share lessons learned across teams and units</w:t>
            </w:r>
          </w:p>
          <w:p w14:paraId="00DB9D16" w14:textId="77777777" w:rsidR="00DF6205" w:rsidRDefault="00DF6205" w:rsidP="00DF6205">
            <w:pPr>
              <w:pStyle w:val="TableBullet"/>
            </w:pPr>
            <w:r>
              <w:t>Identify opportunities to leverage the strengths of others to solve issues and develop better processes and approaches to work</w:t>
            </w:r>
          </w:p>
          <w:p w14:paraId="04260314" w14:textId="77777777" w:rsidR="00DF6205" w:rsidRDefault="00DF6205" w:rsidP="00DF6205">
            <w:pPr>
              <w:pStyle w:val="TableBullet"/>
            </w:pPr>
            <w:r>
              <w:t xml:space="preserve">Actively use collaboration tools, including digital technologies, to engage diverse audiences in solving problems and improving services </w:t>
            </w:r>
          </w:p>
          <w:p w14:paraId="1DCE9D15" w14:textId="77777777" w:rsidR="00DF6205" w:rsidRDefault="00DF6205" w:rsidP="00DF6205">
            <w:pPr>
              <w:pStyle w:val="TableBullet"/>
              <w:numPr>
                <w:ilvl w:val="0"/>
                <w:numId w:val="0"/>
              </w:numPr>
              <w:ind w:left="360"/>
            </w:pPr>
          </w:p>
        </w:tc>
        <w:tc>
          <w:tcPr>
            <w:tcW w:w="1606" w:type="dxa"/>
            <w:tcBorders>
              <w:bottom w:val="single" w:sz="4" w:space="0" w:color="BCBEC0"/>
            </w:tcBorders>
          </w:tcPr>
          <w:p w14:paraId="1A6CE2DB" w14:textId="4150BE94" w:rsidR="00DF6205" w:rsidRDefault="00DF6205" w:rsidP="00DF6205">
            <w:pPr>
              <w:pStyle w:val="TableBullet"/>
              <w:numPr>
                <w:ilvl w:val="0"/>
                <w:numId w:val="0"/>
              </w:numPr>
              <w:jc w:val="both"/>
            </w:pPr>
            <w:r>
              <w:t xml:space="preserve">Adept </w:t>
            </w:r>
          </w:p>
        </w:tc>
      </w:tr>
      <w:tr w:rsidR="00DF6205" w:rsidRPr="00C978B9" w14:paraId="25808434" w14:textId="77777777" w:rsidTr="006D75C8">
        <w:tc>
          <w:tcPr>
            <w:tcW w:w="1406" w:type="dxa"/>
            <w:vMerge/>
            <w:tcBorders>
              <w:bottom w:val="single" w:sz="4" w:space="0" w:color="BCBEC0"/>
            </w:tcBorders>
          </w:tcPr>
          <w:p w14:paraId="347653A9" w14:textId="77777777" w:rsidR="00DF6205" w:rsidRDefault="00DF6205" w:rsidP="00DF6205">
            <w:pPr>
              <w:keepNext/>
              <w:rPr>
                <w:noProof/>
                <w:lang w:eastAsia="en-AU"/>
              </w:rPr>
            </w:pPr>
          </w:p>
        </w:tc>
        <w:tc>
          <w:tcPr>
            <w:tcW w:w="2971" w:type="dxa"/>
            <w:gridSpan w:val="2"/>
            <w:tcBorders>
              <w:bottom w:val="single" w:sz="4" w:space="0" w:color="BCBEC0"/>
            </w:tcBorders>
          </w:tcPr>
          <w:p w14:paraId="3A7437B0" w14:textId="77777777" w:rsidR="00DF6205" w:rsidRPr="00A8226F" w:rsidRDefault="00DF6205" w:rsidP="00DF6205">
            <w:pPr>
              <w:pStyle w:val="TableText"/>
              <w:keepNext/>
              <w:rPr>
                <w:b/>
              </w:rPr>
            </w:pPr>
            <w:r>
              <w:rPr>
                <w:b/>
              </w:rPr>
              <w:t>Influence and Negotiate</w:t>
            </w:r>
          </w:p>
          <w:p w14:paraId="178924BF" w14:textId="77777777" w:rsidR="00DF6205" w:rsidRPr="00A8226F" w:rsidRDefault="00DF6205" w:rsidP="00DF6205">
            <w:pPr>
              <w:pStyle w:val="TableText"/>
              <w:keepNext/>
              <w:rPr>
                <w:b/>
              </w:rPr>
            </w:pPr>
            <w:r>
              <w:t>Gain consensus and commitment from others, and resolve issues and conflicts</w:t>
            </w:r>
          </w:p>
        </w:tc>
        <w:tc>
          <w:tcPr>
            <w:tcW w:w="4770" w:type="dxa"/>
            <w:tcBorders>
              <w:bottom w:val="single" w:sz="4" w:space="0" w:color="BCBEC0"/>
            </w:tcBorders>
          </w:tcPr>
          <w:p w14:paraId="035363A5" w14:textId="77777777" w:rsidR="00DF6205" w:rsidRDefault="00DF6205" w:rsidP="00DF6205">
            <w:pPr>
              <w:pStyle w:val="TableBullet"/>
            </w:pPr>
            <w:r>
              <w:t>Negotiate from an informed and credible position</w:t>
            </w:r>
          </w:p>
          <w:p w14:paraId="26FB3456" w14:textId="77777777" w:rsidR="00DF6205" w:rsidRDefault="00DF6205" w:rsidP="00DF6205">
            <w:pPr>
              <w:pStyle w:val="TableBullet"/>
            </w:pPr>
            <w:r>
              <w:t>Lead and facilitate productive discussions with staff and stakeholders</w:t>
            </w:r>
          </w:p>
          <w:p w14:paraId="0E138057" w14:textId="77777777" w:rsidR="00DF6205" w:rsidRDefault="00DF6205" w:rsidP="00DF6205">
            <w:pPr>
              <w:pStyle w:val="TableBullet"/>
            </w:pPr>
            <w:r>
              <w:t>Encourage others to talk, share and debate ideas to achieve a consensus</w:t>
            </w:r>
          </w:p>
          <w:p w14:paraId="1D2F4CD2" w14:textId="77777777" w:rsidR="00DF6205" w:rsidRDefault="00DF6205" w:rsidP="00DF6205">
            <w:pPr>
              <w:pStyle w:val="TableBullet"/>
            </w:pPr>
            <w:r>
              <w:t>Recognise diverse perspectives and the need for compromise in negotiating mutually agreed outcomes</w:t>
            </w:r>
          </w:p>
          <w:p w14:paraId="3AA2C525" w14:textId="77777777" w:rsidR="00DF6205" w:rsidRDefault="00DF6205" w:rsidP="00DF6205">
            <w:pPr>
              <w:pStyle w:val="TableBullet"/>
            </w:pPr>
            <w:r>
              <w:t>Influence others with a fair and considered approach and sound arguments</w:t>
            </w:r>
          </w:p>
          <w:p w14:paraId="1171E068" w14:textId="77777777" w:rsidR="00DF6205" w:rsidRDefault="00DF6205" w:rsidP="00DF6205">
            <w:pPr>
              <w:pStyle w:val="TableBullet"/>
            </w:pPr>
            <w:r>
              <w:t>Show sensitivity and understanding in resolving conflicts and differences</w:t>
            </w:r>
          </w:p>
          <w:p w14:paraId="58BA9F97" w14:textId="77777777" w:rsidR="00DF6205" w:rsidRDefault="00DF6205" w:rsidP="00DF6205">
            <w:pPr>
              <w:pStyle w:val="TableBullet"/>
            </w:pPr>
            <w:r>
              <w:t>Manage challenging relationships with internal and external stakeholders</w:t>
            </w:r>
          </w:p>
          <w:p w14:paraId="0A894B56" w14:textId="77777777" w:rsidR="00DF6205" w:rsidRDefault="00DF6205" w:rsidP="00DF6205">
            <w:pPr>
              <w:pStyle w:val="TableBullet"/>
            </w:pPr>
            <w:r>
              <w:t>Anticipate and minimise conflict</w:t>
            </w:r>
          </w:p>
        </w:tc>
        <w:tc>
          <w:tcPr>
            <w:tcW w:w="1606" w:type="dxa"/>
            <w:tcBorders>
              <w:bottom w:val="single" w:sz="4" w:space="0" w:color="BCBEC0"/>
            </w:tcBorders>
          </w:tcPr>
          <w:p w14:paraId="0F50B01A" w14:textId="77777777" w:rsidR="00DF6205" w:rsidRDefault="00DF6205" w:rsidP="00DF6205">
            <w:pPr>
              <w:pStyle w:val="TableBullet"/>
              <w:numPr>
                <w:ilvl w:val="0"/>
                <w:numId w:val="0"/>
              </w:numPr>
              <w:jc w:val="both"/>
            </w:pPr>
            <w:r>
              <w:t>Adept</w:t>
            </w:r>
          </w:p>
        </w:tc>
      </w:tr>
      <w:tr w:rsidR="00DF6205" w:rsidRPr="00C978B9" w14:paraId="69B86FE3" w14:textId="77777777" w:rsidTr="006D75C8">
        <w:tc>
          <w:tcPr>
            <w:tcW w:w="1406" w:type="dxa"/>
            <w:vMerge w:val="restart"/>
            <w:tcBorders>
              <w:bottom w:val="single" w:sz="4" w:space="0" w:color="BCBEC0"/>
            </w:tcBorders>
          </w:tcPr>
          <w:p w14:paraId="501BCFCC" w14:textId="77777777" w:rsidR="00DF6205" w:rsidRPr="00C978B9" w:rsidRDefault="00DF6205" w:rsidP="00DF6205">
            <w:pPr>
              <w:keepNext/>
            </w:pPr>
            <w:r w:rsidRPr="00C978B9">
              <w:rPr>
                <w:noProof/>
                <w:lang w:eastAsia="en-AU"/>
              </w:rPr>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5FFAFBB" w14:textId="77777777" w:rsidR="00DF6205" w:rsidRPr="00A8226F" w:rsidRDefault="00DF6205" w:rsidP="00DF6205">
            <w:pPr>
              <w:pStyle w:val="TableText"/>
              <w:keepNext/>
              <w:rPr>
                <w:b/>
              </w:rPr>
            </w:pPr>
            <w:r>
              <w:rPr>
                <w:b/>
              </w:rPr>
              <w:t>Deliver Results</w:t>
            </w:r>
          </w:p>
          <w:p w14:paraId="4D0584FB" w14:textId="77777777" w:rsidR="00DF6205" w:rsidRPr="00AA57E3" w:rsidRDefault="00DF6205" w:rsidP="00DF6205">
            <w:pPr>
              <w:pStyle w:val="TableText"/>
              <w:keepNext/>
            </w:pPr>
            <w:r>
              <w:t>Achieve results through the efficient use of resources and a commitment to quality outcomes</w:t>
            </w:r>
          </w:p>
        </w:tc>
        <w:tc>
          <w:tcPr>
            <w:tcW w:w="4770" w:type="dxa"/>
            <w:tcBorders>
              <w:bottom w:val="single" w:sz="4" w:space="0" w:color="BCBEC0"/>
            </w:tcBorders>
          </w:tcPr>
          <w:p w14:paraId="67CB682C" w14:textId="77777777" w:rsidR="00DF6205" w:rsidRPr="00AA57E3" w:rsidRDefault="00DF6205" w:rsidP="00DF6205">
            <w:pPr>
              <w:pStyle w:val="TableBullet"/>
            </w:pPr>
            <w:r>
              <w:t>Use own and others’ expertise to achieve outcomes, and take responsibility for delivering intended outcomes</w:t>
            </w:r>
          </w:p>
          <w:p w14:paraId="01685BC5" w14:textId="77777777" w:rsidR="00DF6205" w:rsidRPr="00AA57E3" w:rsidRDefault="00DF6205" w:rsidP="00DF6205">
            <w:pPr>
              <w:pStyle w:val="TableBullet"/>
            </w:pPr>
            <w:r>
              <w:t>Make sure staff understand expected goals and acknowledge staff success in achieving these</w:t>
            </w:r>
          </w:p>
          <w:p w14:paraId="1B954ABE" w14:textId="77777777" w:rsidR="00DF6205" w:rsidRPr="00AA57E3" w:rsidRDefault="00DF6205" w:rsidP="00DF6205">
            <w:pPr>
              <w:pStyle w:val="TableBullet"/>
            </w:pPr>
            <w:r>
              <w:t>Identify resource needs and ensure goals are achieved within set budgets and deadlines</w:t>
            </w:r>
          </w:p>
          <w:p w14:paraId="49611B03" w14:textId="77777777" w:rsidR="00DF6205" w:rsidRPr="00AA57E3" w:rsidRDefault="00DF6205" w:rsidP="00DF6205">
            <w:pPr>
              <w:pStyle w:val="TableBullet"/>
            </w:pPr>
            <w:r>
              <w:lastRenderedPageBreak/>
              <w:t>Use business data to evaluate outcomes and inform continuous improvement</w:t>
            </w:r>
          </w:p>
          <w:p w14:paraId="2D562C14" w14:textId="77777777" w:rsidR="00DF6205" w:rsidRPr="00AA57E3" w:rsidRDefault="00DF6205" w:rsidP="00DF6205">
            <w:pPr>
              <w:pStyle w:val="TableBullet"/>
            </w:pPr>
            <w:r>
              <w:t>Identify priorities that need to change and ensure the allocation of resources meets new business needs</w:t>
            </w:r>
          </w:p>
          <w:p w14:paraId="5DE5BF4D" w14:textId="77777777" w:rsidR="00DF6205" w:rsidRPr="00AA57E3" w:rsidRDefault="00DF6205" w:rsidP="00DF6205">
            <w:pPr>
              <w:pStyle w:val="TableBullet"/>
            </w:pPr>
            <w:r>
              <w:t>Ensure that the financial implications of changed priorities are explicit and budgeted for</w:t>
            </w:r>
          </w:p>
        </w:tc>
        <w:tc>
          <w:tcPr>
            <w:tcW w:w="1606" w:type="dxa"/>
            <w:tcBorders>
              <w:bottom w:val="single" w:sz="4" w:space="0" w:color="BCBEC0"/>
            </w:tcBorders>
          </w:tcPr>
          <w:p w14:paraId="51E8C41D" w14:textId="77777777" w:rsidR="00DF6205" w:rsidRDefault="00DF6205" w:rsidP="00DF6205">
            <w:pPr>
              <w:pStyle w:val="TableBullet"/>
              <w:numPr>
                <w:ilvl w:val="0"/>
                <w:numId w:val="0"/>
              </w:numPr>
              <w:jc w:val="both"/>
            </w:pPr>
            <w:r>
              <w:lastRenderedPageBreak/>
              <w:t>Adept</w:t>
            </w:r>
          </w:p>
        </w:tc>
      </w:tr>
      <w:tr w:rsidR="00DF6205" w:rsidRPr="00C978B9" w14:paraId="0BE5C88D" w14:textId="77777777" w:rsidTr="006D75C8">
        <w:tc>
          <w:tcPr>
            <w:tcW w:w="1406" w:type="dxa"/>
            <w:vMerge/>
            <w:tcBorders>
              <w:bottom w:val="single" w:sz="4" w:space="0" w:color="BCBEC0"/>
            </w:tcBorders>
          </w:tcPr>
          <w:p w14:paraId="63A9521F" w14:textId="77777777" w:rsidR="00DF6205" w:rsidRDefault="00DF6205" w:rsidP="00DF6205">
            <w:pPr>
              <w:keepNext/>
              <w:rPr>
                <w:noProof/>
                <w:lang w:eastAsia="en-AU"/>
              </w:rPr>
            </w:pPr>
          </w:p>
        </w:tc>
        <w:tc>
          <w:tcPr>
            <w:tcW w:w="2971" w:type="dxa"/>
            <w:gridSpan w:val="2"/>
            <w:tcBorders>
              <w:bottom w:val="single" w:sz="4" w:space="0" w:color="BCBEC0"/>
            </w:tcBorders>
          </w:tcPr>
          <w:p w14:paraId="71C0565C" w14:textId="77777777" w:rsidR="00DF6205" w:rsidRPr="00A8226F" w:rsidRDefault="00DF6205" w:rsidP="00DF6205">
            <w:pPr>
              <w:pStyle w:val="TableText"/>
              <w:keepNext/>
              <w:rPr>
                <w:b/>
              </w:rPr>
            </w:pPr>
            <w:r>
              <w:rPr>
                <w:b/>
              </w:rPr>
              <w:t>Think and Solve Problems</w:t>
            </w:r>
          </w:p>
          <w:p w14:paraId="7ABE0539" w14:textId="77777777" w:rsidR="00DF6205" w:rsidRPr="00A8226F" w:rsidRDefault="00DF6205" w:rsidP="00DF6205">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083F4CF2" w14:textId="77777777" w:rsidR="00DF6205" w:rsidRDefault="00DF6205" w:rsidP="00DF6205">
            <w:pPr>
              <w:pStyle w:val="TableBullet"/>
            </w:pPr>
            <w:r>
              <w:t>Research and apply critical-thinking techniques in analysing information, identify interrelationships and make recommendations based on relevant evidence</w:t>
            </w:r>
          </w:p>
          <w:p w14:paraId="7F77A4FF" w14:textId="77777777" w:rsidR="00DF6205" w:rsidRDefault="00DF6205" w:rsidP="00DF6205">
            <w:pPr>
              <w:pStyle w:val="TableBullet"/>
            </w:pPr>
            <w:r>
              <w:t xml:space="preserve">Anticipate, </w:t>
            </w:r>
            <w:proofErr w:type="gramStart"/>
            <w:r>
              <w:t>identify</w:t>
            </w:r>
            <w:proofErr w:type="gramEnd"/>
            <w:r>
              <w:t xml:space="preserve"> and address issues and potential problems that may have an impact on organisational objectives and the user experience</w:t>
            </w:r>
          </w:p>
          <w:p w14:paraId="2C01B69C" w14:textId="77777777" w:rsidR="00DF6205" w:rsidRDefault="00DF6205" w:rsidP="00DF6205">
            <w:pPr>
              <w:pStyle w:val="TableBullet"/>
            </w:pPr>
            <w:r>
              <w:t>Apply creative-thinking techniques to generate new ideas and options to address issues and improve the user experience</w:t>
            </w:r>
          </w:p>
          <w:p w14:paraId="58C74EC5" w14:textId="77777777" w:rsidR="00DF6205" w:rsidRDefault="00DF6205" w:rsidP="00DF6205">
            <w:pPr>
              <w:pStyle w:val="TableBullet"/>
            </w:pPr>
            <w:r>
              <w:t>Seek contributions and ideas from people with diverse backgrounds and experience</w:t>
            </w:r>
          </w:p>
          <w:p w14:paraId="7125BC12" w14:textId="77777777" w:rsidR="00DF6205" w:rsidRDefault="00DF6205" w:rsidP="00DF6205">
            <w:pPr>
              <w:pStyle w:val="TableBullet"/>
            </w:pPr>
            <w:r>
              <w:t>Participate in and contribute to team or unit initiatives to resolve common issues or barriers to effectiveness</w:t>
            </w:r>
          </w:p>
          <w:p w14:paraId="4FACFCF1" w14:textId="565455F3" w:rsidR="00DF6205" w:rsidRDefault="00DF6205" w:rsidP="00DF6205">
            <w:pPr>
              <w:pStyle w:val="TableBullet"/>
            </w:pPr>
            <w:r>
              <w:t>Identify and share business process improvements to enhance effectiveness</w:t>
            </w:r>
          </w:p>
        </w:tc>
        <w:tc>
          <w:tcPr>
            <w:tcW w:w="1606" w:type="dxa"/>
            <w:tcBorders>
              <w:bottom w:val="single" w:sz="4" w:space="0" w:color="BCBEC0"/>
            </w:tcBorders>
          </w:tcPr>
          <w:p w14:paraId="3A7093E0" w14:textId="77777777" w:rsidR="00DF6205" w:rsidRDefault="00DF6205" w:rsidP="00DF6205">
            <w:pPr>
              <w:pStyle w:val="TableBullet"/>
              <w:numPr>
                <w:ilvl w:val="0"/>
                <w:numId w:val="0"/>
              </w:numPr>
              <w:jc w:val="both"/>
            </w:pPr>
            <w:r>
              <w:t>Adept</w:t>
            </w:r>
          </w:p>
        </w:tc>
      </w:tr>
      <w:tr w:rsidR="00DF6205" w:rsidRPr="00C978B9" w14:paraId="5D1520D0" w14:textId="77777777" w:rsidTr="006D75C8">
        <w:tc>
          <w:tcPr>
            <w:tcW w:w="1406" w:type="dxa"/>
            <w:tcBorders>
              <w:bottom w:val="single" w:sz="4" w:space="0" w:color="BCBEC0"/>
            </w:tcBorders>
          </w:tcPr>
          <w:p w14:paraId="094B8A57" w14:textId="6FDBDB87" w:rsidR="00DF6205" w:rsidRPr="00C978B9" w:rsidRDefault="00DF6205" w:rsidP="00DF6205">
            <w:pPr>
              <w:keepNext/>
            </w:pPr>
            <w:r w:rsidRPr="00C978B9">
              <w:rPr>
                <w:noProof/>
                <w:lang w:eastAsia="en-AU"/>
              </w:rPr>
              <w:drawing>
                <wp:anchor distT="0" distB="0" distL="114300" distR="114300" simplePos="0" relativeHeight="251662336" behindDoc="1" locked="0" layoutInCell="1" allowOverlap="1" wp14:anchorId="7D1995A1" wp14:editId="45019875">
                  <wp:simplePos x="0" y="0"/>
                  <wp:positionH relativeFrom="column">
                    <wp:posOffset>11430</wp:posOffset>
                  </wp:positionH>
                  <wp:positionV relativeFrom="paragraph">
                    <wp:posOffset>36195</wp:posOffset>
                  </wp:positionV>
                  <wp:extent cx="845388" cy="845388"/>
                  <wp:effectExtent l="0" t="0" r="0" b="0"/>
                  <wp:wrapTight wrapText="bothSides">
                    <wp:wrapPolygon edited="0">
                      <wp:start x="0" y="0"/>
                      <wp:lineTo x="0" y="20935"/>
                      <wp:lineTo x="20935" y="20935"/>
                      <wp:lineTo x="20935" y="0"/>
                      <wp:lineTo x="0" y="0"/>
                    </wp:wrapPolygon>
                  </wp:wrapTight>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45388" cy="845388"/>
                          </a:xfrm>
                          <a:prstGeom prst="rect">
                            <a:avLst/>
                          </a:prstGeom>
                          <a:noFill/>
                          <a:ln>
                            <a:noFill/>
                          </a:ln>
                        </pic:spPr>
                      </pic:pic>
                    </a:graphicData>
                  </a:graphic>
                </wp:anchor>
              </w:drawing>
            </w:r>
          </w:p>
        </w:tc>
        <w:tc>
          <w:tcPr>
            <w:tcW w:w="2971" w:type="dxa"/>
            <w:gridSpan w:val="2"/>
            <w:tcBorders>
              <w:bottom w:val="single" w:sz="4" w:space="0" w:color="BCBEC0"/>
            </w:tcBorders>
          </w:tcPr>
          <w:p w14:paraId="73113EC3" w14:textId="77777777" w:rsidR="00DF6205" w:rsidRPr="00A8226F" w:rsidRDefault="00DF6205" w:rsidP="00DF6205">
            <w:pPr>
              <w:pStyle w:val="TableText"/>
              <w:keepNext/>
              <w:rPr>
                <w:b/>
              </w:rPr>
            </w:pPr>
            <w:r>
              <w:rPr>
                <w:b/>
              </w:rPr>
              <w:t>Project Management</w:t>
            </w:r>
          </w:p>
          <w:p w14:paraId="4BC5E484" w14:textId="77A1C5B5" w:rsidR="00DF6205" w:rsidRPr="00AA57E3" w:rsidRDefault="00DF6205" w:rsidP="00DF6205">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142AAF29" w14:textId="77777777" w:rsidR="00DF6205" w:rsidRDefault="00DF6205" w:rsidP="00DF6205">
            <w:pPr>
              <w:pStyle w:val="TableBullet"/>
            </w:pPr>
            <w:r>
              <w:t>Understand all components of the project management process, including the need to consider change management to realise business benefits</w:t>
            </w:r>
          </w:p>
          <w:p w14:paraId="448E7BDB" w14:textId="77777777" w:rsidR="00DF6205" w:rsidRDefault="00DF6205" w:rsidP="00DF6205">
            <w:pPr>
              <w:pStyle w:val="TableBullet"/>
            </w:pPr>
            <w:r>
              <w:t>Prepare clear project proposals and accurate estimates of required costs and resources</w:t>
            </w:r>
          </w:p>
          <w:p w14:paraId="293250BC" w14:textId="77777777" w:rsidR="00DF6205" w:rsidRDefault="00DF6205" w:rsidP="00DF6205">
            <w:pPr>
              <w:pStyle w:val="TableBullet"/>
            </w:pPr>
            <w:r>
              <w:t>Establish performance outcomes and measures for key project goals, and define monitoring, reporting and communication requirements</w:t>
            </w:r>
          </w:p>
          <w:p w14:paraId="0A4FFD6A" w14:textId="77777777" w:rsidR="00DF6205" w:rsidRDefault="00DF6205" w:rsidP="00DF6205">
            <w:pPr>
              <w:pStyle w:val="TableBullet"/>
            </w:pPr>
            <w:r>
              <w:t>Identify and evaluate risks associated with the project and develop mitigation strategies</w:t>
            </w:r>
          </w:p>
          <w:p w14:paraId="39B97911" w14:textId="77777777" w:rsidR="00DF6205" w:rsidRDefault="00DF6205" w:rsidP="00DF6205">
            <w:pPr>
              <w:pStyle w:val="TableBullet"/>
            </w:pPr>
            <w:r>
              <w:t>Identify and consult stakeholders to inform the project strategy</w:t>
            </w:r>
          </w:p>
          <w:p w14:paraId="1B664570" w14:textId="77777777" w:rsidR="00DF6205" w:rsidRDefault="00DF6205" w:rsidP="00DF6205">
            <w:pPr>
              <w:pStyle w:val="TableBullet"/>
            </w:pPr>
            <w:r>
              <w:t>Communicate the project’s objectives and its expected benefits</w:t>
            </w:r>
          </w:p>
          <w:p w14:paraId="3D829F5F" w14:textId="77777777" w:rsidR="00DF6205" w:rsidRDefault="00DF6205" w:rsidP="00DF6205">
            <w:pPr>
              <w:pStyle w:val="TableBullet"/>
            </w:pPr>
            <w:r>
              <w:t>Monitor the completion of project milestones against goals and take necessary action</w:t>
            </w:r>
          </w:p>
          <w:p w14:paraId="01AA235A" w14:textId="5728D681" w:rsidR="00DF6205" w:rsidRPr="00AA57E3" w:rsidRDefault="00DF6205" w:rsidP="00DF6205">
            <w:pPr>
              <w:pStyle w:val="TableBullet"/>
              <w:numPr>
                <w:ilvl w:val="0"/>
                <w:numId w:val="0"/>
              </w:numPr>
              <w:ind w:left="360" w:hanging="360"/>
            </w:pPr>
            <w:r>
              <w:t>Evaluate progress and identify improvements to inform future projects</w:t>
            </w:r>
          </w:p>
        </w:tc>
        <w:tc>
          <w:tcPr>
            <w:tcW w:w="1606" w:type="dxa"/>
            <w:tcBorders>
              <w:bottom w:val="single" w:sz="4" w:space="0" w:color="BCBEC0"/>
            </w:tcBorders>
          </w:tcPr>
          <w:p w14:paraId="771AE020" w14:textId="54B9E848" w:rsidR="00DF6205" w:rsidRDefault="00DF6205" w:rsidP="00DF6205">
            <w:pPr>
              <w:pStyle w:val="TableBullet"/>
              <w:numPr>
                <w:ilvl w:val="0"/>
                <w:numId w:val="0"/>
              </w:numPr>
              <w:jc w:val="both"/>
            </w:pPr>
            <w:r>
              <w:t>Adept</w:t>
            </w:r>
          </w:p>
        </w:tc>
      </w:tr>
    </w:tbl>
    <w:p w14:paraId="17648B70" w14:textId="0C92A8CB" w:rsidR="00136C3A" w:rsidRDefault="00136C3A" w:rsidP="003927AE"/>
    <w:p w14:paraId="07460B20" w14:textId="77777777" w:rsidR="003927AE" w:rsidRDefault="003927AE" w:rsidP="003927AE">
      <w:pPr>
        <w:pStyle w:val="Heading1"/>
      </w:pPr>
      <w:r>
        <w:lastRenderedPageBreak/>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20DD90"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0E0AE9C"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Act with Integrity</w:t>
            </w:r>
          </w:p>
        </w:tc>
        <w:tc>
          <w:tcPr>
            <w:tcW w:w="4770" w:type="dxa"/>
            <w:tcBorders>
              <w:bottom w:val="single" w:sz="4" w:space="0" w:color="BCBEC0"/>
            </w:tcBorders>
          </w:tcPr>
          <w:p w14:paraId="2A8E21D3" w14:textId="77777777" w:rsidR="002B5704" w:rsidRPr="00AA57E3" w:rsidRDefault="002B5704" w:rsidP="006D75C8">
            <w:r>
              <w:t>Be ethical and professional, and uphold and promote the public sector values</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Intermediate</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Adept</w:t>
            </w:r>
          </w:p>
        </w:tc>
      </w:tr>
      <w:tr w:rsidR="002B5704" w:rsidRPr="00C978B9" w14:paraId="54B93FF8" w14:textId="77777777" w:rsidTr="006D75C8">
        <w:tc>
          <w:tcPr>
            <w:tcW w:w="1406" w:type="dxa"/>
            <w:vMerge/>
            <w:tcBorders>
              <w:bottom w:val="single" w:sz="4" w:space="0" w:color="BCBEC0"/>
            </w:tcBorders>
          </w:tcPr>
          <w:p w14:paraId="5C0A047F" w14:textId="77777777" w:rsidR="002B5704" w:rsidRDefault="002B5704" w:rsidP="006D75C8">
            <w:pPr>
              <w:keepNext/>
              <w:rPr>
                <w:noProof/>
                <w:lang w:eastAsia="en-AU"/>
              </w:rPr>
            </w:pPr>
          </w:p>
        </w:tc>
        <w:tc>
          <w:tcPr>
            <w:tcW w:w="2971" w:type="dxa"/>
            <w:gridSpan w:val="2"/>
            <w:tcBorders>
              <w:bottom w:val="single" w:sz="4" w:space="0" w:color="BCBEC0"/>
            </w:tcBorders>
          </w:tcPr>
          <w:p w14:paraId="075B5861" w14:textId="77777777" w:rsidR="002B5704" w:rsidRPr="00A8226F" w:rsidRDefault="002B5704" w:rsidP="006D75C8">
            <w:r>
              <w:t>Value Diversity and Inclusion</w:t>
            </w:r>
          </w:p>
        </w:tc>
        <w:tc>
          <w:tcPr>
            <w:tcW w:w="4770" w:type="dxa"/>
            <w:tcBorders>
              <w:bottom w:val="single" w:sz="4" w:space="0" w:color="BCBEC0"/>
            </w:tcBorders>
          </w:tcPr>
          <w:p w14:paraId="565A255A" w14:textId="77777777" w:rsidR="002B5704" w:rsidRDefault="002B5704" w:rsidP="006D75C8">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5B57DCAA" w14:textId="77777777" w:rsidR="002B5704" w:rsidRDefault="002B5704" w:rsidP="006D75C8">
            <w:pPr>
              <w:pStyle w:val="TableBullet"/>
              <w:numPr>
                <w:ilvl w:val="0"/>
                <w:numId w:val="0"/>
              </w:numPr>
              <w:jc w:val="both"/>
            </w:pPr>
            <w:r>
              <w:t>Intermediate</w:t>
            </w:r>
          </w:p>
        </w:tc>
      </w:tr>
      <w:tr w:rsidR="002B5704" w:rsidRPr="00C978B9" w14:paraId="548D802E" w14:textId="77777777" w:rsidTr="006D75C8">
        <w:tc>
          <w:tcPr>
            <w:tcW w:w="1406" w:type="dxa"/>
            <w:tcBorders>
              <w:bottom w:val="single" w:sz="4" w:space="0" w:color="BCBEC0"/>
            </w:tcBorders>
          </w:tcPr>
          <w:p w14:paraId="61D8019B" w14:textId="77777777" w:rsidR="002B5704" w:rsidRPr="00C978B9" w:rsidRDefault="002B5704" w:rsidP="006D75C8">
            <w:pPr>
              <w:keepNext/>
            </w:pPr>
            <w:r w:rsidRPr="00C978B9">
              <w:rPr>
                <w:noProof/>
                <w:lang w:eastAsia="en-AU"/>
              </w:rPr>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6C28275" w14:textId="77777777" w:rsidR="002B5704" w:rsidRPr="00AA57E3" w:rsidRDefault="002B5704" w:rsidP="006D75C8">
            <w:r>
              <w:t>Commit to Customer Service</w:t>
            </w:r>
          </w:p>
        </w:tc>
        <w:tc>
          <w:tcPr>
            <w:tcW w:w="4770" w:type="dxa"/>
            <w:tcBorders>
              <w:bottom w:val="single" w:sz="4" w:space="0" w:color="BCBEC0"/>
            </w:tcBorders>
          </w:tcPr>
          <w:p w14:paraId="5F13929A"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0CEBFE75" w14:textId="77777777" w:rsidR="002B5704" w:rsidRDefault="002B5704" w:rsidP="006D75C8">
            <w:pPr>
              <w:pStyle w:val="TableBullet"/>
              <w:numPr>
                <w:ilvl w:val="0"/>
                <w:numId w:val="0"/>
              </w:numPr>
              <w:jc w:val="both"/>
            </w:pPr>
            <w:r>
              <w:t>Adept</w:t>
            </w:r>
          </w:p>
        </w:tc>
      </w:tr>
      <w:tr w:rsidR="002B5704" w:rsidRPr="00C978B9" w14:paraId="4A4683A3" w14:textId="77777777" w:rsidTr="006D75C8">
        <w:tc>
          <w:tcPr>
            <w:tcW w:w="1406" w:type="dxa"/>
            <w:vMerge w:val="restart"/>
            <w:tcBorders>
              <w:bottom w:val="single" w:sz="4" w:space="0" w:color="BCBEC0"/>
            </w:tcBorders>
          </w:tcPr>
          <w:p w14:paraId="68B5A60C"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BB015D8" w14:textId="77777777" w:rsidR="002B5704" w:rsidRPr="00AA57E3" w:rsidRDefault="002B5704" w:rsidP="006D75C8">
            <w:r>
              <w:t>Plan and Prioritise</w:t>
            </w:r>
          </w:p>
        </w:tc>
        <w:tc>
          <w:tcPr>
            <w:tcW w:w="4770" w:type="dxa"/>
            <w:tcBorders>
              <w:bottom w:val="single" w:sz="4" w:space="0" w:color="BCBEC0"/>
            </w:tcBorders>
          </w:tcPr>
          <w:p w14:paraId="4D42C022" w14:textId="77777777" w:rsidR="002B5704" w:rsidRPr="00AA57E3" w:rsidRDefault="002B5704" w:rsidP="006D75C8">
            <w:r>
              <w:t>Plan to achieve priority outcomes and respond flexibly to changing circumstances</w:t>
            </w:r>
          </w:p>
        </w:tc>
        <w:tc>
          <w:tcPr>
            <w:tcW w:w="1606" w:type="dxa"/>
            <w:tcBorders>
              <w:bottom w:val="single" w:sz="4" w:space="0" w:color="BCBEC0"/>
            </w:tcBorders>
          </w:tcPr>
          <w:p w14:paraId="14D1A8D4" w14:textId="77777777" w:rsidR="002B5704" w:rsidRDefault="002B5704" w:rsidP="006D75C8">
            <w:pPr>
              <w:pStyle w:val="TableBullet"/>
              <w:numPr>
                <w:ilvl w:val="0"/>
                <w:numId w:val="0"/>
              </w:numPr>
              <w:jc w:val="both"/>
            </w:pPr>
            <w:r>
              <w:t>Intermediate</w:t>
            </w:r>
          </w:p>
        </w:tc>
      </w:tr>
      <w:tr w:rsidR="002B5704" w:rsidRPr="00C978B9" w14:paraId="1B686BBA" w14:textId="77777777" w:rsidTr="006D75C8">
        <w:tc>
          <w:tcPr>
            <w:tcW w:w="1406" w:type="dxa"/>
            <w:vMerge/>
            <w:tcBorders>
              <w:bottom w:val="single" w:sz="4" w:space="0" w:color="BCBEC0"/>
            </w:tcBorders>
          </w:tcPr>
          <w:p w14:paraId="0E34EE04" w14:textId="77777777" w:rsidR="002B5704" w:rsidRDefault="002B5704" w:rsidP="006D75C8">
            <w:pPr>
              <w:keepNext/>
              <w:rPr>
                <w:noProof/>
                <w:lang w:eastAsia="en-AU"/>
              </w:rPr>
            </w:pPr>
          </w:p>
        </w:tc>
        <w:tc>
          <w:tcPr>
            <w:tcW w:w="2971" w:type="dxa"/>
            <w:gridSpan w:val="2"/>
            <w:tcBorders>
              <w:bottom w:val="single" w:sz="4" w:space="0" w:color="BCBEC0"/>
            </w:tcBorders>
          </w:tcPr>
          <w:p w14:paraId="1F9BD537" w14:textId="77777777" w:rsidR="002B5704" w:rsidRPr="00A8226F" w:rsidRDefault="002B5704" w:rsidP="006D75C8">
            <w:r>
              <w:t>Demonstrate Accountability</w:t>
            </w:r>
          </w:p>
        </w:tc>
        <w:tc>
          <w:tcPr>
            <w:tcW w:w="4770" w:type="dxa"/>
            <w:tcBorders>
              <w:bottom w:val="single" w:sz="4" w:space="0" w:color="BCBEC0"/>
            </w:tcBorders>
          </w:tcPr>
          <w:p w14:paraId="384F5694" w14:textId="77777777" w:rsidR="002B5704" w:rsidRDefault="002B5704" w:rsidP="006D75C8">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56B93D10" w14:textId="77777777" w:rsidR="002B5704" w:rsidRDefault="002B5704" w:rsidP="006D75C8">
            <w:pPr>
              <w:pStyle w:val="TableBullet"/>
              <w:numPr>
                <w:ilvl w:val="0"/>
                <w:numId w:val="0"/>
              </w:numPr>
              <w:jc w:val="both"/>
            </w:pPr>
            <w:r>
              <w:t>Intermediate</w:t>
            </w:r>
          </w:p>
        </w:tc>
      </w:tr>
      <w:tr w:rsidR="002B5704" w:rsidRPr="00C978B9" w14:paraId="0AC512A6" w14:textId="77777777" w:rsidTr="006D75C8">
        <w:tc>
          <w:tcPr>
            <w:tcW w:w="1406" w:type="dxa"/>
            <w:vMerge w:val="restart"/>
            <w:tcBorders>
              <w:bottom w:val="single" w:sz="4" w:space="0" w:color="BCBEC0"/>
            </w:tcBorders>
          </w:tcPr>
          <w:p w14:paraId="0FF97B0A"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0F1F882" w14:textId="77777777" w:rsidR="002B5704" w:rsidRPr="00AA57E3" w:rsidRDefault="002B5704" w:rsidP="006D75C8">
            <w:r>
              <w:t>Finance</w:t>
            </w:r>
          </w:p>
        </w:tc>
        <w:tc>
          <w:tcPr>
            <w:tcW w:w="4770" w:type="dxa"/>
            <w:tcBorders>
              <w:bottom w:val="single" w:sz="4" w:space="0" w:color="BCBEC0"/>
            </w:tcBorders>
          </w:tcPr>
          <w:p w14:paraId="0DD7972E"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22CF6E3E" w14:textId="77777777" w:rsidR="002B5704" w:rsidRDefault="002B5704" w:rsidP="006D75C8">
            <w:pPr>
              <w:pStyle w:val="TableBullet"/>
              <w:numPr>
                <w:ilvl w:val="0"/>
                <w:numId w:val="0"/>
              </w:numPr>
              <w:jc w:val="both"/>
            </w:pPr>
            <w:r>
              <w:t>Intermediate</w:t>
            </w:r>
          </w:p>
        </w:tc>
      </w:tr>
      <w:tr w:rsidR="00811034" w:rsidRPr="00C978B9" w14:paraId="12356E8C" w14:textId="77777777" w:rsidTr="006D75C8">
        <w:tc>
          <w:tcPr>
            <w:tcW w:w="1406" w:type="dxa"/>
            <w:vMerge/>
            <w:tcBorders>
              <w:bottom w:val="single" w:sz="4" w:space="0" w:color="BCBEC0"/>
            </w:tcBorders>
          </w:tcPr>
          <w:p w14:paraId="0264FBDD" w14:textId="77777777" w:rsidR="00811034" w:rsidRPr="00C978B9" w:rsidRDefault="00811034" w:rsidP="00811034">
            <w:pPr>
              <w:keepNext/>
              <w:rPr>
                <w:noProof/>
                <w:lang w:eastAsia="en-AU"/>
              </w:rPr>
            </w:pPr>
          </w:p>
        </w:tc>
        <w:tc>
          <w:tcPr>
            <w:tcW w:w="2971" w:type="dxa"/>
            <w:gridSpan w:val="2"/>
            <w:tcBorders>
              <w:bottom w:val="single" w:sz="4" w:space="0" w:color="BCBEC0"/>
            </w:tcBorders>
          </w:tcPr>
          <w:p w14:paraId="771EFA64" w14:textId="390EB5BA" w:rsidR="00811034" w:rsidRDefault="00811034" w:rsidP="00811034">
            <w:r>
              <w:t>Technology</w:t>
            </w:r>
          </w:p>
        </w:tc>
        <w:tc>
          <w:tcPr>
            <w:tcW w:w="4770" w:type="dxa"/>
            <w:tcBorders>
              <w:bottom w:val="single" w:sz="4" w:space="0" w:color="BCBEC0"/>
            </w:tcBorders>
          </w:tcPr>
          <w:p w14:paraId="7A78B581" w14:textId="045E79F7" w:rsidR="00811034" w:rsidRDefault="00811034" w:rsidP="00811034">
            <w:r>
              <w:t>Understand and use available technologies to maximise efficiencies and effectiveness</w:t>
            </w:r>
          </w:p>
        </w:tc>
        <w:tc>
          <w:tcPr>
            <w:tcW w:w="1606" w:type="dxa"/>
            <w:tcBorders>
              <w:bottom w:val="single" w:sz="4" w:space="0" w:color="BCBEC0"/>
            </w:tcBorders>
          </w:tcPr>
          <w:p w14:paraId="03D80B48" w14:textId="3779A098" w:rsidR="00811034" w:rsidRDefault="00811034" w:rsidP="00811034">
            <w:pPr>
              <w:pStyle w:val="TableBullet"/>
              <w:numPr>
                <w:ilvl w:val="0"/>
                <w:numId w:val="0"/>
              </w:numPr>
              <w:jc w:val="both"/>
            </w:pPr>
            <w:r>
              <w:t>Intermediate</w:t>
            </w:r>
          </w:p>
        </w:tc>
      </w:tr>
      <w:tr w:rsidR="00811034" w:rsidRPr="00C978B9" w14:paraId="7C459D9B" w14:textId="77777777" w:rsidTr="00493C35">
        <w:tc>
          <w:tcPr>
            <w:tcW w:w="1406" w:type="dxa"/>
            <w:vMerge/>
          </w:tcPr>
          <w:p w14:paraId="456920C7" w14:textId="77777777" w:rsidR="00811034" w:rsidRDefault="00811034" w:rsidP="00811034">
            <w:pPr>
              <w:keepNext/>
              <w:rPr>
                <w:noProof/>
                <w:lang w:eastAsia="en-AU"/>
              </w:rPr>
            </w:pPr>
          </w:p>
        </w:tc>
        <w:tc>
          <w:tcPr>
            <w:tcW w:w="2971" w:type="dxa"/>
            <w:gridSpan w:val="2"/>
          </w:tcPr>
          <w:p w14:paraId="188C5FA9" w14:textId="77777777" w:rsidR="00811034" w:rsidRDefault="00811034" w:rsidP="00811034">
            <w:r>
              <w:t xml:space="preserve">Procurement and Contract Management </w:t>
            </w:r>
          </w:p>
          <w:p w14:paraId="6D1B4E27" w14:textId="625ACB50" w:rsidR="00811034" w:rsidRPr="00A8226F" w:rsidRDefault="00811034" w:rsidP="00811034"/>
        </w:tc>
        <w:tc>
          <w:tcPr>
            <w:tcW w:w="4770" w:type="dxa"/>
          </w:tcPr>
          <w:p w14:paraId="4B922288" w14:textId="300D640F" w:rsidR="00811034" w:rsidRDefault="00811034" w:rsidP="009F70B5">
            <w:r>
              <w:t>Understand and apply procurement processes to ensure effective purchasing and contract performance.</w:t>
            </w:r>
          </w:p>
        </w:tc>
        <w:tc>
          <w:tcPr>
            <w:tcW w:w="1606" w:type="dxa"/>
          </w:tcPr>
          <w:p w14:paraId="404398B1" w14:textId="656FEADD" w:rsidR="00811034" w:rsidRDefault="00811034" w:rsidP="00811034">
            <w:pPr>
              <w:pStyle w:val="TableBullet"/>
              <w:numPr>
                <w:ilvl w:val="0"/>
                <w:numId w:val="0"/>
              </w:numPr>
              <w:jc w:val="both"/>
            </w:pPr>
            <w:r>
              <w:t xml:space="preserve">Intermediate </w:t>
            </w:r>
          </w:p>
        </w:tc>
      </w:tr>
      <w:tr w:rsidR="00811034" w:rsidRPr="00C978B9" w14:paraId="2CB60B31" w14:textId="77777777" w:rsidTr="00493C35">
        <w:trPr>
          <w:trHeight w:val="72"/>
        </w:trPr>
        <w:tc>
          <w:tcPr>
            <w:tcW w:w="1406" w:type="dxa"/>
            <w:vMerge w:val="restart"/>
          </w:tcPr>
          <w:p w14:paraId="4AFF8412" w14:textId="7DC9F81C" w:rsidR="00811034" w:rsidRDefault="00811034" w:rsidP="00811034">
            <w:pPr>
              <w:keepNext/>
              <w:rPr>
                <w:noProof/>
                <w:lang w:eastAsia="en-AU"/>
              </w:rPr>
            </w:pPr>
            <w:r w:rsidRPr="00D66A33">
              <w:rPr>
                <w:noProof/>
                <w:lang w:eastAsia="en-AU"/>
              </w:rPr>
              <w:drawing>
                <wp:inline distT="0" distB="0" distL="0" distR="0" wp14:anchorId="48405490" wp14:editId="66F90508">
                  <wp:extent cx="847725" cy="847725"/>
                  <wp:effectExtent l="0" t="0" r="9525" b="9525"/>
                  <wp:docPr id="2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Pr>
          <w:p w14:paraId="477A8865" w14:textId="0BC9E24E" w:rsidR="00811034" w:rsidRDefault="00811034" w:rsidP="00811034">
            <w:r w:rsidRPr="00D848E9">
              <w:rPr>
                <w:bCs/>
              </w:rPr>
              <w:t>Manage and Develop People</w:t>
            </w:r>
          </w:p>
        </w:tc>
        <w:tc>
          <w:tcPr>
            <w:tcW w:w="4770" w:type="dxa"/>
          </w:tcPr>
          <w:p w14:paraId="5AFB8D52" w14:textId="77777777" w:rsidR="00811034" w:rsidRDefault="00811034" w:rsidP="00811034">
            <w:r>
              <w:t xml:space="preserve">Engage and motivate staff, and develop capability and potential in others </w:t>
            </w:r>
          </w:p>
          <w:p w14:paraId="42CF6D13" w14:textId="77777777" w:rsidR="00811034" w:rsidRDefault="00811034" w:rsidP="00811034"/>
        </w:tc>
        <w:tc>
          <w:tcPr>
            <w:tcW w:w="1606" w:type="dxa"/>
          </w:tcPr>
          <w:p w14:paraId="2A983856" w14:textId="7F696B76" w:rsidR="00811034" w:rsidRDefault="00811034" w:rsidP="00811034">
            <w:pPr>
              <w:pStyle w:val="TableBullet"/>
              <w:numPr>
                <w:ilvl w:val="0"/>
                <w:numId w:val="0"/>
              </w:numPr>
              <w:jc w:val="both"/>
            </w:pPr>
            <w:r>
              <w:t xml:space="preserve">Intermediate </w:t>
            </w:r>
          </w:p>
        </w:tc>
      </w:tr>
      <w:tr w:rsidR="00811034" w:rsidRPr="00C978B9" w14:paraId="2BD86714" w14:textId="77777777" w:rsidTr="00493C35">
        <w:trPr>
          <w:trHeight w:val="71"/>
        </w:trPr>
        <w:tc>
          <w:tcPr>
            <w:tcW w:w="1406" w:type="dxa"/>
            <w:vMerge/>
          </w:tcPr>
          <w:p w14:paraId="5A52FACA" w14:textId="77777777" w:rsidR="00811034" w:rsidRDefault="00811034" w:rsidP="00811034">
            <w:pPr>
              <w:keepNext/>
              <w:rPr>
                <w:noProof/>
                <w:lang w:eastAsia="en-AU"/>
              </w:rPr>
            </w:pPr>
          </w:p>
        </w:tc>
        <w:tc>
          <w:tcPr>
            <w:tcW w:w="2971" w:type="dxa"/>
            <w:gridSpan w:val="2"/>
          </w:tcPr>
          <w:p w14:paraId="0A4C848F" w14:textId="77777777" w:rsidR="00811034" w:rsidRDefault="00811034" w:rsidP="00811034">
            <w:r w:rsidRPr="00D66A33">
              <w:t>Optimise Business Outcomes</w:t>
            </w:r>
          </w:p>
          <w:p w14:paraId="3C6BF040" w14:textId="77777777" w:rsidR="00811034" w:rsidRDefault="00811034" w:rsidP="00811034"/>
        </w:tc>
        <w:tc>
          <w:tcPr>
            <w:tcW w:w="4770" w:type="dxa"/>
          </w:tcPr>
          <w:p w14:paraId="34860AA3" w14:textId="77777777" w:rsidR="00811034" w:rsidRDefault="00811034" w:rsidP="00811034">
            <w:r w:rsidRPr="00D66A33">
              <w:t>Manage people and resources effectively to achieve public value</w:t>
            </w:r>
          </w:p>
          <w:p w14:paraId="13EC8B10" w14:textId="77777777" w:rsidR="00811034" w:rsidRDefault="00811034" w:rsidP="00811034"/>
        </w:tc>
        <w:tc>
          <w:tcPr>
            <w:tcW w:w="1606" w:type="dxa"/>
          </w:tcPr>
          <w:p w14:paraId="749FA70C" w14:textId="1552DAE5" w:rsidR="00811034" w:rsidRDefault="00811034" w:rsidP="00811034">
            <w:pPr>
              <w:pStyle w:val="TableBullet"/>
              <w:numPr>
                <w:ilvl w:val="0"/>
                <w:numId w:val="0"/>
              </w:numPr>
              <w:jc w:val="both"/>
            </w:pPr>
            <w:r>
              <w:t xml:space="preserve">Intermediate </w:t>
            </w:r>
          </w:p>
        </w:tc>
      </w:tr>
      <w:tr w:rsidR="00811034" w:rsidRPr="00C978B9" w14:paraId="0F2FBD46" w14:textId="77777777" w:rsidTr="00493C35">
        <w:trPr>
          <w:trHeight w:val="71"/>
        </w:trPr>
        <w:tc>
          <w:tcPr>
            <w:tcW w:w="1406" w:type="dxa"/>
            <w:vMerge/>
          </w:tcPr>
          <w:p w14:paraId="27F73D83" w14:textId="77777777" w:rsidR="00811034" w:rsidRDefault="00811034" w:rsidP="00811034">
            <w:pPr>
              <w:keepNext/>
              <w:rPr>
                <w:noProof/>
                <w:lang w:eastAsia="en-AU"/>
              </w:rPr>
            </w:pPr>
          </w:p>
        </w:tc>
        <w:tc>
          <w:tcPr>
            <w:tcW w:w="2971" w:type="dxa"/>
            <w:gridSpan w:val="2"/>
          </w:tcPr>
          <w:p w14:paraId="52FF9CDC" w14:textId="26A44834" w:rsidR="00811034" w:rsidRDefault="00811034" w:rsidP="00811034">
            <w:r w:rsidRPr="00D66A33">
              <w:t>Inspire Direction and Purpose</w:t>
            </w:r>
          </w:p>
        </w:tc>
        <w:tc>
          <w:tcPr>
            <w:tcW w:w="4770" w:type="dxa"/>
          </w:tcPr>
          <w:p w14:paraId="0772B189" w14:textId="77777777" w:rsidR="00811034" w:rsidRDefault="00811034" w:rsidP="00811034">
            <w:r w:rsidRPr="00D66A33">
              <w:t xml:space="preserve">Communicate goals, </w:t>
            </w:r>
            <w:proofErr w:type="gramStart"/>
            <w:r w:rsidRPr="00D66A33">
              <w:t>priorities</w:t>
            </w:r>
            <w:proofErr w:type="gramEnd"/>
            <w:r w:rsidRPr="00D66A33">
              <w:t xml:space="preserve"> and vision, and recognise achievements</w:t>
            </w:r>
          </w:p>
          <w:p w14:paraId="33318EB2" w14:textId="77777777" w:rsidR="00811034" w:rsidRDefault="00811034" w:rsidP="00811034"/>
        </w:tc>
        <w:tc>
          <w:tcPr>
            <w:tcW w:w="1606" w:type="dxa"/>
          </w:tcPr>
          <w:p w14:paraId="0F3C164A" w14:textId="5611828D" w:rsidR="00811034" w:rsidRDefault="00811034" w:rsidP="00811034">
            <w:pPr>
              <w:pStyle w:val="TableBullet"/>
              <w:numPr>
                <w:ilvl w:val="0"/>
                <w:numId w:val="0"/>
              </w:numPr>
              <w:jc w:val="both"/>
            </w:pPr>
            <w:r>
              <w:t>Intermediate</w:t>
            </w:r>
          </w:p>
        </w:tc>
      </w:tr>
      <w:tr w:rsidR="00811034" w:rsidRPr="00C978B9" w14:paraId="06DCA92E" w14:textId="77777777" w:rsidTr="006D75C8">
        <w:trPr>
          <w:trHeight w:val="71"/>
        </w:trPr>
        <w:tc>
          <w:tcPr>
            <w:tcW w:w="1406" w:type="dxa"/>
            <w:vMerge/>
            <w:tcBorders>
              <w:bottom w:val="single" w:sz="4" w:space="0" w:color="BCBEC0"/>
            </w:tcBorders>
          </w:tcPr>
          <w:p w14:paraId="4DF465CC" w14:textId="77777777" w:rsidR="00811034" w:rsidRDefault="00811034" w:rsidP="00811034">
            <w:pPr>
              <w:keepNext/>
              <w:rPr>
                <w:noProof/>
                <w:lang w:eastAsia="en-AU"/>
              </w:rPr>
            </w:pPr>
          </w:p>
        </w:tc>
        <w:tc>
          <w:tcPr>
            <w:tcW w:w="2971" w:type="dxa"/>
            <w:gridSpan w:val="2"/>
            <w:tcBorders>
              <w:bottom w:val="single" w:sz="4" w:space="0" w:color="BCBEC0"/>
            </w:tcBorders>
          </w:tcPr>
          <w:p w14:paraId="78CA3462" w14:textId="77777777" w:rsidR="00811034" w:rsidRDefault="00811034" w:rsidP="00811034">
            <w:r>
              <w:t xml:space="preserve">Manage Reform and Change </w:t>
            </w:r>
          </w:p>
          <w:p w14:paraId="33F212E9" w14:textId="77777777" w:rsidR="00811034" w:rsidRDefault="00811034" w:rsidP="00811034"/>
        </w:tc>
        <w:tc>
          <w:tcPr>
            <w:tcW w:w="4770" w:type="dxa"/>
            <w:tcBorders>
              <w:bottom w:val="single" w:sz="4" w:space="0" w:color="BCBEC0"/>
            </w:tcBorders>
          </w:tcPr>
          <w:p w14:paraId="004899A7" w14:textId="77777777" w:rsidR="00811034" w:rsidRDefault="00811034" w:rsidP="00811034">
            <w:pPr>
              <w:pStyle w:val="TableBullet"/>
              <w:numPr>
                <w:ilvl w:val="0"/>
                <w:numId w:val="0"/>
              </w:numPr>
              <w:ind w:left="360" w:hanging="360"/>
              <w:rPr>
                <w:rFonts w:cs="Arial"/>
              </w:rPr>
            </w:pPr>
            <w:r w:rsidRPr="00D66A33">
              <w:rPr>
                <w:rFonts w:cs="Arial"/>
              </w:rPr>
              <w:t>Support teams in developing new ways of working</w:t>
            </w:r>
          </w:p>
          <w:p w14:paraId="7C3B4D7E" w14:textId="77777777" w:rsidR="00811034" w:rsidRDefault="00811034" w:rsidP="00811034">
            <w:pPr>
              <w:pStyle w:val="TableBullet"/>
              <w:numPr>
                <w:ilvl w:val="0"/>
                <w:numId w:val="0"/>
              </w:numPr>
              <w:ind w:left="360" w:hanging="360"/>
              <w:rPr>
                <w:rFonts w:cs="Arial"/>
              </w:rPr>
            </w:pPr>
            <w:r w:rsidRPr="00D66A33">
              <w:rPr>
                <w:rFonts w:cs="Arial"/>
              </w:rPr>
              <w:t>and generating innovative ideas to approach</w:t>
            </w:r>
          </w:p>
          <w:p w14:paraId="0A18D2F7" w14:textId="77777777" w:rsidR="00811034" w:rsidRPr="00D66A33" w:rsidRDefault="00811034" w:rsidP="00811034">
            <w:pPr>
              <w:pStyle w:val="TableBullet"/>
              <w:numPr>
                <w:ilvl w:val="0"/>
                <w:numId w:val="0"/>
              </w:numPr>
              <w:ind w:left="360" w:hanging="360"/>
              <w:rPr>
                <w:rFonts w:cs="Arial"/>
              </w:rPr>
            </w:pPr>
            <w:r w:rsidRPr="00D66A33">
              <w:rPr>
                <w:rFonts w:cs="Arial"/>
              </w:rPr>
              <w:t>challenges</w:t>
            </w:r>
          </w:p>
          <w:p w14:paraId="68CC3947" w14:textId="77777777" w:rsidR="00811034" w:rsidRDefault="00811034" w:rsidP="00811034"/>
        </w:tc>
        <w:tc>
          <w:tcPr>
            <w:tcW w:w="1606" w:type="dxa"/>
            <w:tcBorders>
              <w:bottom w:val="single" w:sz="4" w:space="0" w:color="BCBEC0"/>
            </w:tcBorders>
          </w:tcPr>
          <w:p w14:paraId="7DBE4151" w14:textId="7561F6B7" w:rsidR="00811034" w:rsidRDefault="00811034" w:rsidP="00811034">
            <w:pPr>
              <w:pStyle w:val="TableBullet"/>
              <w:numPr>
                <w:ilvl w:val="0"/>
                <w:numId w:val="0"/>
              </w:numPr>
              <w:jc w:val="both"/>
            </w:pPr>
            <w:r>
              <w:t>Intermediate</w:t>
            </w:r>
          </w:p>
        </w:tc>
      </w:tr>
    </w:tbl>
    <w:p w14:paraId="09C45C02" w14:textId="77777777" w:rsidR="004D15E4" w:rsidRPr="003927AE" w:rsidRDefault="004D15E4" w:rsidP="003927AE"/>
    <w:sectPr w:rsidR="004D15E4" w:rsidRPr="003927AE" w:rsidSect="009D747B">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D514" w14:textId="77777777" w:rsidR="00452447" w:rsidRDefault="00452447" w:rsidP="00BB532F">
      <w:pPr>
        <w:spacing w:after="0" w:line="240" w:lineRule="auto"/>
      </w:pPr>
      <w:r>
        <w:separator/>
      </w:r>
    </w:p>
  </w:endnote>
  <w:endnote w:type="continuationSeparator" w:id="0">
    <w:p w14:paraId="5AA2ED77" w14:textId="77777777" w:rsidR="00452447" w:rsidRDefault="0045244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3945" w14:textId="77777777" w:rsidR="00853C6F" w:rsidRDefault="0085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0523BAE3" w:rsidR="00C03AFD" w:rsidRDefault="00C03AFD" w:rsidP="00C03AFD">
          <w:pPr>
            <w:pStyle w:val="Footer"/>
          </w:pPr>
          <w:r w:rsidRPr="00C03AFD">
            <w:rPr>
              <w:color w:val="928B81"/>
              <w:sz w:val="18"/>
            </w:rPr>
            <w:t xml:space="preserve">Role </w:t>
          </w:r>
          <w:r w:rsidR="00220F7F" w:rsidRPr="00C03AFD">
            <w:rPr>
              <w:color w:val="928B81"/>
              <w:sz w:val="18"/>
            </w:rPr>
            <w:t>Description</w:t>
          </w:r>
          <w:r w:rsidR="00220F7F">
            <w:rPr>
              <w:color w:val="928B81"/>
              <w:sz w:val="18"/>
            </w:rPr>
            <w:t xml:space="preserve"> Senior</w:t>
          </w:r>
          <w:r w:rsidR="00443BCB" w:rsidRPr="00443BCB">
            <w:rPr>
              <w:b/>
              <w:color w:val="928B81"/>
              <w:sz w:val="18"/>
            </w:rPr>
            <w:t xml:space="preserve"> Advisor</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8293B">
            <w:rPr>
              <w:noProof/>
              <w:color w:val="928B81"/>
              <w:sz w:val="18"/>
              <w:lang w:eastAsia="en-AU"/>
            </w:rPr>
            <w:t>6</w:t>
          </w:r>
          <w:r w:rsidRPr="00C03AFD">
            <w:rPr>
              <w:noProof/>
              <w:color w:val="928B81"/>
              <w:sz w:val="18"/>
              <w:lang w:eastAsia="en-AU"/>
            </w:rPr>
            <w:fldChar w:fldCharType="end"/>
          </w:r>
        </w:p>
      </w:tc>
      <w:tc>
        <w:tcPr>
          <w:tcW w:w="2350" w:type="pct"/>
        </w:tcPr>
        <w:p w14:paraId="6D9175BC" w14:textId="55D993D3" w:rsidR="00C03AFD" w:rsidRDefault="00853C6F" w:rsidP="00C03AFD">
          <w:pPr>
            <w:pStyle w:val="Footer"/>
            <w:jc w:val="right"/>
          </w:pPr>
          <w:r>
            <w:rPr>
              <w:noProof/>
              <w:lang w:eastAsia="en-AU"/>
            </w:rPr>
            <w:drawing>
              <wp:inline distT="0" distB="0" distL="0" distR="0" wp14:anchorId="1708DEE5" wp14:editId="4A5BB77B">
                <wp:extent cx="432000" cy="479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9361036"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8293B">
            <w:rPr>
              <w:noProof/>
              <w:lang w:eastAsia="en-AU"/>
            </w:rPr>
            <w:t>1</w:t>
          </w:r>
          <w:r>
            <w:rPr>
              <w:noProof/>
              <w:lang w:eastAsia="en-AU"/>
            </w:rPr>
            <w:fldChar w:fldCharType="end"/>
          </w:r>
        </w:p>
      </w:tc>
      <w:tc>
        <w:tcPr>
          <w:tcW w:w="875" w:type="dxa"/>
        </w:tcPr>
        <w:p w14:paraId="5F21B46F" w14:textId="748D9AD7" w:rsidR="00BB532F" w:rsidRDefault="00853C6F" w:rsidP="00BD7BA7">
          <w:pPr>
            <w:pStyle w:val="Footer"/>
            <w:jc w:val="right"/>
          </w:pPr>
          <w:r>
            <w:rPr>
              <w:noProof/>
              <w:lang w:eastAsia="en-AU"/>
            </w:rPr>
            <w:drawing>
              <wp:inline distT="0" distB="0" distL="0" distR="0" wp14:anchorId="777A2E33" wp14:editId="254B63B9">
                <wp:extent cx="432000" cy="4798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509B" w14:textId="77777777" w:rsidR="00452447" w:rsidRDefault="00452447" w:rsidP="00BB532F">
      <w:pPr>
        <w:spacing w:after="0" w:line="240" w:lineRule="auto"/>
      </w:pPr>
      <w:r>
        <w:separator/>
      </w:r>
    </w:p>
  </w:footnote>
  <w:footnote w:type="continuationSeparator" w:id="0">
    <w:p w14:paraId="5BB10BA2" w14:textId="77777777" w:rsidR="00452447" w:rsidRDefault="0045244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310A" w14:textId="77777777" w:rsidR="00853C6F" w:rsidRDefault="0085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9A17" w14:textId="77777777" w:rsidR="00853C6F" w:rsidRDefault="0085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Senior Advisor</w:t>
          </w:r>
        </w:p>
      </w:tc>
      <w:tc>
        <w:tcPr>
          <w:tcW w:w="3688" w:type="dxa"/>
        </w:tcPr>
        <w:p w14:paraId="5CC96BCF" w14:textId="1BCDA4EE" w:rsidR="000477E1" w:rsidRPr="000477E1" w:rsidRDefault="00853C6F" w:rsidP="00030565">
          <w:pPr>
            <w:jc w:val="right"/>
          </w:pPr>
          <w:r>
            <w:rPr>
              <w:noProof/>
              <w:lang w:eastAsia="en-AU"/>
            </w:rPr>
            <w:drawing>
              <wp:inline distT="0" distB="0" distL="0" distR="0" wp14:anchorId="3B3D10CF" wp14:editId="30BAA094">
                <wp:extent cx="432000" cy="47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7776"/>
    <w:multiLevelType w:val="hybridMultilevel"/>
    <w:tmpl w:val="97E6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D3EBC"/>
    <w:multiLevelType w:val="hybridMultilevel"/>
    <w:tmpl w:val="CDD2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5405"/>
    <w:multiLevelType w:val="hybridMultilevel"/>
    <w:tmpl w:val="3C44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63BE"/>
    <w:multiLevelType w:val="hybridMultilevel"/>
    <w:tmpl w:val="700E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94084"/>
    <w:multiLevelType w:val="hybridMultilevel"/>
    <w:tmpl w:val="7D56F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7874D2"/>
    <w:multiLevelType w:val="hybridMultilevel"/>
    <w:tmpl w:val="FFE22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06094A"/>
    <w:multiLevelType w:val="hybridMultilevel"/>
    <w:tmpl w:val="09C8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815E3E"/>
    <w:multiLevelType w:val="hybridMultilevel"/>
    <w:tmpl w:val="518E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314617"/>
    <w:multiLevelType w:val="hybridMultilevel"/>
    <w:tmpl w:val="3264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1687736">
    <w:abstractNumId w:val="0"/>
  </w:num>
  <w:num w:numId="2" w16cid:durableId="592711586">
    <w:abstractNumId w:val="3"/>
  </w:num>
  <w:num w:numId="3" w16cid:durableId="1372918675">
    <w:abstractNumId w:val="6"/>
  </w:num>
  <w:num w:numId="4" w16cid:durableId="73205128">
    <w:abstractNumId w:val="10"/>
  </w:num>
  <w:num w:numId="5" w16cid:durableId="77139001">
    <w:abstractNumId w:val="0"/>
  </w:num>
  <w:num w:numId="6" w16cid:durableId="1387608925">
    <w:abstractNumId w:val="0"/>
  </w:num>
  <w:num w:numId="7" w16cid:durableId="217009428">
    <w:abstractNumId w:val="0"/>
  </w:num>
  <w:num w:numId="8" w16cid:durableId="219560677">
    <w:abstractNumId w:val="0"/>
  </w:num>
  <w:num w:numId="9" w16cid:durableId="126944921">
    <w:abstractNumId w:val="0"/>
  </w:num>
  <w:num w:numId="10" w16cid:durableId="1456559064">
    <w:abstractNumId w:val="1"/>
  </w:num>
  <w:num w:numId="11" w16cid:durableId="1607998123">
    <w:abstractNumId w:val="5"/>
  </w:num>
  <w:num w:numId="12" w16cid:durableId="752629227">
    <w:abstractNumId w:val="9"/>
  </w:num>
  <w:num w:numId="13" w16cid:durableId="1696535594">
    <w:abstractNumId w:val="11"/>
  </w:num>
  <w:num w:numId="14" w16cid:durableId="1259406463">
    <w:abstractNumId w:val="12"/>
  </w:num>
  <w:num w:numId="15" w16cid:durableId="921765767">
    <w:abstractNumId w:val="7"/>
  </w:num>
  <w:num w:numId="16" w16cid:durableId="2057965848">
    <w:abstractNumId w:val="2"/>
  </w:num>
  <w:num w:numId="17" w16cid:durableId="354498302">
    <w:abstractNumId w:val="4"/>
  </w:num>
  <w:num w:numId="18" w16cid:durableId="1306928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13C9"/>
    <w:rsid w:val="0003263C"/>
    <w:rsid w:val="00035639"/>
    <w:rsid w:val="0003564E"/>
    <w:rsid w:val="00037FD5"/>
    <w:rsid w:val="000411F6"/>
    <w:rsid w:val="000477E1"/>
    <w:rsid w:val="00060B58"/>
    <w:rsid w:val="000645C8"/>
    <w:rsid w:val="00067161"/>
    <w:rsid w:val="00071332"/>
    <w:rsid w:val="00096E4D"/>
    <w:rsid w:val="000A2621"/>
    <w:rsid w:val="000C00E5"/>
    <w:rsid w:val="000C3CC8"/>
    <w:rsid w:val="000D12B3"/>
    <w:rsid w:val="000D799A"/>
    <w:rsid w:val="000E4227"/>
    <w:rsid w:val="000F231F"/>
    <w:rsid w:val="00104EC7"/>
    <w:rsid w:val="001336E8"/>
    <w:rsid w:val="0013413E"/>
    <w:rsid w:val="00134F5E"/>
    <w:rsid w:val="00136C3A"/>
    <w:rsid w:val="00151028"/>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6561"/>
    <w:rsid w:val="001F2503"/>
    <w:rsid w:val="001F4B2B"/>
    <w:rsid w:val="00201E8B"/>
    <w:rsid w:val="00205A8A"/>
    <w:rsid w:val="00211F68"/>
    <w:rsid w:val="00220F7F"/>
    <w:rsid w:val="002309B5"/>
    <w:rsid w:val="00237421"/>
    <w:rsid w:val="00240A8E"/>
    <w:rsid w:val="00263ACB"/>
    <w:rsid w:val="00266912"/>
    <w:rsid w:val="00275587"/>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3CBC"/>
    <w:rsid w:val="00336011"/>
    <w:rsid w:val="00340ADC"/>
    <w:rsid w:val="00343491"/>
    <w:rsid w:val="00345199"/>
    <w:rsid w:val="00345806"/>
    <w:rsid w:val="00346D51"/>
    <w:rsid w:val="00351826"/>
    <w:rsid w:val="00351C3F"/>
    <w:rsid w:val="00351D50"/>
    <w:rsid w:val="00361F4E"/>
    <w:rsid w:val="00372A99"/>
    <w:rsid w:val="00373737"/>
    <w:rsid w:val="00375289"/>
    <w:rsid w:val="00377118"/>
    <w:rsid w:val="003927AE"/>
    <w:rsid w:val="0039395B"/>
    <w:rsid w:val="00397FBC"/>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317C"/>
    <w:rsid w:val="00436621"/>
    <w:rsid w:val="00442732"/>
    <w:rsid w:val="00442F87"/>
    <w:rsid w:val="00443BCB"/>
    <w:rsid w:val="00452447"/>
    <w:rsid w:val="0045299A"/>
    <w:rsid w:val="00466287"/>
    <w:rsid w:val="0047547E"/>
    <w:rsid w:val="00477EB1"/>
    <w:rsid w:val="00492AA6"/>
    <w:rsid w:val="00493C35"/>
    <w:rsid w:val="004951A1"/>
    <w:rsid w:val="00497EC1"/>
    <w:rsid w:val="004C45E2"/>
    <w:rsid w:val="004D0C22"/>
    <w:rsid w:val="004D15E4"/>
    <w:rsid w:val="004D20F2"/>
    <w:rsid w:val="004D27C8"/>
    <w:rsid w:val="004D68A6"/>
    <w:rsid w:val="004E44A5"/>
    <w:rsid w:val="004E474E"/>
    <w:rsid w:val="004E5801"/>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2A0"/>
    <w:rsid w:val="00623950"/>
    <w:rsid w:val="00626492"/>
    <w:rsid w:val="006275BA"/>
    <w:rsid w:val="0063544E"/>
    <w:rsid w:val="00640189"/>
    <w:rsid w:val="006538BF"/>
    <w:rsid w:val="0067364E"/>
    <w:rsid w:val="00674D4C"/>
    <w:rsid w:val="00682851"/>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2BAD"/>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7F0555"/>
    <w:rsid w:val="00801E41"/>
    <w:rsid w:val="008044BB"/>
    <w:rsid w:val="00805561"/>
    <w:rsid w:val="00806FE1"/>
    <w:rsid w:val="00807ED1"/>
    <w:rsid w:val="00811034"/>
    <w:rsid w:val="00817B11"/>
    <w:rsid w:val="008203EE"/>
    <w:rsid w:val="008267A0"/>
    <w:rsid w:val="008308A7"/>
    <w:rsid w:val="00833B2E"/>
    <w:rsid w:val="0083547C"/>
    <w:rsid w:val="00843197"/>
    <w:rsid w:val="008476E6"/>
    <w:rsid w:val="00853C6F"/>
    <w:rsid w:val="0085706D"/>
    <w:rsid w:val="00860904"/>
    <w:rsid w:val="00861804"/>
    <w:rsid w:val="00865E50"/>
    <w:rsid w:val="008830A7"/>
    <w:rsid w:val="00894A73"/>
    <w:rsid w:val="00894DBE"/>
    <w:rsid w:val="00895190"/>
    <w:rsid w:val="008A0EBB"/>
    <w:rsid w:val="008A13AC"/>
    <w:rsid w:val="008A18D2"/>
    <w:rsid w:val="008A65FC"/>
    <w:rsid w:val="008B2BE2"/>
    <w:rsid w:val="008B74C1"/>
    <w:rsid w:val="008C0B4D"/>
    <w:rsid w:val="008C37C8"/>
    <w:rsid w:val="008C3F33"/>
    <w:rsid w:val="008D7766"/>
    <w:rsid w:val="008E054D"/>
    <w:rsid w:val="008E08E3"/>
    <w:rsid w:val="008F153A"/>
    <w:rsid w:val="008F23E9"/>
    <w:rsid w:val="00902EC0"/>
    <w:rsid w:val="009077E2"/>
    <w:rsid w:val="00910F45"/>
    <w:rsid w:val="00911725"/>
    <w:rsid w:val="00917E5E"/>
    <w:rsid w:val="00926AD1"/>
    <w:rsid w:val="009351E9"/>
    <w:rsid w:val="00935EE2"/>
    <w:rsid w:val="00940C04"/>
    <w:rsid w:val="009478AB"/>
    <w:rsid w:val="009523EC"/>
    <w:rsid w:val="00953610"/>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E554E"/>
    <w:rsid w:val="009F61B1"/>
    <w:rsid w:val="009F70B5"/>
    <w:rsid w:val="00A00C30"/>
    <w:rsid w:val="00A02AEF"/>
    <w:rsid w:val="00A14A03"/>
    <w:rsid w:val="00A2122C"/>
    <w:rsid w:val="00A24264"/>
    <w:rsid w:val="00A32CD7"/>
    <w:rsid w:val="00A40DED"/>
    <w:rsid w:val="00A41E4E"/>
    <w:rsid w:val="00A4412E"/>
    <w:rsid w:val="00A45B24"/>
    <w:rsid w:val="00A47353"/>
    <w:rsid w:val="00A646A7"/>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B7321"/>
    <w:rsid w:val="00AC04D7"/>
    <w:rsid w:val="00AC1AF9"/>
    <w:rsid w:val="00AC742D"/>
    <w:rsid w:val="00AC7DC9"/>
    <w:rsid w:val="00AE14D7"/>
    <w:rsid w:val="00AE7D31"/>
    <w:rsid w:val="00AF01AC"/>
    <w:rsid w:val="00AF3FE7"/>
    <w:rsid w:val="00AF7D0C"/>
    <w:rsid w:val="00B0574B"/>
    <w:rsid w:val="00B10AB7"/>
    <w:rsid w:val="00B13A5E"/>
    <w:rsid w:val="00B2037F"/>
    <w:rsid w:val="00B262BC"/>
    <w:rsid w:val="00B32691"/>
    <w:rsid w:val="00B407F6"/>
    <w:rsid w:val="00B635E3"/>
    <w:rsid w:val="00B64A10"/>
    <w:rsid w:val="00B710DA"/>
    <w:rsid w:val="00B72B4F"/>
    <w:rsid w:val="00B81996"/>
    <w:rsid w:val="00B835C0"/>
    <w:rsid w:val="00B8668D"/>
    <w:rsid w:val="00B876AF"/>
    <w:rsid w:val="00B9055C"/>
    <w:rsid w:val="00B9419F"/>
    <w:rsid w:val="00BA58CB"/>
    <w:rsid w:val="00BA759E"/>
    <w:rsid w:val="00BB12E9"/>
    <w:rsid w:val="00BB532F"/>
    <w:rsid w:val="00BC162D"/>
    <w:rsid w:val="00BC2904"/>
    <w:rsid w:val="00BC2FE4"/>
    <w:rsid w:val="00BD4DDA"/>
    <w:rsid w:val="00BE4EAE"/>
    <w:rsid w:val="00BE6E24"/>
    <w:rsid w:val="00BF5DDE"/>
    <w:rsid w:val="00C01CED"/>
    <w:rsid w:val="00C02BC0"/>
    <w:rsid w:val="00C03AFD"/>
    <w:rsid w:val="00C15332"/>
    <w:rsid w:val="00C23E79"/>
    <w:rsid w:val="00C271F9"/>
    <w:rsid w:val="00C470CB"/>
    <w:rsid w:val="00C517B6"/>
    <w:rsid w:val="00C63F0F"/>
    <w:rsid w:val="00C70636"/>
    <w:rsid w:val="00C70842"/>
    <w:rsid w:val="00C740FF"/>
    <w:rsid w:val="00C8293B"/>
    <w:rsid w:val="00C84E05"/>
    <w:rsid w:val="00C8578E"/>
    <w:rsid w:val="00C861F7"/>
    <w:rsid w:val="00CA3DE5"/>
    <w:rsid w:val="00CA76B5"/>
    <w:rsid w:val="00CB021B"/>
    <w:rsid w:val="00CC76F2"/>
    <w:rsid w:val="00CD323E"/>
    <w:rsid w:val="00CE105E"/>
    <w:rsid w:val="00CE1E5E"/>
    <w:rsid w:val="00CE7C27"/>
    <w:rsid w:val="00CF2A85"/>
    <w:rsid w:val="00D015F9"/>
    <w:rsid w:val="00D312DA"/>
    <w:rsid w:val="00D314CB"/>
    <w:rsid w:val="00D351CC"/>
    <w:rsid w:val="00D42207"/>
    <w:rsid w:val="00D55E55"/>
    <w:rsid w:val="00D6084A"/>
    <w:rsid w:val="00D64165"/>
    <w:rsid w:val="00D663ED"/>
    <w:rsid w:val="00D66BB4"/>
    <w:rsid w:val="00D67A17"/>
    <w:rsid w:val="00D72CBA"/>
    <w:rsid w:val="00D74882"/>
    <w:rsid w:val="00D759EE"/>
    <w:rsid w:val="00D956AA"/>
    <w:rsid w:val="00DA45C4"/>
    <w:rsid w:val="00DA543F"/>
    <w:rsid w:val="00DA68D9"/>
    <w:rsid w:val="00DC0173"/>
    <w:rsid w:val="00DC11EA"/>
    <w:rsid w:val="00DC4056"/>
    <w:rsid w:val="00DC627A"/>
    <w:rsid w:val="00DC6FA6"/>
    <w:rsid w:val="00DD7877"/>
    <w:rsid w:val="00DE2472"/>
    <w:rsid w:val="00DE498C"/>
    <w:rsid w:val="00DE58C6"/>
    <w:rsid w:val="00DE6C80"/>
    <w:rsid w:val="00DF1540"/>
    <w:rsid w:val="00DF2209"/>
    <w:rsid w:val="00DF5EB4"/>
    <w:rsid w:val="00DF6205"/>
    <w:rsid w:val="00E10BDD"/>
    <w:rsid w:val="00E15836"/>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42FE"/>
    <w:rsid w:val="00ED5CC6"/>
    <w:rsid w:val="00ED7943"/>
    <w:rsid w:val="00EF159C"/>
    <w:rsid w:val="00F04319"/>
    <w:rsid w:val="00F07C69"/>
    <w:rsid w:val="00F15669"/>
    <w:rsid w:val="00F22D97"/>
    <w:rsid w:val="00F31B35"/>
    <w:rsid w:val="00F339CD"/>
    <w:rsid w:val="00F33A43"/>
    <w:rsid w:val="00F41650"/>
    <w:rsid w:val="00F47143"/>
    <w:rsid w:val="00F83D95"/>
    <w:rsid w:val="00F9569D"/>
    <w:rsid w:val="00FA37E3"/>
    <w:rsid w:val="00FC306C"/>
    <w:rsid w:val="00FC3C9C"/>
    <w:rsid w:val="00FC6457"/>
    <w:rsid w:val="00FC6ECA"/>
    <w:rsid w:val="00FC75B9"/>
    <w:rsid w:val="00FD3076"/>
    <w:rsid w:val="00FD46BA"/>
    <w:rsid w:val="00FE1CBC"/>
    <w:rsid w:val="00FE2E58"/>
    <w:rsid w:val="00FE5458"/>
    <w:rsid w:val="00FF35CF"/>
    <w:rsid w:val="00FF3A76"/>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normaltextrun">
    <w:name w:val="normaltextrun"/>
    <w:basedOn w:val="DefaultParagraphFont"/>
    <w:rsid w:val="00CB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A5621045</value>
    </field>
    <field name="Objective-Title">
      <value order="0">RD_Senior Advisor_Clerk 9-10_2020</value>
    </field>
    <field name="Objective-Description">
      <value order="0"/>
    </field>
    <field name="Objective-CreationStamp">
      <value order="0">2021-09-30T00:53:36Z</value>
    </field>
    <field name="Objective-IsApproved">
      <value order="0">false</value>
    </field>
    <field name="Objective-IsPublished">
      <value order="0">true</value>
    </field>
    <field name="Objective-DatePublished">
      <value order="0">2021-11-23T04:25:05Z</value>
    </field>
    <field name="Objective-ModificationStamp">
      <value order="0">2021-11-23T04:25:09Z</value>
    </field>
    <field name="Objective-Owner">
      <value order="0">Natasha Ianni</value>
    </field>
    <field name="Objective-Path">
      <value order="0">Objective Global Folder:1. Public Service Commission (PSC):1. Public Service Commission File Plan (PSC):PEOPLE &amp; ENGAGEMENT:ROLE DESCRIPTIONS:Master Role Descriptions - 2021:Role Descriptions - Capability &amp; Culture:Workforce Strategy &amp; Capability</value>
    </field>
    <field name="Objective-Parent">
      <value order="0">Workforce Strategy &amp; Capability</value>
    </field>
    <field name="Objective-State">
      <value order="0">Published</value>
    </field>
    <field name="Objective-VersionId">
      <value order="0">vA9526953</value>
    </field>
    <field name="Objective-Version">
      <value order="0">1.0</value>
    </field>
    <field name="Objective-VersionNumber">
      <value order="0">1</value>
    </field>
    <field name="Objective-VersionComment">
      <value order="0">First version</value>
    </field>
    <field name="Objective-FileNumber">
      <value order="0">PSC12872</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33E65B051969A4297FD7B025560C55E" ma:contentTypeVersion="5" ma:contentTypeDescription="Create a new document." ma:contentTypeScope="" ma:versionID="4c5fc15665d15343bd6998f74d6c247a">
  <xsd:schema xmlns:xsd="http://www.w3.org/2001/XMLSchema" xmlns:xs="http://www.w3.org/2001/XMLSchema" xmlns:p="http://schemas.microsoft.com/office/2006/metadata/properties" xmlns:ns2="43239ea7-54b5-457f-ae8f-1320e84631f4" xmlns:ns3="f51edba6-2b58-4575-89cb-3332145d081b" targetNamespace="http://schemas.microsoft.com/office/2006/metadata/properties" ma:root="true" ma:fieldsID="1661fd565d3361bc107fac9885d8e8b2" ns2:_="" ns3:_="">
    <xsd:import namespace="43239ea7-54b5-457f-ae8f-1320e84631f4"/>
    <xsd:import namespace="f51edba6-2b58-4575-89cb-3332145d08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39ea7-54b5-457f-ae8f-1320e8463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edba6-2b58-4575-89cb-3332145d08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F316802A-005E-4FAB-B53B-FB8D4B2C96D7}">
  <ds:schemaRefs>
    <ds:schemaRef ds:uri="http://schemas.openxmlformats.org/officeDocument/2006/bibliography"/>
  </ds:schemaRefs>
</ds:datastoreItem>
</file>

<file path=customXml/itemProps3.xml><?xml version="1.0" encoding="utf-8"?>
<ds:datastoreItem xmlns:ds="http://schemas.openxmlformats.org/officeDocument/2006/customXml" ds:itemID="{5B916422-9DC3-4906-B0AD-15E654CBE86B}">
  <ds:schemaRefs>
    <ds:schemaRef ds:uri="http://schemas.microsoft.com/sharepoint/v3/contenttype/forms"/>
  </ds:schemaRefs>
</ds:datastoreItem>
</file>

<file path=customXml/itemProps4.xml><?xml version="1.0" encoding="utf-8"?>
<ds:datastoreItem xmlns:ds="http://schemas.openxmlformats.org/officeDocument/2006/customXml" ds:itemID="{2F8EC028-D513-40E8-9E95-29A235FEDB1E}">
  <ds:schemaRefs>
    <ds:schemaRef ds:uri="http://schemas.microsoft.com/office/2006/metadata/properties"/>
    <ds:schemaRef ds:uri="http://schemas.microsoft.com/office/infopath/2007/PartnerControls"/>
    <ds:schemaRef ds:uri="c4e17d1f-93df-434a-aedc-09215429883e"/>
  </ds:schemaRefs>
</ds:datastoreItem>
</file>

<file path=customXml/itemProps5.xml><?xml version="1.0" encoding="utf-8"?>
<ds:datastoreItem xmlns:ds="http://schemas.openxmlformats.org/officeDocument/2006/customXml" ds:itemID="{8D542F74-56FC-4978-A9FB-2946DED6E7F0}"/>
</file>

<file path=docProps/app.xml><?xml version="1.0" encoding="utf-8"?>
<Properties xmlns="http://schemas.openxmlformats.org/officeDocument/2006/extended-properties" xmlns:vt="http://schemas.openxmlformats.org/officeDocument/2006/docPropsVTypes">
  <Template>PSC_Basic_Template</Template>
  <TotalTime>3</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Tami Walford</cp:lastModifiedBy>
  <cp:revision>2</cp:revision>
  <dcterms:created xsi:type="dcterms:W3CDTF">2023-10-17T04:21:00Z</dcterms:created>
  <dcterms:modified xsi:type="dcterms:W3CDTF">2023-10-17T04:21:00Z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0x010100033E65B051969A4297FD7B025560C55E</vt:lpwstr>
  </property>
  <property fmtid="{D5CDD505-2E9C-101B-9397-08002B2CF9AE}" pid="3" name="Order">
    <vt:r8>25500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Objective-Id">
    <vt:lpwstr>A5621045</vt:lpwstr>
  </property>
  <property fmtid="{D5CDD505-2E9C-101B-9397-08002B2CF9AE}" pid="8" name="Objective-Title">
    <vt:lpwstr>RD_Senior Advisor_Clerk 9-10_2020</vt:lpwstr>
  </property>
  <property fmtid="{D5CDD505-2E9C-101B-9397-08002B2CF9AE}" pid="9" name="Objective-Description">
    <vt:lpwstr/>
  </property>
  <property fmtid="{D5CDD505-2E9C-101B-9397-08002B2CF9AE}" pid="10" name="Objective-CreationStamp">
    <vt:filetime>2021-11-23T04:25:05Z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2021-11-23T04:25:05Z</vt:filetime>
  </property>
  <property fmtid="{D5CDD505-2E9C-101B-9397-08002B2CF9AE}" pid="14" name="Objective-ModificationStamp">
    <vt:filetime>2021-11-23T04:25:09Z</vt:filetime>
  </property>
  <property fmtid="{D5CDD505-2E9C-101B-9397-08002B2CF9AE}" pid="15" name="Objective-Owner">
    <vt:lpwstr>Natasha Ianni</vt:lpwstr>
  </property>
  <property fmtid="{D5CDD505-2E9C-101B-9397-08002B2CF9AE}" pid="16" name="Objective-Path">
    <vt:lpwstr>Objective Global Folder:1. Public Service Commission (PSC):1. Public Service Commission File Plan (PSC):PEOPLE &amp; ENGAGEMENT:ROLE DESCRIPTIONS:Master Role Descriptions - 2021:Role Descriptions - Capability &amp; Culture:Workforce Strategy &amp; Capability:</vt:lpwstr>
  </property>
  <property fmtid="{D5CDD505-2E9C-101B-9397-08002B2CF9AE}" pid="17" name="Objective-Parent">
    <vt:lpwstr>Workforce Strategy &amp; Capability</vt:lpwstr>
  </property>
  <property fmtid="{D5CDD505-2E9C-101B-9397-08002B2CF9AE}" pid="18" name="Objective-State">
    <vt:lpwstr>Published</vt:lpwstr>
  </property>
  <property fmtid="{D5CDD505-2E9C-101B-9397-08002B2CF9AE}" pid="19" name="Objective-VersionId">
    <vt:lpwstr>vA9526953</vt:lpwstr>
  </property>
  <property fmtid="{D5CDD505-2E9C-101B-9397-08002B2CF9AE}" pid="20" name="Objective-Version">
    <vt:lpwstr>1.0</vt:lpwstr>
  </property>
  <property fmtid="{D5CDD505-2E9C-101B-9397-08002B2CF9AE}" pid="21" name="Objective-VersionNumber">
    <vt:r8>1</vt:r8>
  </property>
  <property fmtid="{D5CDD505-2E9C-101B-9397-08002B2CF9AE}" pid="22" name="Objective-VersionComment">
    <vt:lpwstr>First version</vt:lpwstr>
  </property>
  <property fmtid="{D5CDD505-2E9C-101B-9397-08002B2CF9AE}" pid="23" name="Objective-FileNumber">
    <vt:lpwstr>PSC12872</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Security Classification">
    <vt:lpwstr>UNCLASSIFIED</vt:lpwstr>
  </property>
  <property fmtid="{D5CDD505-2E9C-101B-9397-08002B2CF9AE}" pid="27" name="Objective-DLM">
    <vt:lpwstr>No Impact</vt:lpwstr>
  </property>
  <property fmtid="{D5CDD505-2E9C-101B-9397-08002B2CF9AE}" pid="28" name="Objective-Vital Record">
    <vt:lpwstr>No</vt:lpwstr>
  </property>
  <property fmtid="{D5CDD505-2E9C-101B-9397-08002B2CF9AE}" pid="29" name="Objective-Current Approver">
    <vt:lpwstr/>
  </property>
  <property fmtid="{D5CDD505-2E9C-101B-9397-08002B2CF9AE}" pid="30" name="Objective-Approval Status">
    <vt:lpwstr/>
  </property>
  <property fmtid="{D5CDD505-2E9C-101B-9397-08002B2CF9AE}" pid="31" name="Objective-Approval History">
    <vt:lpwstr/>
  </property>
  <property fmtid="{D5CDD505-2E9C-101B-9397-08002B2CF9AE}" pid="32" name="Objective-Document Tag(s)">
    <vt:lpwstr/>
  </property>
  <property fmtid="{D5CDD505-2E9C-101B-9397-08002B2CF9AE}" pid="33" name="Objective-Connect Creator">
    <vt:lpwstr/>
  </property>
  <property fmtid="{D5CDD505-2E9C-101B-9397-08002B2CF9AE}" pid="34" name="Objective-Shared By">
    <vt:lpwstr/>
  </property>
  <property fmtid="{D5CDD505-2E9C-101B-9397-08002B2CF9AE}" pid="35" name="Objective-Comment">
    <vt:lpwstr/>
  </property>
</Properties>
</file>