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A63328"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63328" w:rsidRPr="00DC0173" w:rsidRDefault="00A63328" w:rsidP="00A63328">
            <w:pPr>
              <w:pStyle w:val="TableTextWhite"/>
              <w:rPr>
                <w:b/>
              </w:rPr>
            </w:pPr>
            <w:bookmarkStart w:id="0" w:name="_GoBack"/>
            <w:bookmarkEnd w:id="0"/>
            <w:r>
              <w:rPr>
                <w:b/>
              </w:rPr>
              <w:t>Cluster</w:t>
            </w:r>
          </w:p>
        </w:tc>
        <w:tc>
          <w:tcPr>
            <w:tcW w:w="6561" w:type="dxa"/>
          </w:tcPr>
          <w:p w:rsidR="00A63328" w:rsidRPr="00DC0173" w:rsidRDefault="00A63328" w:rsidP="00A63328">
            <w:pPr>
              <w:pStyle w:val="TableTextWhite"/>
            </w:pPr>
            <w:r>
              <w:t>Planning, Industry and Environment</w:t>
            </w:r>
          </w:p>
        </w:tc>
      </w:tr>
      <w:tr w:rsidR="00A63328" w:rsidRPr="00DC0173" w:rsidTr="008476E6">
        <w:tc>
          <w:tcPr>
            <w:tcW w:w="4026" w:type="dxa"/>
            <w:vAlign w:val="center"/>
          </w:tcPr>
          <w:p w:rsidR="00A63328" w:rsidRPr="00DC0173" w:rsidRDefault="00A63328" w:rsidP="00A63328">
            <w:pPr>
              <w:pStyle w:val="TableTextWhite"/>
              <w:rPr>
                <w:b/>
              </w:rPr>
            </w:pPr>
            <w:r>
              <w:rPr>
                <w:b/>
              </w:rPr>
              <w:t>Agency</w:t>
            </w:r>
          </w:p>
        </w:tc>
        <w:tc>
          <w:tcPr>
            <w:tcW w:w="6561" w:type="dxa"/>
          </w:tcPr>
          <w:p w:rsidR="00A63328" w:rsidRPr="00DC0173" w:rsidRDefault="00A63328" w:rsidP="00A63328">
            <w:pPr>
              <w:pStyle w:val="TableTextWhite"/>
            </w:pPr>
            <w:r>
              <w:t xml:space="preserve">Environment, Energy and Science </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Science Division/Climate &amp; Atmospheric Science Branch</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4B46DD"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Environment Officer Class 11</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DC7459"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770F27" w:rsidP="00DC0173">
            <w:pPr>
              <w:pStyle w:val="TableTextWhite"/>
            </w:pPr>
            <w:r w:rsidRPr="00770F27">
              <w:t>234313</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770F27" w:rsidP="00DC0173">
            <w:pPr>
              <w:pStyle w:val="TableTextWhite"/>
            </w:pPr>
            <w:r w:rsidRPr="00770F27">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5F38" w:rsidP="00DC0173">
            <w:pPr>
              <w:pStyle w:val="TableTextWhite"/>
            </w:pPr>
            <w:r>
              <w:t>15 March 2016</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9E3461" w:rsidP="00DC0173">
            <w:pPr>
              <w:pStyle w:val="TableTextWhite"/>
            </w:pPr>
            <w:hyperlink r:id="rId8" w:history="1">
              <w:r w:rsidR="00DC7459" w:rsidRPr="00B8512F">
                <w:rPr>
                  <w:rStyle w:val="Hyperlink"/>
                </w:rPr>
                <w:t>www.environment.nsw.gov.au</w:t>
              </w:r>
            </w:hyperlink>
            <w:r w:rsidR="00DC7459">
              <w:t xml:space="preserve"> </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A63328" w:rsidRDefault="00A63328" w:rsidP="00A63328">
      <w:r>
        <w:t xml:space="preserve">The Planning, Industry and Environment Cluster brings together the functions from the former Planning &amp; Environment and Industry Clusters. </w:t>
      </w:r>
    </w:p>
    <w:p w:rsidR="00A63328" w:rsidRDefault="00A63328" w:rsidP="00A63328">
      <w:r>
        <w:t xml:space="preserve">The new Cluster will drive for greater levels of integration and efficiency across key areas such as long-term planning, precincts, housing, property, infrastructure priorities, open space, the environment, our natural resources – land, water, mining – energy, and growing our industries. In particular, there will be a redoubling of emphasis on regional NSW. </w:t>
      </w:r>
    </w:p>
    <w:p w:rsidR="00A63328" w:rsidRDefault="00A63328" w:rsidP="00A63328">
      <w:pPr>
        <w:spacing w:after="241"/>
      </w:pPr>
      <w:r>
        <w:t xml:space="preserve">The Environment, Energy and Science (EES) Group is part of the Department of Planning, Industry and Environment and aims to support a thriving, sustainable and resilient NSW.  For more information go to </w:t>
      </w:r>
      <w:hyperlink r:id="rId9">
        <w:r>
          <w:rPr>
            <w:color w:val="0000FF"/>
            <w:u w:val="single" w:color="0000FF"/>
          </w:rPr>
          <w:t>www.environment.nsw.gov.au</w:t>
        </w:r>
      </w:hyperlink>
      <w:hyperlink r:id="rId10">
        <w:r>
          <w:t>.</w:t>
        </w:r>
      </w:hyperlink>
      <w:r>
        <w:t xml:space="preserve"> </w:t>
      </w:r>
      <w:r>
        <w:rPr>
          <w:rFonts w:ascii="Georgia" w:eastAsia="Georgia" w:hAnsi="Georgia" w:cs="Georgia"/>
        </w:rPr>
        <w:t xml:space="preserve"> </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 xml:space="preserve">Design &amp; drive delivery of discrete climate and atmospheric science programs to </w:t>
      </w:r>
      <w:r w:rsidR="00A63328">
        <w:rPr>
          <w:rFonts w:cs="Arial"/>
        </w:rPr>
        <w:t xml:space="preserve">EES </w:t>
      </w:r>
      <w:r w:rsidRPr="00614552">
        <w:rPr>
          <w:rFonts w:cs="Arial"/>
        </w:rPr>
        <w:t>internal and external customers in line with the priorities articulated in the Knowledge Strategy.</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Influence the strategic direction of climate and atmospheric science priorities and knowledge themes.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Develop, lead and deliver high quality, cost-effective discrete climate and atmospheric science projects that meet </w:t>
      </w:r>
      <w:proofErr w:type="spellStart"/>
      <w:r w:rsidRPr="00614552">
        <w:rPr>
          <w:rFonts w:cs="Arial"/>
        </w:rPr>
        <w:t>organisational</w:t>
      </w:r>
      <w:proofErr w:type="spellEnd"/>
      <w:r w:rsidRPr="00614552">
        <w:rPr>
          <w:rFonts w:cs="Arial"/>
        </w:rPr>
        <w:t xml:space="preserve"> objectives and appropriate standards of scientific </w:t>
      </w:r>
      <w:proofErr w:type="spellStart"/>
      <w:r w:rsidRPr="00614552">
        <w:rPr>
          <w:rFonts w:cs="Arial"/>
        </w:rPr>
        <w:t>rigour</w:t>
      </w:r>
      <w:proofErr w:type="spellEnd"/>
      <w:r w:rsidRPr="00614552">
        <w:rPr>
          <w:rFonts w:cs="Arial"/>
        </w:rPr>
        <w: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Develop and maintain a range of collaborative networks across </w:t>
      </w:r>
      <w:r w:rsidR="00A63328">
        <w:rPr>
          <w:rFonts w:cs="Arial"/>
        </w:rPr>
        <w:t>EES</w:t>
      </w:r>
      <w:r w:rsidRPr="00614552">
        <w:rPr>
          <w:rFonts w:cs="Arial"/>
        </w:rPr>
        <w:t>/EPA, universities, government agencies and other research providers to support and advance the delivery of science programs and to keep up to date with the latest science.</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Provide expert scientific advice and support to the Science Division on the development, implementation, management and reporting of scientific projects, ensuring that technical and scientific considerations are properly considered by the Division.</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Deliver continuous improvement in science communication including developing and managing communication plans and preparing and delivering documents and presentations that explain complex processes associated with projects managed, clearly and are suitable for a wide range of technical and non-technical audiences.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Promote and manage the development of project management methodologies and processes that improve productivity, encourage innovation, develop teamwork and enhance the delivery of science across the </w:t>
      </w:r>
      <w:r w:rsidR="00A63328">
        <w:rPr>
          <w:rFonts w:cs="Arial"/>
        </w:rPr>
        <w:t>EES</w:t>
      </w:r>
      <w:r w:rsidRPr="00614552">
        <w:rPr>
          <w:rFonts w:cs="Arial"/>
        </w:rPr>
        <w: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Manage project implementation, including preparing project plans, identifying and coordinating resources, developing and managing budgets, and negotiating reporting requirements.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Contribute to the delivery of cultural and </w:t>
      </w:r>
      <w:proofErr w:type="spellStart"/>
      <w:r w:rsidRPr="00614552">
        <w:rPr>
          <w:rFonts w:cs="Arial"/>
        </w:rPr>
        <w:t>organisational</w:t>
      </w:r>
      <w:proofErr w:type="spellEnd"/>
      <w:r w:rsidRPr="00614552">
        <w:rPr>
          <w:rFonts w:cs="Arial"/>
        </w:rPr>
        <w:t xml:space="preserve"> change, including working with senior managers and staff to ensure smooth transition in line with corporate and business objectives.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Develops and maintains an extensive network of contacts in NSW public sector agencies, other jurisdictions, research institutions, the private sector and non-government </w:t>
      </w:r>
      <w:proofErr w:type="spellStart"/>
      <w:r w:rsidRPr="00614552">
        <w:rPr>
          <w:rFonts w:cs="Arial"/>
        </w:rPr>
        <w:t>organisations</w:t>
      </w:r>
      <w:proofErr w:type="spellEnd"/>
      <w:r w:rsidRPr="00614552">
        <w:rPr>
          <w:rFonts w:cs="Arial"/>
        </w:rPr>
        <w:t>. The position holder consults and negotiates extensively to develop the direction of science programs and to influence state and national science agendas.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Leads in knowledge brokering and delivery of comprehensible, relevant and easy to access information to clients and to the community in keeping with Open </w:t>
      </w:r>
      <w:r w:rsidR="00A63328">
        <w:rPr>
          <w:rFonts w:cs="Arial"/>
        </w:rPr>
        <w:t xml:space="preserve">EES </w:t>
      </w:r>
      <w:r w:rsidRPr="00614552">
        <w:rPr>
          <w:rFonts w:cs="Arial"/>
        </w:rPr>
        <w:t>objectives and principles. Identifies external funding opportunities to support enhanced delivery of priorities and to leverage additional value through collaboration with universities and other research providers.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Manager/Supervisor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guidance and support, provide advice and exchange information.</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guidance, support, exchange information and facilitate their professional development.</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team/other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Work collaboratively to contribute to achieving business outcomes.</w:t>
            </w:r>
          </w:p>
          <w:p w:rsidR="00BB532F" w:rsidRPr="00A15CDB" w:rsidRDefault="001336E8" w:rsidP="00022223">
            <w:pPr>
              <w:pStyle w:val="TableText"/>
              <w:numPr>
                <w:ilvl w:val="0"/>
                <w:numId w:val="3"/>
              </w:numPr>
            </w:pPr>
            <w:r>
              <w:t>Foster effective working relationships to facilitate opportunities for engagement, consultation, issue resolution and information sharing.</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Customer/clients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Address queries and/or redirect to relevant party for review and resolution.</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Stakeholders Negotiate and liaise with a variety of stakeholders to enable the timely delivery of business initiatives.</w:t>
            </w:r>
          </w:p>
        </w:tc>
      </w:tr>
    </w:tbl>
    <w:p w:rsidR="00BB532F" w:rsidRDefault="00BB532F"/>
    <w:p w:rsidR="00603D53" w:rsidRDefault="00603D53" w:rsidP="00614552">
      <w:pPr>
        <w:pStyle w:val="Heading1"/>
        <w:rPr>
          <w:sz w:val="28"/>
        </w:rPr>
      </w:pPr>
      <w:r w:rsidRPr="00614552">
        <w:lastRenderedPageBreak/>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The role is expected to operate with some level of autonomy, makes day to day decisions relating to work priorities and workload management, for themselves and any staff supervised. The position is accountable for the quality, integrity and accuracy of content of advice provided.</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role reports to the Senior Team Leader.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Pr="00614552" w:rsidRDefault="00205A8A" w:rsidP="00205A8A">
      <w:pPr>
        <w:tabs>
          <w:tab w:val="left" w:pos="2925"/>
        </w:tabs>
        <w:rPr>
          <w:rStyle w:val="Heading1Char"/>
        </w:rPr>
      </w:pPr>
      <w:r w:rsidRPr="00614552">
        <w:rPr>
          <w:rStyle w:val="Heading1Char"/>
        </w:rPr>
        <w:t>Essential requirements</w:t>
      </w:r>
    </w:p>
    <w:p w:rsidR="00205A8A" w:rsidRDefault="00205A8A" w:rsidP="00205A8A">
      <w:pPr>
        <w:tabs>
          <w:tab w:val="left" w:pos="2925"/>
        </w:tabs>
        <w:rPr>
          <w:rFonts w:ascii="Georgia" w:hAnsi="Georgia"/>
        </w:rPr>
      </w:pPr>
      <w:r w:rsidRPr="00614552">
        <w:rPr>
          <w:rFonts w:cs="Arial"/>
        </w:rPr>
        <w:t>Scientific qualifications, high-level knowledge, demonstrated experience and contacts in the climate and atmospheric sciences.</w:t>
      </w:r>
    </w:p>
    <w:p w:rsidR="00205A8A" w:rsidRDefault="00205A8A" w:rsidP="00205A8A">
      <w:pPr>
        <w:tabs>
          <w:tab w:val="left" w:pos="2925"/>
        </w:tabs>
        <w:rPr>
          <w:rFonts w:ascii="Georgia" w:hAnsi="Georgia"/>
        </w:rPr>
      </w:pPr>
      <w:r w:rsidRPr="00614552">
        <w:rPr>
          <w:rFonts w:cs="Arial"/>
        </w:rPr>
        <w:t>Demonstrated experience in developing and leading rigorous, discrete, science programs in the climate and atmospheric sciences.</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1"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lastRenderedPageBreak/>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Influence and Negotiate</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Plan and Prioritise</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Finance</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bl>
    <w:p w:rsidR="002D36BB" w:rsidRDefault="002D36BB" w:rsidP="008E08E3"/>
    <w:p w:rsidR="002D36BB" w:rsidRDefault="002D36BB" w:rsidP="00325E9D"/>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6"/>
        <w:gridCol w:w="5761"/>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Manage Self</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Look for and take advantage of opportunities to learn new skills and develop strengths</w:t>
            </w:r>
          </w:p>
          <w:p w:rsidR="001F2503" w:rsidRPr="00C978B9" w:rsidRDefault="0039395B" w:rsidP="0039395B">
            <w:pPr>
              <w:pStyle w:val="TableBullet"/>
            </w:pPr>
            <w:r>
              <w:t>Show commitment to achieving challenging goals</w:t>
            </w:r>
          </w:p>
          <w:p w:rsidR="001F2503" w:rsidRPr="00C978B9" w:rsidRDefault="0039395B" w:rsidP="0039395B">
            <w:pPr>
              <w:pStyle w:val="TableBullet"/>
            </w:pPr>
            <w:r>
              <w:t>Examine and reflect on own performance</w:t>
            </w:r>
          </w:p>
          <w:p w:rsidR="001F2503" w:rsidRPr="00C978B9" w:rsidRDefault="0039395B" w:rsidP="0039395B">
            <w:pPr>
              <w:pStyle w:val="TableBullet"/>
            </w:pPr>
            <w:r>
              <w:t>Seek and respond positively to constructive feedback and guidance</w:t>
            </w:r>
          </w:p>
          <w:p w:rsidR="001F2503" w:rsidRPr="00C978B9" w:rsidRDefault="0039395B" w:rsidP="0039395B">
            <w:pPr>
              <w:pStyle w:val="TableBullet"/>
            </w:pPr>
            <w:r>
              <w:t>Demonstrate a high level of personal motivation</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Present with credibility, engage varied audiences and test levels of understanding</w:t>
            </w:r>
          </w:p>
          <w:p w:rsidR="001F2503" w:rsidRPr="00C978B9" w:rsidRDefault="0039395B" w:rsidP="0039395B">
            <w:pPr>
              <w:pStyle w:val="TableBullet"/>
            </w:pPr>
            <w:r>
              <w:t>Translate technical and complex information concisely for diverse audiences</w:t>
            </w:r>
          </w:p>
          <w:p w:rsidR="001F2503" w:rsidRPr="00C978B9" w:rsidRDefault="0039395B" w:rsidP="0039395B">
            <w:pPr>
              <w:pStyle w:val="TableBullet"/>
            </w:pPr>
            <w:r>
              <w:t>Create opportunities for others to contribute to discussion and debate</w:t>
            </w:r>
          </w:p>
          <w:p w:rsidR="001F2503" w:rsidRPr="00C978B9" w:rsidRDefault="0039395B" w:rsidP="0039395B">
            <w:pPr>
              <w:pStyle w:val="TableBullet"/>
            </w:pPr>
            <w:r>
              <w:lastRenderedPageBreak/>
              <w:t>Actively listen and encourage others to contribute inputs</w:t>
            </w:r>
          </w:p>
          <w:p w:rsidR="001F2503" w:rsidRPr="00C978B9" w:rsidRDefault="0039395B" w:rsidP="0039395B">
            <w:pPr>
              <w:pStyle w:val="TableBullet"/>
            </w:pPr>
            <w:r>
              <w:t>Adjust style and approach to optimise outcomes</w:t>
            </w:r>
          </w:p>
          <w:p w:rsidR="001F2503" w:rsidRPr="00C978B9" w:rsidRDefault="0039395B" w:rsidP="0039395B">
            <w:pPr>
              <w:pStyle w:val="TableBullet"/>
            </w:pPr>
            <w:r>
              <w:t>Write fluently and persuasively in a range of styles and formats</w:t>
            </w:r>
          </w:p>
        </w:tc>
      </w:tr>
      <w:tr w:rsidR="0039395B" w:rsidRPr="00C978B9" w:rsidTr="00742966">
        <w:tc>
          <w:tcPr>
            <w:tcW w:w="2714" w:type="dxa"/>
          </w:tcPr>
          <w:p w:rsidR="001F2503" w:rsidRPr="00C978B9" w:rsidRDefault="0039395B" w:rsidP="00CC7829">
            <w:pPr>
              <w:pStyle w:val="TableText"/>
              <w:rPr>
                <w:b/>
              </w:rPr>
            </w:pPr>
            <w:r>
              <w:rPr>
                <w:b/>
              </w:rPr>
              <w:lastRenderedPageBreak/>
              <w:t>Relationships</w:t>
            </w:r>
          </w:p>
          <w:p w:rsidR="001F2503" w:rsidRPr="00C978B9" w:rsidRDefault="0039395B" w:rsidP="0039395B">
            <w:pPr>
              <w:pStyle w:val="TableText"/>
            </w:pPr>
            <w:r>
              <w:t>Influence and Negotiate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Negotiate from an informed and credible position</w:t>
            </w:r>
          </w:p>
          <w:p w:rsidR="001F2503" w:rsidRPr="00C978B9" w:rsidRDefault="0039395B" w:rsidP="0039395B">
            <w:pPr>
              <w:pStyle w:val="TableBullet"/>
            </w:pPr>
            <w:r>
              <w:t>Lead and facilitate productive discussions with staff and stakeholders</w:t>
            </w:r>
          </w:p>
          <w:p w:rsidR="001F2503" w:rsidRPr="00C978B9" w:rsidRDefault="0039395B" w:rsidP="0039395B">
            <w:pPr>
              <w:pStyle w:val="TableBullet"/>
            </w:pPr>
            <w:r>
              <w:t>Encourage others to talk, share and debate ideas to achieve a consensus</w:t>
            </w:r>
          </w:p>
          <w:p w:rsidR="001F2503" w:rsidRPr="00C978B9" w:rsidRDefault="0039395B" w:rsidP="0039395B">
            <w:pPr>
              <w:pStyle w:val="TableBullet"/>
            </w:pPr>
            <w:r>
              <w:t>Recognise and explain the need for compromise</w:t>
            </w:r>
          </w:p>
          <w:p w:rsidR="001F2503" w:rsidRPr="00C978B9" w:rsidRDefault="0039395B" w:rsidP="0039395B">
            <w:pPr>
              <w:pStyle w:val="TableBullet"/>
            </w:pPr>
            <w:r>
              <w:t>Influence others with a fair and considered approach and sound arguments</w:t>
            </w:r>
          </w:p>
          <w:p w:rsidR="001F2503" w:rsidRPr="00C978B9" w:rsidRDefault="0039395B" w:rsidP="0039395B">
            <w:pPr>
              <w:pStyle w:val="TableBullet"/>
            </w:pPr>
            <w:r>
              <w:t>Show sensitivity and understanding in resolving conflicts and differences</w:t>
            </w:r>
          </w:p>
          <w:p w:rsidR="001F2503" w:rsidRPr="00C978B9" w:rsidRDefault="0039395B" w:rsidP="0039395B">
            <w:pPr>
              <w:pStyle w:val="TableBullet"/>
            </w:pPr>
            <w:r>
              <w:t>Manage challenging relations with internal and external stakeholders</w:t>
            </w:r>
          </w:p>
          <w:p w:rsidR="001F2503" w:rsidRPr="00C978B9" w:rsidRDefault="0039395B" w:rsidP="0039395B">
            <w:pPr>
              <w:pStyle w:val="TableBullet"/>
            </w:pPr>
            <w:r>
              <w:t>Pre-empt and minimise conflict</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Plan and Prioritise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proofErr w:type="gramStart"/>
            <w:r>
              <w:t>Take into account</w:t>
            </w:r>
            <w:proofErr w:type="gramEnd"/>
            <w:r>
              <w:t xml:space="preserve"> future aims and goals of the team/unit and organisation when prioritising own and others’ work</w:t>
            </w:r>
          </w:p>
          <w:p w:rsidR="001F2503" w:rsidRPr="00C978B9" w:rsidRDefault="0039395B" w:rsidP="0039395B">
            <w:pPr>
              <w:pStyle w:val="TableBullet"/>
            </w:pPr>
            <w:r>
              <w:t>Initiate, prioritise, consult on and develop team/unit goals, strategies and plans</w:t>
            </w:r>
          </w:p>
          <w:p w:rsidR="001F2503" w:rsidRPr="00C978B9" w:rsidRDefault="0039395B" w:rsidP="0039395B">
            <w:pPr>
              <w:pStyle w:val="TableBullet"/>
            </w:pPr>
            <w:r>
              <w:t>Anticipate and assess the impact of changes, such as government policy/economic conditions, on team/unit objectives and initiate appropriate responses</w:t>
            </w:r>
          </w:p>
          <w:p w:rsidR="001F2503" w:rsidRPr="00C978B9" w:rsidRDefault="0039395B" w:rsidP="0039395B">
            <w:pPr>
              <w:pStyle w:val="TableBullet"/>
            </w:pPr>
            <w:r>
              <w:t>Ensure current work plans and activities support and are consistent with organisational change initiatives</w:t>
            </w:r>
          </w:p>
          <w:p w:rsidR="001F2503" w:rsidRPr="00C978B9" w:rsidRDefault="0039395B" w:rsidP="0039395B">
            <w:pPr>
              <w:pStyle w:val="TableBullet"/>
            </w:pPr>
            <w:r>
              <w:t xml:space="preserve">Evaluate achievements and adjust </w:t>
            </w:r>
            <w:proofErr w:type="gramStart"/>
            <w:r>
              <w:t>future plans</w:t>
            </w:r>
            <w:proofErr w:type="gramEnd"/>
            <w:r>
              <w:t xml:space="preserve"> accordingly</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Finance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Understand core financial terminology, policies and processes, and display a knowledge of relevant recurrent and capital financial measures</w:t>
            </w:r>
          </w:p>
          <w:p w:rsidR="001F2503" w:rsidRPr="00C978B9" w:rsidRDefault="0039395B" w:rsidP="0039395B">
            <w:pPr>
              <w:pStyle w:val="TableBullet"/>
            </w:pPr>
            <w:r>
              <w:t>Understand impacts of funding allocations on business planning and budgets, including value for money, choice between direct provision and purchase of services, and financial implications of decisions</w:t>
            </w:r>
          </w:p>
          <w:p w:rsidR="001F2503" w:rsidRPr="00C978B9" w:rsidRDefault="0039395B" w:rsidP="0039395B">
            <w:pPr>
              <w:pStyle w:val="TableBullet"/>
            </w:pPr>
            <w:r>
              <w:t>Understand and apply financial audit, reporting and compliance obligations</w:t>
            </w:r>
          </w:p>
          <w:p w:rsidR="001F2503" w:rsidRPr="00C978B9" w:rsidRDefault="0039395B" w:rsidP="0039395B">
            <w:pPr>
              <w:pStyle w:val="TableBullet"/>
            </w:pPr>
            <w:r>
              <w:t>Identify discrepancies or variances in financial and budget reports, and take corrective action where appropriate</w:t>
            </w:r>
          </w:p>
          <w:p w:rsidR="001F2503" w:rsidRPr="00C978B9" w:rsidRDefault="0039395B" w:rsidP="0039395B">
            <w:pPr>
              <w:pStyle w:val="TableBullet"/>
            </w:pPr>
            <w:r>
              <w:t>Seek specialist advice and support where required</w:t>
            </w:r>
          </w:p>
          <w:p w:rsidR="001F2503" w:rsidRPr="00C978B9" w:rsidRDefault="0039395B" w:rsidP="0039395B">
            <w:pPr>
              <w:pStyle w:val="TableBullet"/>
            </w:pPr>
            <w:r>
              <w:t>Make decisions and prepare business cases paying due regard to financial considerations</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Prepare scope and business cases for more ambiguous or complex projects including cost and resource impacts</w:t>
            </w:r>
          </w:p>
          <w:p w:rsidR="001F2503" w:rsidRPr="00C978B9" w:rsidRDefault="0039395B" w:rsidP="0039395B">
            <w:pPr>
              <w:pStyle w:val="TableBullet"/>
            </w:pPr>
            <w:r>
              <w:t>Access key subject-matter experts’ knowledge to inform project plans and directions</w:t>
            </w:r>
          </w:p>
          <w:p w:rsidR="001F2503" w:rsidRPr="00C978B9" w:rsidRDefault="0039395B" w:rsidP="0039395B">
            <w:pPr>
              <w:pStyle w:val="TableBullet"/>
            </w:pPr>
            <w:r>
              <w:t xml:space="preserve">Implement effective stakeholder engagement and </w:t>
            </w:r>
            <w:r>
              <w:lastRenderedPageBreak/>
              <w:t>communications strategy for all stages of projects</w:t>
            </w:r>
          </w:p>
          <w:p w:rsidR="001F2503" w:rsidRPr="00C978B9" w:rsidRDefault="0039395B" w:rsidP="0039395B">
            <w:pPr>
              <w:pStyle w:val="TableBullet"/>
            </w:pPr>
            <w:r>
              <w:t>Monitor the completion of projects and implement effective and rigorous project evaluation methodologies to inform future planning</w:t>
            </w:r>
          </w:p>
          <w:p w:rsidR="001F2503" w:rsidRPr="00C978B9" w:rsidRDefault="0039395B" w:rsidP="0039395B">
            <w:pPr>
              <w:pStyle w:val="TableBullet"/>
            </w:pPr>
            <w:r>
              <w:t>Develop effective strategies to remedy variances from project plans, and minimise impacts</w:t>
            </w:r>
          </w:p>
          <w:p w:rsidR="001F2503" w:rsidRPr="00C978B9" w:rsidRDefault="0039395B" w:rsidP="0039395B">
            <w:pPr>
              <w:pStyle w:val="TableBullet"/>
            </w:pPr>
            <w:r>
              <w:t>Manage transitions between project stages and ensure that changes are consistent with organisational goals</w:t>
            </w:r>
          </w:p>
        </w:tc>
      </w:tr>
    </w:tbl>
    <w:p w:rsidR="00803D71" w:rsidRDefault="00803D71"/>
    <w:sectPr w:rsidR="00803D71" w:rsidSect="009D747B">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AE3" w:rsidRDefault="00AE1AE3" w:rsidP="00BB532F">
      <w:pPr>
        <w:spacing w:after="0" w:line="240" w:lineRule="auto"/>
      </w:pPr>
      <w:r>
        <w:separator/>
      </w:r>
    </w:p>
  </w:endnote>
  <w:endnote w:type="continuationSeparator" w:id="0">
    <w:p w:rsidR="00AE1AE3" w:rsidRDefault="00AE1AE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Principal</w:t>
          </w:r>
          <w:proofErr w:type="gramEnd"/>
          <w:r w:rsidRPr="00C03AFD">
            <w:rPr>
              <w:color w:val="000000" w:themeColor="text1"/>
              <w:sz w:val="18"/>
            </w:rPr>
            <w:t xml:space="preserve"> Climate &amp; Atmospheric Scientist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70F27">
            <w:rPr>
              <w:noProof/>
              <w:color w:val="928B81"/>
              <w:sz w:val="18"/>
              <w:lang w:eastAsia="en-AU"/>
            </w:rPr>
            <w:t>2</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70F27">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AE3" w:rsidRDefault="00AE1AE3" w:rsidP="00BB532F">
      <w:pPr>
        <w:spacing w:after="0" w:line="240" w:lineRule="auto"/>
      </w:pPr>
      <w:r>
        <w:separator/>
      </w:r>
    </w:p>
  </w:footnote>
  <w:footnote w:type="continuationSeparator" w:id="0">
    <w:p w:rsidR="00AE1AE3" w:rsidRDefault="00AE1AE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FD" w:rsidRDefault="00C03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FD" w:rsidRDefault="00C03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Principal Climate &amp; Atmospheric Scientist</w:t>
          </w:r>
        </w:p>
      </w:tc>
      <w:tc>
        <w:tcPr>
          <w:tcW w:w="3665" w:type="dxa"/>
        </w:tcPr>
        <w:p w:rsidR="000477E1" w:rsidRPr="000477E1" w:rsidRDefault="00803D71" w:rsidP="00030565">
          <w:pPr>
            <w:jc w:val="right"/>
          </w:pPr>
          <w:r>
            <w:rPr>
              <w:noProof/>
              <w:lang w:val="en-AU" w:eastAsia="en-AU"/>
            </w:rPr>
            <w:drawing>
              <wp:inline distT="0" distB="0" distL="0" distR="0" wp14:editId="50D07946">
                <wp:extent cx="1714500" cy="533400"/>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Coloursmall.jpg"/>
                        <pic:cNvPicPr/>
                      </pic:nvPicPr>
                      <pic:blipFill>
                        <a:blip r:embed="rId1" cstate="print">
                          <a:extLst/>
                        </a:blip>
                        <a:stretch>
                          <a:fillRect/>
                        </a:stretch>
                      </pic:blipFill>
                      <pic:spPr>
                        <a:xfrm>
                          <a:off x="0" y="0"/>
                          <a:ext cx="1714500" cy="533400"/>
                        </a:xfrm>
                        <a:prstGeom prst="rect">
                          <a:avLst/>
                        </a:prstGeom>
                      </pic:spPr>
                    </pic:pic>
                  </a:graphicData>
                </a:graphic>
              </wp:inline>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77589"/>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B46DD"/>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046"/>
    <w:rsid w:val="00767553"/>
    <w:rsid w:val="00770F27"/>
    <w:rsid w:val="007736B4"/>
    <w:rsid w:val="00773975"/>
    <w:rsid w:val="00776DCB"/>
    <w:rsid w:val="00780299"/>
    <w:rsid w:val="007862DE"/>
    <w:rsid w:val="00786A0F"/>
    <w:rsid w:val="00792A3E"/>
    <w:rsid w:val="00794CC1"/>
    <w:rsid w:val="00794E0E"/>
    <w:rsid w:val="007B7C1F"/>
    <w:rsid w:val="007C21C8"/>
    <w:rsid w:val="007D0E2E"/>
    <w:rsid w:val="007E2FB7"/>
    <w:rsid w:val="00803D71"/>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E3461"/>
    <w:rsid w:val="00A00C30"/>
    <w:rsid w:val="00A02AEF"/>
    <w:rsid w:val="00A14A03"/>
    <w:rsid w:val="00A2122C"/>
    <w:rsid w:val="00A41E4E"/>
    <w:rsid w:val="00A4412E"/>
    <w:rsid w:val="00A47353"/>
    <w:rsid w:val="00A63328"/>
    <w:rsid w:val="00A73C38"/>
    <w:rsid w:val="00A77B0C"/>
    <w:rsid w:val="00A83932"/>
    <w:rsid w:val="00A85305"/>
    <w:rsid w:val="00A8686E"/>
    <w:rsid w:val="00A8732A"/>
    <w:rsid w:val="00A970A2"/>
    <w:rsid w:val="00AB120A"/>
    <w:rsid w:val="00AB50E4"/>
    <w:rsid w:val="00AC1AF9"/>
    <w:rsid w:val="00AC742D"/>
    <w:rsid w:val="00AC7DC9"/>
    <w:rsid w:val="00AE14D7"/>
    <w:rsid w:val="00AE1AE3"/>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0082"/>
    <w:rsid w:val="00D55E55"/>
    <w:rsid w:val="00D663ED"/>
    <w:rsid w:val="00D67A17"/>
    <w:rsid w:val="00D74882"/>
    <w:rsid w:val="00D759EE"/>
    <w:rsid w:val="00D956AA"/>
    <w:rsid w:val="00DA543F"/>
    <w:rsid w:val="00DC0173"/>
    <w:rsid w:val="00DC11EA"/>
    <w:rsid w:val="00DC4056"/>
    <w:rsid w:val="00DC7459"/>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8FCF88-0010-4020-AEEB-CB805A80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c.nsw.gov.au/capabilityframework"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www.environment.nsw.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3.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4A18-8CE1-47C9-84AF-31C7C4B8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TotalTime>
  <Pages>6</Pages>
  <Words>1494</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Mark Russell</cp:lastModifiedBy>
  <cp:revision>2</cp:revision>
  <cp:lastPrinted>2016-03-14T23:46:00Z</cp:lastPrinted>
  <dcterms:created xsi:type="dcterms:W3CDTF">2020-01-27T21:12:00Z</dcterms:created>
  <dcterms:modified xsi:type="dcterms:W3CDTF">2020-01-27T21:12:00Z</dcterms:modified>
</cp:coreProperties>
</file>