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294ABF5" w14:textId="502D4CEA" w:rsidR="00D64474" w:rsidRPr="005A1369" w:rsidRDefault="00DE3E63" w:rsidP="00DE3E63">
      <w:pPr>
        <w:pStyle w:val="Heading1"/>
        <w:tabs>
          <w:tab w:val="left" w:pos="720"/>
          <w:tab w:val="left" w:pos="1440"/>
          <w:tab w:val="left" w:pos="2160"/>
          <w:tab w:val="left" w:pos="2880"/>
          <w:tab w:val="left" w:pos="9083"/>
        </w:tabs>
        <w:rPr>
          <w:b w:val="0"/>
          <w:bCs w:val="0"/>
        </w:rPr>
      </w:pPr>
      <w:bookmarkStart w:id="0" w:name="_GoBack"/>
      <w:bookmarkEnd w:id="0"/>
      <w:r w:rsidRPr="005A1369">
        <w:rPr>
          <w:b w:val="0"/>
          <w:bCs w:val="0"/>
          <w:noProof/>
          <w:lang w:eastAsia="en-AU"/>
        </w:rPr>
        <w:drawing>
          <wp:anchor distT="0" distB="0" distL="114300" distR="114300" simplePos="0" relativeHeight="251658240" behindDoc="0" locked="0" layoutInCell="1" allowOverlap="1" wp14:anchorId="7728110B" wp14:editId="11F729D8">
            <wp:simplePos x="0" y="0"/>
            <wp:positionH relativeFrom="column">
              <wp:posOffset>4917440</wp:posOffset>
            </wp:positionH>
            <wp:positionV relativeFrom="paragraph">
              <wp:posOffset>70143</wp:posOffset>
            </wp:positionV>
            <wp:extent cx="1764000" cy="550800"/>
            <wp:effectExtent l="0" t="0" r="1905" b="0"/>
            <wp:wrapNone/>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0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74" w:rsidRPr="005A1369">
        <w:rPr>
          <w:b w:val="0"/>
          <w:bCs w:val="0"/>
        </w:rPr>
        <w:t>Role Description</w:t>
      </w:r>
      <w:r w:rsidRPr="005A1369">
        <w:rPr>
          <w:b w:val="0"/>
          <w:bCs w:val="0"/>
        </w:rPr>
        <w:tab/>
      </w:r>
    </w:p>
    <w:p w14:paraId="2C95B278" w14:textId="77777777" w:rsidR="00D64474" w:rsidRDefault="008B61FB" w:rsidP="00076EAB">
      <w:pPr>
        <w:pStyle w:val="Heading1"/>
        <w:tabs>
          <w:tab w:val="right" w:pos="10206"/>
        </w:tabs>
        <w:spacing w:after="120"/>
      </w:pPr>
      <w:r>
        <w:t>Senior Industrial Relations Specialist</w:t>
      </w:r>
    </w:p>
    <w:p w14:paraId="05EC5E9E"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4F4637F5"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57F68FA4"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28F161EB" w14:textId="77777777" w:rsidR="00C90657" w:rsidRPr="00C90657" w:rsidRDefault="005C4C30" w:rsidP="003E0D69">
            <w:pPr>
              <w:pStyle w:val="TableTextWhite"/>
              <w:rPr>
                <w:b/>
              </w:rPr>
            </w:pPr>
            <w:r>
              <w:rPr>
                <w:b/>
              </w:rPr>
              <w:t>Details</w:t>
            </w:r>
          </w:p>
        </w:tc>
      </w:tr>
      <w:tr w:rsidR="00DA6BE6" w:rsidRPr="00C978B9" w14:paraId="7A9FE66E" w14:textId="77777777" w:rsidTr="00103875">
        <w:trPr>
          <w:cantSplit/>
        </w:trPr>
        <w:tc>
          <w:tcPr>
            <w:tcW w:w="4026" w:type="dxa"/>
            <w:vAlign w:val="center"/>
          </w:tcPr>
          <w:p w14:paraId="53DD85B3" w14:textId="77777777" w:rsidR="00DA6BE6" w:rsidRPr="00853F21" w:rsidRDefault="00DA6BE6" w:rsidP="003E0D69">
            <w:pPr>
              <w:pStyle w:val="TableTextWhite"/>
              <w:rPr>
                <w:b/>
              </w:rPr>
            </w:pPr>
            <w:r w:rsidRPr="00853F21">
              <w:rPr>
                <w:b/>
              </w:rPr>
              <w:t>Cluster</w:t>
            </w:r>
          </w:p>
        </w:tc>
        <w:tc>
          <w:tcPr>
            <w:tcW w:w="6530" w:type="dxa"/>
          </w:tcPr>
          <w:p w14:paraId="745EF9BE" w14:textId="37280AF5" w:rsidR="00DA6BE6" w:rsidRPr="00853F21" w:rsidRDefault="005A1369" w:rsidP="003E0D69">
            <w:pPr>
              <w:pStyle w:val="TableTextWhite"/>
              <w:rPr>
                <w:b/>
              </w:rPr>
            </w:pPr>
            <w:r>
              <w:rPr>
                <w:b/>
              </w:rPr>
              <w:t>Regional NSW</w:t>
            </w:r>
          </w:p>
        </w:tc>
      </w:tr>
      <w:tr w:rsidR="00DA6BE6" w:rsidRPr="00C978B9" w14:paraId="5680E768" w14:textId="77777777" w:rsidTr="00103875">
        <w:trPr>
          <w:cantSplit/>
        </w:trPr>
        <w:tc>
          <w:tcPr>
            <w:tcW w:w="4026" w:type="dxa"/>
            <w:vAlign w:val="center"/>
          </w:tcPr>
          <w:p w14:paraId="63580644" w14:textId="77777777" w:rsidR="00DA6BE6" w:rsidRPr="00853F21" w:rsidRDefault="00DA6BE6" w:rsidP="003E0D69">
            <w:pPr>
              <w:pStyle w:val="TableTextWhite"/>
              <w:rPr>
                <w:b/>
              </w:rPr>
            </w:pPr>
            <w:bookmarkStart w:id="1" w:name="DeptAgency"/>
            <w:bookmarkEnd w:id="1"/>
            <w:r w:rsidRPr="00853F21">
              <w:rPr>
                <w:b/>
              </w:rPr>
              <w:t>Department/Agency</w:t>
            </w:r>
          </w:p>
        </w:tc>
        <w:tc>
          <w:tcPr>
            <w:tcW w:w="6530" w:type="dxa"/>
          </w:tcPr>
          <w:p w14:paraId="42F545BB" w14:textId="77777777" w:rsidR="00DA6BE6" w:rsidRPr="00853F21" w:rsidRDefault="004A3696" w:rsidP="003E0D69">
            <w:pPr>
              <w:pStyle w:val="TableTextWhite"/>
              <w:rPr>
                <w:b/>
              </w:rPr>
            </w:pPr>
            <w:r>
              <w:rPr>
                <w:b/>
              </w:rPr>
              <w:t>Department of Regional NSW</w:t>
            </w:r>
          </w:p>
        </w:tc>
      </w:tr>
      <w:tr w:rsidR="00DA6BE6" w:rsidRPr="00C978B9" w14:paraId="61BB761F" w14:textId="77777777" w:rsidTr="00103875">
        <w:trPr>
          <w:cantSplit/>
        </w:trPr>
        <w:tc>
          <w:tcPr>
            <w:tcW w:w="4026" w:type="dxa"/>
            <w:vAlign w:val="center"/>
          </w:tcPr>
          <w:p w14:paraId="2A3A5DC5" w14:textId="77777777" w:rsidR="00DA6BE6" w:rsidRPr="00853F21" w:rsidRDefault="00DA6BE6" w:rsidP="003E0D69">
            <w:pPr>
              <w:pStyle w:val="TableTextWhite"/>
              <w:rPr>
                <w:b/>
              </w:rPr>
            </w:pPr>
            <w:r w:rsidRPr="00853F21">
              <w:rPr>
                <w:b/>
              </w:rPr>
              <w:t>Division/Branch/Unit</w:t>
            </w:r>
          </w:p>
        </w:tc>
        <w:tc>
          <w:tcPr>
            <w:tcW w:w="6530" w:type="dxa"/>
          </w:tcPr>
          <w:p w14:paraId="1C2C1201" w14:textId="77777777" w:rsidR="00DA6BE6" w:rsidRPr="00853F21" w:rsidRDefault="004A3696" w:rsidP="003E0D69">
            <w:pPr>
              <w:pStyle w:val="TableTextWhite"/>
              <w:rPr>
                <w:b/>
              </w:rPr>
            </w:pPr>
            <w:r>
              <w:rPr>
                <w:b/>
              </w:rPr>
              <w:t>Corporate/People</w:t>
            </w:r>
          </w:p>
        </w:tc>
      </w:tr>
      <w:tr w:rsidR="004A3696" w:rsidRPr="00C978B9" w14:paraId="27C7985A" w14:textId="77777777" w:rsidTr="00103875">
        <w:trPr>
          <w:cantSplit/>
        </w:trPr>
        <w:tc>
          <w:tcPr>
            <w:tcW w:w="4026" w:type="dxa"/>
            <w:vAlign w:val="center"/>
          </w:tcPr>
          <w:p w14:paraId="6FAF6138" w14:textId="77777777" w:rsidR="004A3696" w:rsidRPr="00853F21" w:rsidRDefault="004A3696" w:rsidP="003E0D69">
            <w:pPr>
              <w:pStyle w:val="TableTextWhite"/>
              <w:rPr>
                <w:b/>
              </w:rPr>
            </w:pPr>
            <w:r w:rsidRPr="004A3696">
              <w:rPr>
                <w:b/>
              </w:rPr>
              <w:t>Role number</w:t>
            </w:r>
          </w:p>
        </w:tc>
        <w:tc>
          <w:tcPr>
            <w:tcW w:w="6530" w:type="dxa"/>
          </w:tcPr>
          <w:p w14:paraId="36319901" w14:textId="77777777" w:rsidR="004A3696" w:rsidRPr="004A3696" w:rsidRDefault="004A3696" w:rsidP="003E0D69">
            <w:pPr>
              <w:pStyle w:val="TableTextWhite"/>
              <w:rPr>
                <w:b/>
              </w:rPr>
            </w:pPr>
            <w:r>
              <w:rPr>
                <w:b/>
              </w:rPr>
              <w:t>51028217</w:t>
            </w:r>
          </w:p>
        </w:tc>
      </w:tr>
      <w:tr w:rsidR="00DA6BE6" w:rsidRPr="00C978B9" w14:paraId="7E04EE21" w14:textId="77777777" w:rsidTr="00103875">
        <w:trPr>
          <w:cantSplit/>
        </w:trPr>
        <w:tc>
          <w:tcPr>
            <w:tcW w:w="4026" w:type="dxa"/>
            <w:vAlign w:val="center"/>
          </w:tcPr>
          <w:p w14:paraId="2F2C7822" w14:textId="77777777" w:rsidR="00DA6BE6" w:rsidRPr="00853F21" w:rsidRDefault="00DA6BE6" w:rsidP="003E0D69">
            <w:pPr>
              <w:pStyle w:val="TableTextWhite"/>
              <w:rPr>
                <w:b/>
                <w:color w:val="000000"/>
              </w:rPr>
            </w:pPr>
            <w:r w:rsidRPr="00853F21">
              <w:rPr>
                <w:b/>
              </w:rPr>
              <w:t>Classification/Grade/Band</w:t>
            </w:r>
          </w:p>
        </w:tc>
        <w:tc>
          <w:tcPr>
            <w:tcW w:w="6530" w:type="dxa"/>
          </w:tcPr>
          <w:p w14:paraId="5809761C" w14:textId="77777777" w:rsidR="00DA6BE6" w:rsidRPr="00853F21" w:rsidRDefault="004A3696" w:rsidP="003E0D69">
            <w:pPr>
              <w:pStyle w:val="TableTextWhite"/>
              <w:rPr>
                <w:b/>
              </w:rPr>
            </w:pPr>
            <w:r>
              <w:rPr>
                <w:b/>
              </w:rPr>
              <w:t>Clerk Grade 9-10</w:t>
            </w:r>
          </w:p>
        </w:tc>
      </w:tr>
      <w:tr w:rsidR="004A3696" w:rsidRPr="00C978B9" w14:paraId="5CF940AE" w14:textId="77777777" w:rsidTr="00103875">
        <w:trPr>
          <w:cantSplit/>
        </w:trPr>
        <w:tc>
          <w:tcPr>
            <w:tcW w:w="4026" w:type="dxa"/>
            <w:vAlign w:val="center"/>
          </w:tcPr>
          <w:p w14:paraId="1E305FA7" w14:textId="77777777" w:rsidR="004A3696" w:rsidRPr="00853F21" w:rsidRDefault="004A3696" w:rsidP="003E0D69">
            <w:pPr>
              <w:pStyle w:val="TableTextWhite"/>
              <w:rPr>
                <w:b/>
              </w:rPr>
            </w:pPr>
            <w:r w:rsidRPr="004A3696">
              <w:rPr>
                <w:b/>
              </w:rPr>
              <w:t>Senior executive work level standards</w:t>
            </w:r>
          </w:p>
        </w:tc>
        <w:tc>
          <w:tcPr>
            <w:tcW w:w="6530" w:type="dxa"/>
          </w:tcPr>
          <w:p w14:paraId="40D2404A" w14:textId="77777777" w:rsidR="004A3696" w:rsidRPr="004A3696" w:rsidRDefault="004A3696" w:rsidP="003E0D69">
            <w:pPr>
              <w:pStyle w:val="TableTextWhite"/>
              <w:rPr>
                <w:b/>
              </w:rPr>
            </w:pPr>
            <w:r>
              <w:rPr>
                <w:b/>
              </w:rPr>
              <w:t>Not Applicable</w:t>
            </w:r>
          </w:p>
        </w:tc>
      </w:tr>
      <w:tr w:rsidR="00DA6BE6" w:rsidRPr="00C978B9" w14:paraId="68157267" w14:textId="77777777" w:rsidTr="00103875">
        <w:trPr>
          <w:cantSplit/>
        </w:trPr>
        <w:tc>
          <w:tcPr>
            <w:tcW w:w="4026" w:type="dxa"/>
            <w:vAlign w:val="center"/>
          </w:tcPr>
          <w:p w14:paraId="61333F55" w14:textId="77777777" w:rsidR="00DA6BE6" w:rsidRPr="00853F21" w:rsidRDefault="00DA6BE6" w:rsidP="003E0D69">
            <w:pPr>
              <w:pStyle w:val="TableTextWhite"/>
              <w:rPr>
                <w:b/>
                <w:color w:val="000000"/>
              </w:rPr>
            </w:pPr>
            <w:r w:rsidRPr="00853F21">
              <w:rPr>
                <w:b/>
              </w:rPr>
              <w:t>ANZSCO Code</w:t>
            </w:r>
          </w:p>
        </w:tc>
        <w:tc>
          <w:tcPr>
            <w:tcW w:w="6530" w:type="dxa"/>
          </w:tcPr>
          <w:p w14:paraId="06117DD8" w14:textId="77777777" w:rsidR="00DA6BE6" w:rsidRPr="00853F21" w:rsidRDefault="004A3696" w:rsidP="003E0D69">
            <w:pPr>
              <w:pStyle w:val="TableTextWhite"/>
              <w:rPr>
                <w:b/>
              </w:rPr>
            </w:pPr>
            <w:r>
              <w:rPr>
                <w:b/>
              </w:rPr>
              <w:t>223113</w:t>
            </w:r>
          </w:p>
        </w:tc>
      </w:tr>
      <w:tr w:rsidR="00DA6BE6" w:rsidRPr="00C978B9" w14:paraId="5C1FFB36" w14:textId="77777777" w:rsidTr="00103875">
        <w:trPr>
          <w:cantSplit/>
        </w:trPr>
        <w:tc>
          <w:tcPr>
            <w:tcW w:w="4026" w:type="dxa"/>
            <w:vAlign w:val="center"/>
          </w:tcPr>
          <w:p w14:paraId="19D2B655" w14:textId="77777777" w:rsidR="00DA6BE6" w:rsidRPr="00853F21" w:rsidRDefault="00DA6BE6" w:rsidP="003E0D69">
            <w:pPr>
              <w:pStyle w:val="TableTextWhite"/>
              <w:rPr>
                <w:b/>
                <w:color w:val="000000"/>
              </w:rPr>
            </w:pPr>
            <w:r w:rsidRPr="00853F21">
              <w:rPr>
                <w:b/>
              </w:rPr>
              <w:t>PCAT Code</w:t>
            </w:r>
          </w:p>
        </w:tc>
        <w:tc>
          <w:tcPr>
            <w:tcW w:w="6530" w:type="dxa"/>
          </w:tcPr>
          <w:p w14:paraId="43A99759" w14:textId="77777777" w:rsidR="00DA6BE6" w:rsidRPr="00853F21" w:rsidRDefault="004A3696" w:rsidP="003E0D69">
            <w:pPr>
              <w:pStyle w:val="TableTextWhite"/>
              <w:rPr>
                <w:b/>
              </w:rPr>
            </w:pPr>
            <w:r>
              <w:rPr>
                <w:b/>
              </w:rPr>
              <w:t>1119192</w:t>
            </w:r>
          </w:p>
        </w:tc>
      </w:tr>
      <w:tr w:rsidR="00DA6BE6" w:rsidRPr="00C978B9" w14:paraId="324D1845" w14:textId="77777777" w:rsidTr="00103875">
        <w:trPr>
          <w:cantSplit/>
        </w:trPr>
        <w:tc>
          <w:tcPr>
            <w:tcW w:w="4026" w:type="dxa"/>
            <w:vAlign w:val="center"/>
          </w:tcPr>
          <w:p w14:paraId="51F52434" w14:textId="77777777" w:rsidR="00DA6BE6" w:rsidRPr="00853F21" w:rsidRDefault="00DA6BE6" w:rsidP="003E0D69">
            <w:pPr>
              <w:pStyle w:val="TableTextWhite"/>
              <w:rPr>
                <w:b/>
                <w:color w:val="000000"/>
              </w:rPr>
            </w:pPr>
            <w:r w:rsidRPr="00853F21">
              <w:rPr>
                <w:b/>
              </w:rPr>
              <w:t>Date of Approval</w:t>
            </w:r>
          </w:p>
        </w:tc>
        <w:tc>
          <w:tcPr>
            <w:tcW w:w="6530" w:type="dxa"/>
          </w:tcPr>
          <w:p w14:paraId="447AB3B6" w14:textId="77777777" w:rsidR="00DA6BE6" w:rsidRPr="00853F21" w:rsidRDefault="004A3696" w:rsidP="003E0D69">
            <w:pPr>
              <w:pStyle w:val="TableTextWhite"/>
              <w:rPr>
                <w:b/>
              </w:rPr>
            </w:pPr>
            <w:r>
              <w:rPr>
                <w:b/>
              </w:rPr>
              <w:t>15 March 2022</w:t>
            </w:r>
          </w:p>
        </w:tc>
      </w:tr>
      <w:tr w:rsidR="004A3696" w:rsidRPr="00C978B9" w14:paraId="299FFEA5" w14:textId="77777777" w:rsidTr="00103875">
        <w:trPr>
          <w:cantSplit/>
        </w:trPr>
        <w:tc>
          <w:tcPr>
            <w:tcW w:w="4026" w:type="dxa"/>
            <w:vAlign w:val="center"/>
          </w:tcPr>
          <w:p w14:paraId="52A8F006" w14:textId="77777777" w:rsidR="004A3696" w:rsidRPr="00853F21" w:rsidRDefault="004A3696" w:rsidP="003E0D69">
            <w:pPr>
              <w:pStyle w:val="TableTextWhite"/>
              <w:rPr>
                <w:b/>
              </w:rPr>
            </w:pPr>
            <w:r w:rsidRPr="004A3696">
              <w:rPr>
                <w:b/>
              </w:rPr>
              <w:t>Agency Website</w:t>
            </w:r>
          </w:p>
        </w:tc>
        <w:tc>
          <w:tcPr>
            <w:tcW w:w="6530" w:type="dxa"/>
          </w:tcPr>
          <w:p w14:paraId="360CF1AB" w14:textId="77777777" w:rsidR="004A3696" w:rsidRPr="004A3696" w:rsidRDefault="004A3696" w:rsidP="003E0D69">
            <w:pPr>
              <w:pStyle w:val="TableTextWhite"/>
              <w:rPr>
                <w:b/>
              </w:rPr>
            </w:pPr>
            <w:r>
              <w:rPr>
                <w:b/>
              </w:rPr>
              <w:t>https://www.regional.nsw.gov.au/</w:t>
            </w:r>
          </w:p>
        </w:tc>
      </w:tr>
    </w:tbl>
    <w:p w14:paraId="79F8CB64" w14:textId="77777777" w:rsidR="00057CB3" w:rsidRPr="00C978B9" w:rsidRDefault="004A3696" w:rsidP="00FB27B0">
      <w:pPr>
        <w:pStyle w:val="Heading2"/>
      </w:pPr>
      <w:r w:rsidRPr="004A3696">
        <w:t>Agency overview</w:t>
      </w:r>
    </w:p>
    <w:p w14:paraId="589FB828" w14:textId="77777777" w:rsidR="00246BFC" w:rsidRDefault="004A3696" w:rsidP="00FB27B0">
      <w:pPr>
        <w:rPr>
          <w:lang w:eastAsia="en-AU"/>
        </w:rPr>
      </w:pPr>
      <w:bookmarkStart w:id="2" w:name="_Hlk30003721"/>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0268C80D" w14:textId="77777777" w:rsidR="004A3696" w:rsidRPr="00C978B9" w:rsidRDefault="004A3696" w:rsidP="004A3696">
      <w:pPr>
        <w:pStyle w:val="Heading2"/>
      </w:pPr>
      <w:r w:rsidRPr="00C978B9">
        <w:t>Primary purpose of t</w:t>
      </w:r>
      <w:r>
        <w:t>h</w:t>
      </w:r>
      <w:r w:rsidRPr="00C978B9">
        <w:t>e role</w:t>
      </w:r>
    </w:p>
    <w:p w14:paraId="08CF5552" w14:textId="77777777" w:rsidR="004A3696" w:rsidRPr="00A55204" w:rsidRDefault="004A3696" w:rsidP="00FB27B0">
      <w:pPr>
        <w:rPr>
          <w:bCs/>
          <w:lang w:eastAsia="en-AU"/>
        </w:rPr>
      </w:pPr>
      <w:r>
        <w:t>The Senior Industrial Relations Specialist advises and supports people leaders with employment conditions, Government sector wide industrial policy, disciplinary action and state-wide payroll/corporate operations issues in order to support the cluster to achieve its goals. The role also manages industrial disputes, tribunal advocacy, consultations and negotiations with unions.</w:t>
      </w:r>
    </w:p>
    <w:bookmarkEnd w:id="2"/>
    <w:p w14:paraId="1508DFEB" w14:textId="77777777" w:rsidR="00057CB3" w:rsidRPr="00980BCA" w:rsidRDefault="00057CB3" w:rsidP="000C453F">
      <w:pPr>
        <w:pStyle w:val="Heading2"/>
      </w:pPr>
      <w:r w:rsidRPr="00980BCA">
        <w:t xml:space="preserve">Key </w:t>
      </w:r>
      <w:r w:rsidR="00043B92" w:rsidRPr="00980BCA">
        <w:t>a</w:t>
      </w:r>
      <w:r w:rsidRPr="00980BCA">
        <w:t>ccountabilities</w:t>
      </w:r>
    </w:p>
    <w:p w14:paraId="1082FC87" w14:textId="046AAE84" w:rsidR="00F46A83" w:rsidRDefault="00F24597" w:rsidP="00641CB8">
      <w:pPr>
        <w:pStyle w:val="ListBullet"/>
        <w:rPr>
          <w:lang w:eastAsia="en-AU"/>
        </w:rPr>
      </w:pPr>
      <w:r>
        <w:t xml:space="preserve">Work as part of the Industrial Relations </w:t>
      </w:r>
      <w:r w:rsidR="00DE3E63">
        <w:t xml:space="preserve">and HR Business Partnering team </w:t>
      </w:r>
      <w:r>
        <w:t>to deliver strategic and technical IR advice to clients in a range of areas such as award interpretation, management of unsatisfactory performance and misconduct processes, IR legislation and employment related policies/procedures</w:t>
      </w:r>
    </w:p>
    <w:p w14:paraId="0C1E7A2F" w14:textId="2BADE259" w:rsidR="00F46A83" w:rsidRDefault="00F24597" w:rsidP="00641CB8">
      <w:pPr>
        <w:pStyle w:val="ListBullet"/>
        <w:rPr>
          <w:lang w:eastAsia="en-AU"/>
        </w:rPr>
      </w:pPr>
      <w:r>
        <w:t>Represent the Department in Industrial Tribunals in relation to industrial disputes, unfair dismissal applications and disciplinary appeals maintaining the principles of industrial fairness and fair industrial outcomes</w:t>
      </w:r>
    </w:p>
    <w:p w14:paraId="08422293" w14:textId="25333B22" w:rsidR="00F46A83" w:rsidRDefault="00F941E8" w:rsidP="00641CB8">
      <w:pPr>
        <w:pStyle w:val="ListBullet"/>
        <w:rPr>
          <w:lang w:eastAsia="en-AU"/>
        </w:rPr>
      </w:pPr>
      <w:r>
        <w:t>C</w:t>
      </w:r>
      <w:r w:rsidR="00F24597">
        <w:t>onsultat</w:t>
      </w:r>
      <w:r w:rsidR="00DE3E63">
        <w:t xml:space="preserve"> and </w:t>
      </w:r>
      <w:r w:rsidR="00F24597">
        <w:t>negotiat</w:t>
      </w:r>
      <w:r>
        <w:t>e</w:t>
      </w:r>
      <w:r w:rsidR="00F24597">
        <w:t xml:space="preserve"> with external stakeholders including unions, other government agencies and employment law specialists on a range of IR matters ensuring that outcomes are consistent with the requirements of the Government of the day and in line with best practice</w:t>
      </w:r>
    </w:p>
    <w:p w14:paraId="6C3513CA" w14:textId="59C1E5DE" w:rsidR="00F46A83" w:rsidRDefault="00F24597" w:rsidP="00641CB8">
      <w:pPr>
        <w:pStyle w:val="ListBullet"/>
        <w:rPr>
          <w:lang w:eastAsia="en-AU"/>
        </w:rPr>
      </w:pPr>
      <w:r>
        <w:t>Support and coach managers across the client groups on a range of options, methods and implications of IR issues to help facilitate best practice IR strategies and outcomes</w:t>
      </w:r>
    </w:p>
    <w:p w14:paraId="4B451F49" w14:textId="1AF8BBA8" w:rsidR="00F46A83" w:rsidRDefault="00F24597" w:rsidP="00641CB8">
      <w:pPr>
        <w:pStyle w:val="ListBullet"/>
        <w:rPr>
          <w:lang w:eastAsia="en-AU"/>
        </w:rPr>
      </w:pPr>
      <w:r>
        <w:t>Participate in the development, implementation and review of</w:t>
      </w:r>
      <w:r w:rsidR="00F941E8">
        <w:t xml:space="preserve"> People</w:t>
      </w:r>
      <w:r>
        <w:t xml:space="preserve"> policies and procedures for the Department that ensures compliance with agency and sector rules and legislation</w:t>
      </w:r>
    </w:p>
    <w:p w14:paraId="35CE0F28" w14:textId="6DD544DE" w:rsidR="00F46A83" w:rsidRDefault="00F24597" w:rsidP="00641CB8">
      <w:pPr>
        <w:pStyle w:val="ListBullet"/>
        <w:rPr>
          <w:lang w:eastAsia="en-AU"/>
        </w:rPr>
      </w:pPr>
      <w:r>
        <w:lastRenderedPageBreak/>
        <w:t>Act as a subject matter expert for colleagues on IR matters to resolve issues and provide solutions that optimise business outcomes</w:t>
      </w:r>
      <w:r w:rsidR="00F941E8">
        <w:t>.</w:t>
      </w:r>
    </w:p>
    <w:p w14:paraId="3D2850FE"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4EB7E37C" w14:textId="2DC399B2" w:rsidR="00F46A83" w:rsidRDefault="00F24597" w:rsidP="00641CB8">
      <w:pPr>
        <w:pStyle w:val="ListBullet"/>
        <w:rPr>
          <w:lang w:eastAsia="en-AU"/>
        </w:rPr>
      </w:pPr>
      <w:r>
        <w:t>Maintaining a detailed knowledge of relevant legislation and policy</w:t>
      </w:r>
    </w:p>
    <w:p w14:paraId="7F9EE343" w14:textId="6E0C5072" w:rsidR="00F46A83" w:rsidRDefault="00F24597" w:rsidP="00641CB8">
      <w:pPr>
        <w:pStyle w:val="ListBullet"/>
        <w:rPr>
          <w:lang w:eastAsia="en-AU"/>
        </w:rPr>
      </w:pPr>
      <w:r>
        <w:t>Maintaining open and effective communication with client managers, staff, unions and other external stakeholders in order to provide quality and timely IR advice and influence key stakeholders</w:t>
      </w:r>
    </w:p>
    <w:p w14:paraId="0D816BAB" w14:textId="77777777" w:rsidR="00057CB3" w:rsidRDefault="00043B92" w:rsidP="000C453F">
      <w:pPr>
        <w:pStyle w:val="Heading2"/>
      </w:pPr>
      <w:r>
        <w:t>Key r</w:t>
      </w:r>
      <w:r w:rsidR="00057CB3" w:rsidRPr="00C978B9">
        <w:t>elationships</w:t>
      </w:r>
    </w:p>
    <w:p w14:paraId="390C2902"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34E4A6A3"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228DF9CF"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3BB54A00" w14:textId="77777777" w:rsidR="00057CB3" w:rsidRPr="00C978B9" w:rsidRDefault="00057CB3" w:rsidP="00803E47">
            <w:pPr>
              <w:pStyle w:val="TableTextWhite0"/>
            </w:pPr>
            <w:r w:rsidRPr="00C978B9">
              <w:t>Why</w:t>
            </w:r>
          </w:p>
        </w:tc>
      </w:tr>
      <w:tr w:rsidR="0002436B" w:rsidRPr="00C978B9" w14:paraId="113714CD" w14:textId="77777777" w:rsidTr="00103875">
        <w:trPr>
          <w:cantSplit/>
        </w:trPr>
        <w:tc>
          <w:tcPr>
            <w:tcW w:w="3601" w:type="dxa"/>
          </w:tcPr>
          <w:p w14:paraId="42D97D60" w14:textId="77777777" w:rsidR="0002436B" w:rsidRPr="00A15CDB" w:rsidRDefault="00596C1A" w:rsidP="00A15CDB">
            <w:pPr>
              <w:pStyle w:val="TableText"/>
            </w:pPr>
            <w:bookmarkStart w:id="3" w:name="InternalRelationships"/>
            <w:r>
              <w:t>Director and Manager of function</w:t>
            </w:r>
          </w:p>
        </w:tc>
        <w:tc>
          <w:tcPr>
            <w:tcW w:w="6946" w:type="dxa"/>
          </w:tcPr>
          <w:p w14:paraId="2CABB4A0" w14:textId="18A08A88" w:rsidR="00F46A83" w:rsidRDefault="00F24597" w:rsidP="00641CB8">
            <w:pPr>
              <w:pStyle w:val="ListBullet"/>
              <w:rPr>
                <w:lang w:eastAsia="en-AU"/>
              </w:rPr>
            </w:pPr>
            <w:r>
              <w:t>Provide sound strategic and technical advice to influence decisions regarding industrial relations (IR) initiatives and innovation</w:t>
            </w:r>
          </w:p>
          <w:p w14:paraId="523D356A" w14:textId="3194E837" w:rsidR="00F46A83" w:rsidRDefault="00F24597" w:rsidP="00641CB8">
            <w:pPr>
              <w:pStyle w:val="ListBullet"/>
              <w:rPr>
                <w:lang w:eastAsia="en-AU"/>
              </w:rPr>
            </w:pPr>
            <w:r>
              <w:t>Provide information regarding issues and status of projects and strategies</w:t>
            </w:r>
          </w:p>
        </w:tc>
      </w:tr>
      <w:tr w:rsidR="0002436B" w:rsidRPr="00C978B9" w14:paraId="33FCAB0A" w14:textId="77777777" w:rsidTr="00103875">
        <w:trPr>
          <w:cantSplit/>
        </w:trPr>
        <w:tc>
          <w:tcPr>
            <w:tcW w:w="3601" w:type="dxa"/>
          </w:tcPr>
          <w:p w14:paraId="0925C887" w14:textId="77777777" w:rsidR="0002436B" w:rsidRPr="00A15CDB" w:rsidRDefault="00596C1A" w:rsidP="00A15CDB">
            <w:pPr>
              <w:pStyle w:val="TableText"/>
            </w:pPr>
            <w:r>
              <w:t>Client group executive, managers and staff</w:t>
            </w:r>
          </w:p>
        </w:tc>
        <w:tc>
          <w:tcPr>
            <w:tcW w:w="6946" w:type="dxa"/>
          </w:tcPr>
          <w:p w14:paraId="098AA489" w14:textId="77777777" w:rsidR="00F46A83" w:rsidRDefault="00F24597" w:rsidP="00641CB8">
            <w:pPr>
              <w:pStyle w:val="ListBullet"/>
              <w:rPr>
                <w:lang w:eastAsia="en-AU"/>
              </w:rPr>
            </w:pPr>
            <w:r>
              <w:t>Provide accurate and timely strategic and technical advice regarding IR initiatives, practice and decisions to achieve people management, change and business improvement outcomes</w:t>
            </w:r>
          </w:p>
          <w:p w14:paraId="26D6C5CE" w14:textId="04D156BD" w:rsidR="00F46A83" w:rsidRDefault="00F24597" w:rsidP="00641CB8">
            <w:pPr>
              <w:pStyle w:val="ListBullet"/>
              <w:rPr>
                <w:lang w:eastAsia="en-AU"/>
              </w:rPr>
            </w:pPr>
            <w:r>
              <w:t>Facilitate adoption of best practice IR strategies and programs where there are conflicting interests and opinions</w:t>
            </w:r>
          </w:p>
          <w:p w14:paraId="186F45DB" w14:textId="0CE8F936" w:rsidR="00F46A83" w:rsidRDefault="00F24597" w:rsidP="00641CB8">
            <w:pPr>
              <w:pStyle w:val="ListBullet"/>
              <w:rPr>
                <w:lang w:eastAsia="en-AU"/>
              </w:rPr>
            </w:pPr>
            <w:r>
              <w:t>Provide advice to resolve issues and provide solutions to problems</w:t>
            </w:r>
          </w:p>
          <w:p w14:paraId="2DDE3C9C" w14:textId="77777777" w:rsidR="00DE3E63" w:rsidRDefault="00F24597" w:rsidP="00DE3E63">
            <w:pPr>
              <w:pStyle w:val="ListBullet"/>
              <w:rPr>
                <w:lang w:eastAsia="en-AU"/>
              </w:rPr>
            </w:pPr>
            <w:r>
              <w:t>Provide information regarding agency and sector wide policies</w:t>
            </w:r>
          </w:p>
          <w:p w14:paraId="1EEAE269" w14:textId="6BEE3E70" w:rsidR="00F46A83" w:rsidRDefault="00F24597" w:rsidP="00DE3E63">
            <w:pPr>
              <w:pStyle w:val="ListBullet"/>
              <w:rPr>
                <w:lang w:eastAsia="en-AU"/>
              </w:rPr>
            </w:pPr>
            <w:r>
              <w:t>Ensure compliance with agency and sector rules and legislation</w:t>
            </w:r>
          </w:p>
        </w:tc>
      </w:tr>
      <w:tr w:rsidR="0002436B" w:rsidRPr="00C978B9" w14:paraId="6CB9293A" w14:textId="77777777" w:rsidTr="00103875">
        <w:trPr>
          <w:cantSplit/>
        </w:trPr>
        <w:tc>
          <w:tcPr>
            <w:tcW w:w="3601" w:type="dxa"/>
          </w:tcPr>
          <w:p w14:paraId="7F3A70C0" w14:textId="77777777" w:rsidR="0002436B" w:rsidRPr="00A15CDB" w:rsidRDefault="00596C1A" w:rsidP="00A15CDB">
            <w:pPr>
              <w:pStyle w:val="TableText"/>
            </w:pPr>
            <w:r>
              <w:t>Other HR Specialists and HR Business Partners</w:t>
            </w:r>
          </w:p>
        </w:tc>
        <w:tc>
          <w:tcPr>
            <w:tcW w:w="6946" w:type="dxa"/>
          </w:tcPr>
          <w:p w14:paraId="000478F4" w14:textId="2EA0C471" w:rsidR="00F46A83" w:rsidRDefault="00F24597" w:rsidP="00641CB8">
            <w:pPr>
              <w:pStyle w:val="ListBullet"/>
              <w:rPr>
                <w:lang w:eastAsia="en-AU"/>
              </w:rPr>
            </w:pPr>
            <w:r>
              <w:t>Participate in meetings and represent work group perspective and share information</w:t>
            </w:r>
          </w:p>
          <w:p w14:paraId="46A0DE37" w14:textId="650F7D01" w:rsidR="00F46A83" w:rsidRDefault="00F24597" w:rsidP="00641CB8">
            <w:pPr>
              <w:pStyle w:val="ListBullet"/>
              <w:rPr>
                <w:lang w:eastAsia="en-AU"/>
              </w:rPr>
            </w:pPr>
            <w:r>
              <w:t>Work collaboratively to achieve business outcomes for clients.</w:t>
            </w:r>
          </w:p>
          <w:p w14:paraId="2479B8F4" w14:textId="6BB519BA" w:rsidR="00F46A83" w:rsidRDefault="00F24597" w:rsidP="00641CB8">
            <w:pPr>
              <w:pStyle w:val="ListBullet"/>
              <w:rPr>
                <w:lang w:eastAsia="en-AU"/>
              </w:rPr>
            </w:pPr>
            <w:r>
              <w:t>Participate in discussions and decisions regarding implementation of innovation and best practice</w:t>
            </w:r>
          </w:p>
        </w:tc>
      </w:tr>
      <w:tr w:rsidR="0002436B" w:rsidRPr="00C978B9" w14:paraId="36BDF8A8" w14:textId="77777777" w:rsidTr="00103875">
        <w:trPr>
          <w:cantSplit/>
        </w:trPr>
        <w:tc>
          <w:tcPr>
            <w:tcW w:w="3601" w:type="dxa"/>
          </w:tcPr>
          <w:p w14:paraId="166F85F1" w14:textId="77777777" w:rsidR="0002436B" w:rsidRPr="00A15CDB" w:rsidRDefault="00596C1A" w:rsidP="00A15CDB">
            <w:pPr>
              <w:pStyle w:val="TableText"/>
            </w:pPr>
            <w:r>
              <w:t>Legal and Governance specialists</w:t>
            </w:r>
          </w:p>
        </w:tc>
        <w:tc>
          <w:tcPr>
            <w:tcW w:w="6946" w:type="dxa"/>
          </w:tcPr>
          <w:p w14:paraId="4F72295E" w14:textId="75336824" w:rsidR="00F46A83" w:rsidRDefault="00F24597" w:rsidP="00641CB8">
            <w:pPr>
              <w:pStyle w:val="ListBullet"/>
              <w:rPr>
                <w:lang w:eastAsia="en-AU"/>
              </w:rPr>
            </w:pPr>
            <w:r>
              <w:t>Provide information regarding issues and status of projects and strategies</w:t>
            </w:r>
          </w:p>
          <w:p w14:paraId="69A9EB8A" w14:textId="3A457338" w:rsidR="00F46A83" w:rsidRDefault="00F24597" w:rsidP="00641CB8">
            <w:pPr>
              <w:pStyle w:val="ListBullet"/>
              <w:rPr>
                <w:lang w:eastAsia="en-AU"/>
              </w:rPr>
            </w:pPr>
            <w:r>
              <w:t>Work collaboratively to achieve business outcomes for clients.</w:t>
            </w:r>
          </w:p>
        </w:tc>
      </w:tr>
    </w:tbl>
    <w:bookmarkEnd w:id="3"/>
    <w:p w14:paraId="30F9119C"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09329A12"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E255993"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9EA3651" w14:textId="77777777" w:rsidR="00C34914" w:rsidRPr="00C978B9" w:rsidRDefault="00C34914" w:rsidP="003E0D69">
            <w:pPr>
              <w:pStyle w:val="TableTextWhite0"/>
            </w:pPr>
            <w:r w:rsidRPr="00C978B9">
              <w:t>Why</w:t>
            </w:r>
          </w:p>
        </w:tc>
      </w:tr>
      <w:tr w:rsidR="00C34914" w:rsidRPr="00C978B9" w14:paraId="01BE60C3" w14:textId="77777777" w:rsidTr="00103875">
        <w:trPr>
          <w:cantSplit/>
        </w:trPr>
        <w:tc>
          <w:tcPr>
            <w:tcW w:w="3601" w:type="dxa"/>
          </w:tcPr>
          <w:p w14:paraId="754D5371" w14:textId="77777777" w:rsidR="00C34914" w:rsidRPr="00DA65BD" w:rsidRDefault="00596C1A" w:rsidP="003E0D69">
            <w:pPr>
              <w:pStyle w:val="TableText"/>
            </w:pPr>
            <w:bookmarkStart w:id="4" w:name="ExternalRelationships"/>
            <w:r>
              <w:t>Unions</w:t>
            </w:r>
          </w:p>
        </w:tc>
        <w:tc>
          <w:tcPr>
            <w:tcW w:w="6946" w:type="dxa"/>
          </w:tcPr>
          <w:p w14:paraId="32870B04" w14:textId="6DC3BE5B" w:rsidR="00F46A83" w:rsidRDefault="00F24597" w:rsidP="00641CB8">
            <w:pPr>
              <w:pStyle w:val="ListBullet"/>
              <w:rPr>
                <w:lang w:eastAsia="en-AU"/>
              </w:rPr>
            </w:pPr>
            <w:r>
              <w:t>Consult and negotiate the Department’s position on a range of matters</w:t>
            </w:r>
          </w:p>
        </w:tc>
      </w:tr>
      <w:tr w:rsidR="00C34914" w:rsidRPr="00C978B9" w14:paraId="5C3FD69F" w14:textId="77777777" w:rsidTr="00103875">
        <w:trPr>
          <w:cantSplit/>
        </w:trPr>
        <w:tc>
          <w:tcPr>
            <w:tcW w:w="3601" w:type="dxa"/>
          </w:tcPr>
          <w:p w14:paraId="7F92D72D" w14:textId="77777777" w:rsidR="00C34914" w:rsidRPr="00DA65BD" w:rsidRDefault="00596C1A" w:rsidP="003E0D69">
            <w:pPr>
              <w:pStyle w:val="TableText"/>
            </w:pPr>
            <w:r>
              <w:t>Other Government Agencies including Public Sector Employee Relations</w:t>
            </w:r>
          </w:p>
        </w:tc>
        <w:tc>
          <w:tcPr>
            <w:tcW w:w="6946" w:type="dxa"/>
          </w:tcPr>
          <w:p w14:paraId="3F55DE59" w14:textId="575A55A5" w:rsidR="00F46A83" w:rsidRDefault="00F24597" w:rsidP="00641CB8">
            <w:pPr>
              <w:pStyle w:val="ListBullet"/>
              <w:rPr>
                <w:lang w:eastAsia="en-AU"/>
              </w:rPr>
            </w:pPr>
            <w:r>
              <w:t>Ensure that industrial relations outcomes are consistent with the requirements of the Government of the day and in line with best practice</w:t>
            </w:r>
          </w:p>
        </w:tc>
      </w:tr>
      <w:tr w:rsidR="00C34914" w:rsidRPr="00C978B9" w14:paraId="2CCCABAD" w14:textId="77777777" w:rsidTr="00103875">
        <w:trPr>
          <w:cantSplit/>
        </w:trPr>
        <w:tc>
          <w:tcPr>
            <w:tcW w:w="3601" w:type="dxa"/>
          </w:tcPr>
          <w:p w14:paraId="181966E2" w14:textId="77777777" w:rsidR="00C34914" w:rsidRPr="00DA65BD" w:rsidRDefault="00596C1A" w:rsidP="003E0D69">
            <w:pPr>
              <w:pStyle w:val="TableText"/>
            </w:pPr>
            <w:r>
              <w:t>External legal counsel</w:t>
            </w:r>
          </w:p>
        </w:tc>
        <w:tc>
          <w:tcPr>
            <w:tcW w:w="6946" w:type="dxa"/>
          </w:tcPr>
          <w:p w14:paraId="218CACC4" w14:textId="41645F62" w:rsidR="00F46A83" w:rsidRDefault="00F24597" w:rsidP="00641CB8">
            <w:pPr>
              <w:pStyle w:val="ListBullet"/>
              <w:rPr>
                <w:lang w:eastAsia="en-AU"/>
              </w:rPr>
            </w:pPr>
            <w:r>
              <w:t>Work collaboratively to provide accurate and timely advice and information to ensure that the interests of the Department are best represented</w:t>
            </w:r>
          </w:p>
        </w:tc>
      </w:tr>
    </w:tbl>
    <w:bookmarkEnd w:id="4"/>
    <w:p w14:paraId="42E2E8D5" w14:textId="77777777" w:rsidR="00057CB3" w:rsidRPr="00C978B9" w:rsidRDefault="0002436B" w:rsidP="000C453F">
      <w:pPr>
        <w:pStyle w:val="Heading2"/>
      </w:pPr>
      <w:r w:rsidRPr="00C978B9">
        <w:lastRenderedPageBreak/>
        <w:t xml:space="preserve">Role </w:t>
      </w:r>
      <w:r w:rsidR="00043B92">
        <w:t>d</w:t>
      </w:r>
      <w:r w:rsidRPr="00C978B9">
        <w:t>imensions</w:t>
      </w:r>
    </w:p>
    <w:p w14:paraId="160B1D2E" w14:textId="77777777" w:rsidR="0002436B" w:rsidRDefault="001D133A" w:rsidP="000C453F">
      <w:pPr>
        <w:pStyle w:val="Heading3"/>
      </w:pPr>
      <w:r w:rsidRPr="00C978B9">
        <w:t>Decision making</w:t>
      </w:r>
    </w:p>
    <w:p w14:paraId="0A32CED2" w14:textId="77777777" w:rsidR="00DE3E63" w:rsidRPr="00DE3E63" w:rsidRDefault="00A55204" w:rsidP="00DE3E63">
      <w:pPr>
        <w:pStyle w:val="ListBullet"/>
        <w:rPr>
          <w:rFonts w:cs="Arial"/>
          <w:szCs w:val="22"/>
        </w:rPr>
      </w:pPr>
      <w:bookmarkStart w:id="5" w:name="_Hlk17372642"/>
      <w:r>
        <w:t>Acts in consultation with the Manager Industrial Relations to deliver outcomes</w:t>
      </w:r>
    </w:p>
    <w:p w14:paraId="3C773EE2" w14:textId="77777777" w:rsidR="00DE3E63" w:rsidRPr="00DE3E63" w:rsidRDefault="00A55204" w:rsidP="00DE3E63">
      <w:pPr>
        <w:pStyle w:val="ListBullet"/>
        <w:rPr>
          <w:rFonts w:cs="Arial"/>
          <w:szCs w:val="22"/>
        </w:rPr>
      </w:pPr>
      <w:r>
        <w:t>Prioritises and manages multiple tasks and demands including matters with critical turnaround times required by internal and external clients, including Executive and management teams</w:t>
      </w:r>
    </w:p>
    <w:p w14:paraId="65048931" w14:textId="77777777" w:rsidR="00DE3E63" w:rsidRPr="00DE3E63" w:rsidRDefault="00A55204" w:rsidP="00DE3E63">
      <w:pPr>
        <w:pStyle w:val="ListBullet"/>
        <w:rPr>
          <w:rFonts w:cs="Arial"/>
          <w:szCs w:val="22"/>
        </w:rPr>
      </w:pPr>
      <w:r>
        <w:t>Makes day to day decisions and provides guidance on appropriate courses of action that might be taken to address industrial relations issues</w:t>
      </w:r>
    </w:p>
    <w:p w14:paraId="436B3378" w14:textId="658972C3" w:rsidR="00BD7587" w:rsidRPr="007523A5" w:rsidRDefault="00A55204" w:rsidP="00DE3E63">
      <w:pPr>
        <w:pStyle w:val="ListBullet"/>
        <w:rPr>
          <w:rFonts w:cs="Arial"/>
          <w:szCs w:val="22"/>
        </w:rPr>
      </w:pPr>
      <w:r>
        <w:t>Exercises discretion to determine the approach to work and is responsible for interpretation and recommendations made</w:t>
      </w:r>
    </w:p>
    <w:bookmarkEnd w:id="5"/>
    <w:p w14:paraId="02A2608F" w14:textId="77777777" w:rsidR="001D133A" w:rsidRDefault="001D133A" w:rsidP="000C453F">
      <w:pPr>
        <w:pStyle w:val="Heading3"/>
      </w:pPr>
      <w:r w:rsidRPr="00C978B9">
        <w:t>Reporting line</w:t>
      </w:r>
    </w:p>
    <w:p w14:paraId="2A5EF8E3" w14:textId="77777777" w:rsidR="00E91D2A" w:rsidRDefault="00A55204" w:rsidP="001D133A">
      <w:r>
        <w:t>This role reports to the Manager Industrial Relations</w:t>
      </w:r>
    </w:p>
    <w:p w14:paraId="187ED305" w14:textId="77777777" w:rsidR="001D133A" w:rsidRDefault="001D133A" w:rsidP="000C453F">
      <w:pPr>
        <w:pStyle w:val="Heading3"/>
      </w:pPr>
      <w:r w:rsidRPr="00C978B9">
        <w:t>Direct reports</w:t>
      </w:r>
    </w:p>
    <w:p w14:paraId="547213EC" w14:textId="77777777" w:rsidR="001D133A" w:rsidRPr="00C978B9" w:rsidRDefault="00A55204" w:rsidP="001D133A">
      <w:r>
        <w:t>N/A</w:t>
      </w:r>
    </w:p>
    <w:p w14:paraId="37732BE9" w14:textId="77777777" w:rsidR="001D133A" w:rsidRDefault="001D133A" w:rsidP="000C453F">
      <w:pPr>
        <w:pStyle w:val="Heading3"/>
      </w:pPr>
      <w:r w:rsidRPr="00C978B9">
        <w:t>Budget/Expenditure</w:t>
      </w:r>
    </w:p>
    <w:p w14:paraId="5868680E" w14:textId="77777777" w:rsidR="005505E4" w:rsidRDefault="00A55204" w:rsidP="005505E4">
      <w:r>
        <w:t>N/A</w:t>
      </w:r>
    </w:p>
    <w:p w14:paraId="386CB5D5" w14:textId="77777777" w:rsidR="009E0B71" w:rsidRPr="00C978B9" w:rsidRDefault="009E0B71" w:rsidP="000C453F">
      <w:pPr>
        <w:pStyle w:val="Heading2"/>
      </w:pPr>
      <w:bookmarkStart w:id="6" w:name="_Hlk36203683"/>
      <w:bookmarkStart w:id="7" w:name="_Hlk36565316"/>
      <w:bookmarkStart w:id="8" w:name="_Hlk36209343"/>
      <w:bookmarkStart w:id="9" w:name="_Hlk36710441"/>
      <w:bookmarkStart w:id="10" w:name="_Hlk36722467"/>
      <w:bookmarkStart w:id="11" w:name="_Hlk40182787"/>
      <w:bookmarkStart w:id="12" w:name="_Hlk17375576"/>
      <w:bookmarkStart w:id="13" w:name="_Hlk36397202"/>
      <w:r w:rsidRPr="00C978B9">
        <w:t>Capabilities for the role</w:t>
      </w:r>
    </w:p>
    <w:p w14:paraId="3D887090" w14:textId="77777777" w:rsidR="009E0B71" w:rsidRPr="00175AAF" w:rsidRDefault="009E0B71" w:rsidP="009E0B71">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6532964" w14:textId="77777777" w:rsidR="003E0111" w:rsidRPr="003C7A36" w:rsidRDefault="009E0B71" w:rsidP="00E97E4E">
      <w:r w:rsidRPr="003E0111">
        <w:t>The capabilities are separated into focus capabilities and complementary capabilities</w:t>
      </w:r>
    </w:p>
    <w:p w14:paraId="2F67BC71" w14:textId="77777777" w:rsidR="009E0B71" w:rsidRPr="00C978B9" w:rsidRDefault="009E0B71" w:rsidP="000C453F">
      <w:pPr>
        <w:pStyle w:val="Heading2"/>
      </w:pPr>
      <w:r w:rsidRPr="00C978B9">
        <w:t xml:space="preserve">Focus </w:t>
      </w:r>
      <w:r>
        <w:t>c</w:t>
      </w:r>
      <w:r w:rsidRPr="00C978B9">
        <w:t>apabilities</w:t>
      </w:r>
      <w:r w:rsidR="00AC56D6">
        <w:tab/>
      </w:r>
    </w:p>
    <w:p w14:paraId="39B51018"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723748C6"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4DEFCEE3"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2FF2DC67"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03E0B728"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5EDF2118"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31056BF6"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380B98D4" w14:textId="77777777" w:rsidR="00372FE9" w:rsidRPr="00372FE9" w:rsidRDefault="00372FE9" w:rsidP="00372FE9">
            <w:pPr>
              <w:rPr>
                <w:b/>
                <w:bCs/>
                <w:sz w:val="20"/>
              </w:rPr>
            </w:pPr>
            <w:r w:rsidRPr="00372FE9">
              <w:rPr>
                <w:b/>
                <w:bCs/>
                <w:sz w:val="20"/>
              </w:rPr>
              <w:t>Level</w:t>
            </w:r>
          </w:p>
        </w:tc>
      </w:tr>
      <w:tr w:rsidR="006F0836" w:rsidRPr="003C7A36" w14:paraId="7D11E5FC" w14:textId="77777777" w:rsidTr="004C659E">
        <w:trPr>
          <w:cantSplit/>
        </w:trPr>
        <w:tc>
          <w:tcPr>
            <w:tcW w:w="1385" w:type="dxa"/>
          </w:tcPr>
          <w:p w14:paraId="12FE17AA"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E3D2B7A" wp14:editId="6BB9D636">
                  <wp:extent cx="749300" cy="749300"/>
                  <wp:effectExtent l="0" t="0" r="0" b="0"/>
                  <wp:docPr id="4863"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8DE89BC" w14:textId="77777777" w:rsidR="00667FCB" w:rsidRDefault="006F0836" w:rsidP="004A1A64">
            <w:pPr>
              <w:rPr>
                <w:rFonts w:cs="Arial"/>
                <w:color w:val="000000"/>
                <w:sz w:val="20"/>
              </w:rPr>
            </w:pPr>
            <w:r w:rsidRPr="003C7A36">
              <w:rPr>
                <w:rFonts w:cs="Arial"/>
                <w:b/>
                <w:bCs/>
                <w:color w:val="000000"/>
                <w:sz w:val="20"/>
              </w:rPr>
              <w:t>Display Resilience and Courage</w:t>
            </w:r>
          </w:p>
          <w:p w14:paraId="4C56B4E2" w14:textId="77777777" w:rsidR="006F0836" w:rsidRPr="00667FCB" w:rsidRDefault="006F0836" w:rsidP="004A1A64">
            <w:pPr>
              <w:rPr>
                <w:rFonts w:cs="Arial"/>
                <w:color w:val="000000"/>
                <w:sz w:val="20"/>
              </w:rPr>
            </w:pPr>
            <w:r w:rsidRPr="003C7A36">
              <w:rPr>
                <w:rFonts w:cs="Arial"/>
                <w:color w:val="000000"/>
                <w:sz w:val="20"/>
              </w:rPr>
              <w:t>Be open and honest, prepared to express your views, and willing to accept and commit to change</w:t>
            </w:r>
          </w:p>
        </w:tc>
        <w:tc>
          <w:tcPr>
            <w:tcW w:w="4709" w:type="dxa"/>
          </w:tcPr>
          <w:p w14:paraId="356615CC" w14:textId="77777777" w:rsidR="006F0836" w:rsidRPr="003C7A36" w:rsidRDefault="006F0836" w:rsidP="00A55204">
            <w:pPr>
              <w:pStyle w:val="TableBullet"/>
            </w:pPr>
            <w:r w:rsidRPr="003C7A36">
              <w:t>Be flexible, show initiative and respond quickly when situations change</w:t>
            </w:r>
          </w:p>
          <w:p w14:paraId="285F08D4" w14:textId="77777777" w:rsidR="006F0836" w:rsidRPr="003C7A36" w:rsidRDefault="006F0836" w:rsidP="00A55204">
            <w:pPr>
              <w:pStyle w:val="TableBullet"/>
            </w:pPr>
            <w:r w:rsidRPr="003C7A36">
              <w:t>Give frank and honest feedback and advice</w:t>
            </w:r>
          </w:p>
          <w:p w14:paraId="60E27F0F" w14:textId="77777777" w:rsidR="006F0836" w:rsidRPr="003C7A36" w:rsidRDefault="006F0836" w:rsidP="00A55204">
            <w:pPr>
              <w:pStyle w:val="TableBullet"/>
            </w:pPr>
            <w:r w:rsidRPr="003C7A36">
              <w:t>Listen when ideas are challenged, seek to understand the nature of the comment and respond appropriately</w:t>
            </w:r>
          </w:p>
          <w:p w14:paraId="6C315EAE" w14:textId="77777777" w:rsidR="006F0836" w:rsidRPr="003C7A36" w:rsidRDefault="006F0836" w:rsidP="00A55204">
            <w:pPr>
              <w:pStyle w:val="TableBullet"/>
            </w:pPr>
            <w:r w:rsidRPr="003C7A36">
              <w:t>Raise and work through challenging issues and seek alternatives</w:t>
            </w:r>
          </w:p>
          <w:p w14:paraId="3D0A1932" w14:textId="77777777" w:rsidR="006F0836" w:rsidRPr="003C7A36" w:rsidRDefault="006F0836" w:rsidP="00A55204">
            <w:pPr>
              <w:pStyle w:val="TableBullet"/>
            </w:pPr>
            <w:r w:rsidRPr="003C7A36">
              <w:t>Remain composed and calm under pressure and in challenging situations</w:t>
            </w:r>
          </w:p>
        </w:tc>
        <w:tc>
          <w:tcPr>
            <w:tcW w:w="1668" w:type="dxa"/>
          </w:tcPr>
          <w:p w14:paraId="477560DD" w14:textId="77777777" w:rsidR="006F0836" w:rsidRPr="006F0836" w:rsidRDefault="004C659E" w:rsidP="00544127">
            <w:pPr>
              <w:pStyle w:val="TableText"/>
            </w:pPr>
            <w:r w:rsidRPr="004C659E">
              <w:t>Adept</w:t>
            </w:r>
          </w:p>
        </w:tc>
      </w:tr>
      <w:tr w:rsidR="006F0836" w:rsidRPr="003C7A36" w14:paraId="389387E5" w14:textId="77777777" w:rsidTr="004C659E">
        <w:trPr>
          <w:cantSplit/>
        </w:trPr>
        <w:tc>
          <w:tcPr>
            <w:tcW w:w="1385" w:type="dxa"/>
          </w:tcPr>
          <w:p w14:paraId="32B0DD5F"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535BCF3A" wp14:editId="0429B66C">
                  <wp:extent cx="749300" cy="749300"/>
                  <wp:effectExtent l="0" t="0" r="0" b="0"/>
                  <wp:docPr id="1278"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62963D9" w14:textId="77777777" w:rsidR="00667FCB" w:rsidRDefault="006F0836" w:rsidP="004A1A64">
            <w:pPr>
              <w:rPr>
                <w:rFonts w:cs="Arial"/>
                <w:color w:val="000000"/>
                <w:sz w:val="20"/>
              </w:rPr>
            </w:pPr>
            <w:r w:rsidRPr="003C7A36">
              <w:rPr>
                <w:rFonts w:cs="Arial"/>
                <w:b/>
                <w:bCs/>
                <w:color w:val="000000"/>
                <w:sz w:val="20"/>
              </w:rPr>
              <w:t>Act with Integrity</w:t>
            </w:r>
          </w:p>
          <w:p w14:paraId="3CE8499C" w14:textId="77777777" w:rsidR="006F0836" w:rsidRPr="00667FCB" w:rsidRDefault="006F0836" w:rsidP="004A1A64">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365CADFB" w14:textId="77777777" w:rsidR="006F0836" w:rsidRPr="003C7A36" w:rsidRDefault="006F0836" w:rsidP="00A55204">
            <w:pPr>
              <w:pStyle w:val="TableBullet"/>
            </w:pPr>
            <w:r w:rsidRPr="003C7A36">
              <w:t>Represent the organisation in an honest, ethical and professional way and encourage others to do so</w:t>
            </w:r>
          </w:p>
          <w:p w14:paraId="1C8B3487" w14:textId="77777777" w:rsidR="006F0836" w:rsidRPr="003C7A36" w:rsidRDefault="006F0836" w:rsidP="00A55204">
            <w:pPr>
              <w:pStyle w:val="TableBullet"/>
            </w:pPr>
            <w:r w:rsidRPr="003C7A36">
              <w:t>Act professionally and support a culture of integrity</w:t>
            </w:r>
          </w:p>
          <w:p w14:paraId="236AD751" w14:textId="77777777" w:rsidR="006F0836" w:rsidRPr="003C7A36" w:rsidRDefault="006F0836" w:rsidP="00A55204">
            <w:pPr>
              <w:pStyle w:val="TableBullet"/>
            </w:pPr>
            <w:r w:rsidRPr="003C7A36">
              <w:t>Identify and explain ethical issues and set an example for others to follow</w:t>
            </w:r>
          </w:p>
          <w:p w14:paraId="54D301B6" w14:textId="77777777" w:rsidR="006F0836" w:rsidRPr="003C7A36" w:rsidRDefault="006F0836" w:rsidP="00A55204">
            <w:pPr>
              <w:pStyle w:val="TableBullet"/>
            </w:pPr>
            <w:r w:rsidRPr="003C7A36">
              <w:t>Ensure that others are aware of and understand the legislation and policy framework within which they operate</w:t>
            </w:r>
          </w:p>
          <w:p w14:paraId="3DF5814D" w14:textId="77777777" w:rsidR="006F0836" w:rsidRPr="003C7A36" w:rsidRDefault="006F0836" w:rsidP="00A55204">
            <w:pPr>
              <w:pStyle w:val="TableBullet"/>
            </w:pPr>
            <w:r w:rsidRPr="003C7A36">
              <w:t>Act to prevent and report misconduct and illegal and inappropriate behaviour</w:t>
            </w:r>
          </w:p>
        </w:tc>
        <w:tc>
          <w:tcPr>
            <w:tcW w:w="1668" w:type="dxa"/>
          </w:tcPr>
          <w:p w14:paraId="0E6E4D2E" w14:textId="77777777" w:rsidR="006F0836" w:rsidRPr="006F0836" w:rsidRDefault="004C659E" w:rsidP="00544127">
            <w:pPr>
              <w:pStyle w:val="TableText"/>
            </w:pPr>
            <w:r w:rsidRPr="004C659E">
              <w:t>Adept</w:t>
            </w:r>
          </w:p>
        </w:tc>
      </w:tr>
      <w:tr w:rsidR="006F0836" w:rsidRPr="003C7A36" w14:paraId="588024D6" w14:textId="77777777" w:rsidTr="004C659E">
        <w:trPr>
          <w:cantSplit/>
        </w:trPr>
        <w:tc>
          <w:tcPr>
            <w:tcW w:w="1385" w:type="dxa"/>
          </w:tcPr>
          <w:p w14:paraId="0ED1402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F47F240" wp14:editId="162550C0">
                  <wp:extent cx="749300" cy="749300"/>
                  <wp:effectExtent l="0" t="0" r="0" b="0"/>
                  <wp:docPr id="291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C96B11F" w14:textId="77777777" w:rsidR="00667FCB" w:rsidRDefault="006F0836" w:rsidP="004A1A64">
            <w:pPr>
              <w:rPr>
                <w:rFonts w:cs="Arial"/>
                <w:color w:val="000000"/>
                <w:sz w:val="20"/>
              </w:rPr>
            </w:pPr>
            <w:r w:rsidRPr="003C7A36">
              <w:rPr>
                <w:rFonts w:cs="Arial"/>
                <w:b/>
                <w:bCs/>
                <w:color w:val="000000"/>
                <w:sz w:val="20"/>
              </w:rPr>
              <w:t>Commit to Customer Service</w:t>
            </w:r>
          </w:p>
          <w:p w14:paraId="0C15B866" w14:textId="77777777" w:rsidR="006F0836" w:rsidRPr="00667FCB" w:rsidRDefault="006F0836" w:rsidP="004A1A64">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384FD521" w14:textId="77777777" w:rsidR="006F0836" w:rsidRPr="003C7A36" w:rsidRDefault="006F0836" w:rsidP="00A55204">
            <w:pPr>
              <w:pStyle w:val="TableBullet"/>
            </w:pPr>
            <w:r w:rsidRPr="003C7A36">
              <w:t>Take responsibility for delivering high-quality customer-focused services</w:t>
            </w:r>
          </w:p>
          <w:p w14:paraId="69B0360B" w14:textId="77777777" w:rsidR="006F0836" w:rsidRPr="003C7A36" w:rsidRDefault="006F0836" w:rsidP="00A55204">
            <w:pPr>
              <w:pStyle w:val="TableBullet"/>
            </w:pPr>
            <w:r w:rsidRPr="003C7A36">
              <w:t>Design processes and policies based on the customer’s point of view and needs</w:t>
            </w:r>
          </w:p>
          <w:p w14:paraId="281622C8" w14:textId="77777777" w:rsidR="006F0836" w:rsidRPr="003C7A36" w:rsidRDefault="006F0836" w:rsidP="00A55204">
            <w:pPr>
              <w:pStyle w:val="TableBullet"/>
            </w:pPr>
            <w:r w:rsidRPr="003C7A36">
              <w:t>Understand and measure what is important to customers</w:t>
            </w:r>
          </w:p>
          <w:p w14:paraId="744123E0" w14:textId="77777777" w:rsidR="006F0836" w:rsidRPr="003C7A36" w:rsidRDefault="006F0836" w:rsidP="00A55204">
            <w:pPr>
              <w:pStyle w:val="TableBullet"/>
            </w:pPr>
            <w:r w:rsidRPr="003C7A36">
              <w:t>Use data and information to monitor and improve customer service delivery</w:t>
            </w:r>
          </w:p>
          <w:p w14:paraId="020A44AF" w14:textId="77777777" w:rsidR="006F0836" w:rsidRPr="003C7A36" w:rsidRDefault="006F0836" w:rsidP="00A55204">
            <w:pPr>
              <w:pStyle w:val="TableBullet"/>
            </w:pPr>
            <w:r w:rsidRPr="003C7A36">
              <w:t>Find opportunities to cooperate with internal and external stakeholders to improve outcomes for customers</w:t>
            </w:r>
          </w:p>
          <w:p w14:paraId="5EF9AE3C" w14:textId="77777777" w:rsidR="006F0836" w:rsidRPr="003C7A36" w:rsidRDefault="006F0836" w:rsidP="00A55204">
            <w:pPr>
              <w:pStyle w:val="TableBullet"/>
            </w:pPr>
            <w:r w:rsidRPr="003C7A36">
              <w:t>Maintain relationships with key customers in area of expertise</w:t>
            </w:r>
          </w:p>
          <w:p w14:paraId="2B9E2AA3" w14:textId="77777777" w:rsidR="006F0836" w:rsidRPr="003C7A36" w:rsidRDefault="006F0836" w:rsidP="00A55204">
            <w:pPr>
              <w:pStyle w:val="TableBullet"/>
            </w:pPr>
            <w:r w:rsidRPr="003C7A36">
              <w:t>Connect and collaborate with relevant customers within the community</w:t>
            </w:r>
          </w:p>
        </w:tc>
        <w:tc>
          <w:tcPr>
            <w:tcW w:w="1668" w:type="dxa"/>
          </w:tcPr>
          <w:p w14:paraId="6DD67CD7" w14:textId="77777777" w:rsidR="006F0836" w:rsidRPr="006F0836" w:rsidRDefault="004C659E" w:rsidP="00544127">
            <w:pPr>
              <w:pStyle w:val="TableText"/>
            </w:pPr>
            <w:r w:rsidRPr="004C659E">
              <w:t>Adept</w:t>
            </w:r>
          </w:p>
        </w:tc>
      </w:tr>
      <w:tr w:rsidR="006F0836" w:rsidRPr="003C7A36" w14:paraId="459C1236" w14:textId="77777777" w:rsidTr="004C659E">
        <w:trPr>
          <w:cantSplit/>
        </w:trPr>
        <w:tc>
          <w:tcPr>
            <w:tcW w:w="1385" w:type="dxa"/>
          </w:tcPr>
          <w:p w14:paraId="471212C3"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097A4E0" wp14:editId="449CF805">
                  <wp:extent cx="749300" cy="749300"/>
                  <wp:effectExtent l="0" t="0" r="0" b="0"/>
                  <wp:docPr id="9318"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B66A7B2" w14:textId="77777777" w:rsidR="00667FCB" w:rsidRDefault="006F0836" w:rsidP="004A1A64">
            <w:pPr>
              <w:rPr>
                <w:rFonts w:cs="Arial"/>
                <w:color w:val="000000"/>
                <w:sz w:val="20"/>
              </w:rPr>
            </w:pPr>
            <w:r w:rsidRPr="003C7A36">
              <w:rPr>
                <w:rFonts w:cs="Arial"/>
                <w:b/>
                <w:bCs/>
                <w:color w:val="000000"/>
                <w:sz w:val="20"/>
              </w:rPr>
              <w:t>Work Collaboratively</w:t>
            </w:r>
          </w:p>
          <w:p w14:paraId="4C3C1DDF"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3952D56B" w14:textId="77777777" w:rsidR="006F0836" w:rsidRPr="003C7A36" w:rsidRDefault="006F0836" w:rsidP="00A55204">
            <w:pPr>
              <w:pStyle w:val="TableBullet"/>
            </w:pPr>
            <w:r w:rsidRPr="003C7A36">
              <w:t>Encourage a culture that recognises the value of collaboration</w:t>
            </w:r>
          </w:p>
          <w:p w14:paraId="39D248CE" w14:textId="77777777" w:rsidR="006F0836" w:rsidRPr="003C7A36" w:rsidRDefault="006F0836" w:rsidP="00A55204">
            <w:pPr>
              <w:pStyle w:val="TableBullet"/>
            </w:pPr>
            <w:r w:rsidRPr="003C7A36">
              <w:t>Build cooperation and overcome barriers to information sharing and communication across teams and units</w:t>
            </w:r>
          </w:p>
          <w:p w14:paraId="533FE5FE" w14:textId="77777777" w:rsidR="006F0836" w:rsidRPr="003C7A36" w:rsidRDefault="006F0836" w:rsidP="00A55204">
            <w:pPr>
              <w:pStyle w:val="TableBullet"/>
            </w:pPr>
            <w:r w:rsidRPr="003C7A36">
              <w:t>Share lessons learned across teams and units</w:t>
            </w:r>
          </w:p>
          <w:p w14:paraId="55673556" w14:textId="77777777" w:rsidR="006F0836" w:rsidRPr="003C7A36" w:rsidRDefault="006F0836" w:rsidP="00A55204">
            <w:pPr>
              <w:pStyle w:val="TableBullet"/>
            </w:pPr>
            <w:r w:rsidRPr="003C7A36">
              <w:t>Identify opportunities to leverage the strengths of others to solve issues and develop better processes and approaches to work</w:t>
            </w:r>
          </w:p>
          <w:p w14:paraId="73760BF1" w14:textId="77777777" w:rsidR="006F0836" w:rsidRPr="003C7A36" w:rsidRDefault="006F0836" w:rsidP="00A55204">
            <w:pPr>
              <w:pStyle w:val="TableBullet"/>
            </w:pPr>
            <w:r w:rsidRPr="003C7A36">
              <w:t>Actively use collaboration tools, including digital technologies, to engage diverse audiences in solving problems and improving services</w:t>
            </w:r>
          </w:p>
        </w:tc>
        <w:tc>
          <w:tcPr>
            <w:tcW w:w="1668" w:type="dxa"/>
          </w:tcPr>
          <w:p w14:paraId="12B50561" w14:textId="77777777" w:rsidR="006F0836" w:rsidRPr="006F0836" w:rsidRDefault="004C659E" w:rsidP="00544127">
            <w:pPr>
              <w:pStyle w:val="TableText"/>
            </w:pPr>
            <w:r w:rsidRPr="004C659E">
              <w:t>Adept</w:t>
            </w:r>
          </w:p>
        </w:tc>
      </w:tr>
      <w:tr w:rsidR="006F0836" w:rsidRPr="003C7A36" w14:paraId="08A46CBB" w14:textId="77777777" w:rsidTr="004C659E">
        <w:trPr>
          <w:cantSplit/>
        </w:trPr>
        <w:tc>
          <w:tcPr>
            <w:tcW w:w="1385" w:type="dxa"/>
          </w:tcPr>
          <w:p w14:paraId="0F736F6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4E3BF11" wp14:editId="4025D48E">
                  <wp:extent cx="749300" cy="749300"/>
                  <wp:effectExtent l="0" t="0" r="0" b="0"/>
                  <wp:docPr id="96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A853DFF" w14:textId="77777777" w:rsidR="00667FCB" w:rsidRDefault="006F0836" w:rsidP="004A1A64">
            <w:pPr>
              <w:rPr>
                <w:rFonts w:cs="Arial"/>
                <w:color w:val="000000"/>
                <w:sz w:val="20"/>
              </w:rPr>
            </w:pPr>
            <w:r w:rsidRPr="003C7A36">
              <w:rPr>
                <w:rFonts w:cs="Arial"/>
                <w:b/>
                <w:bCs/>
                <w:color w:val="000000"/>
                <w:sz w:val="20"/>
              </w:rPr>
              <w:t>Influence and Negotiate</w:t>
            </w:r>
          </w:p>
          <w:p w14:paraId="44A84457" w14:textId="77777777" w:rsidR="006F0836" w:rsidRPr="00667FCB" w:rsidRDefault="006F0836" w:rsidP="004A1A64">
            <w:pPr>
              <w:rPr>
                <w:rFonts w:cs="Arial"/>
                <w:color w:val="000000"/>
                <w:sz w:val="20"/>
              </w:rPr>
            </w:pPr>
            <w:r w:rsidRPr="003C7A36">
              <w:rPr>
                <w:rFonts w:cs="Arial"/>
                <w:color w:val="000000"/>
                <w:sz w:val="20"/>
              </w:rPr>
              <w:t>Gain consensus and commitment from others, and resolve issues and conflicts</w:t>
            </w:r>
          </w:p>
        </w:tc>
        <w:tc>
          <w:tcPr>
            <w:tcW w:w="4709" w:type="dxa"/>
          </w:tcPr>
          <w:p w14:paraId="06529C3E" w14:textId="77777777" w:rsidR="006F0836" w:rsidRPr="003C7A36" w:rsidRDefault="006F0836" w:rsidP="00A55204">
            <w:pPr>
              <w:pStyle w:val="TableBullet"/>
            </w:pPr>
            <w:r w:rsidRPr="003C7A36">
              <w:t>Use facts, knowledge and experience to support recommendations</w:t>
            </w:r>
          </w:p>
          <w:p w14:paraId="2A40B9D0" w14:textId="77777777" w:rsidR="006F0836" w:rsidRPr="003C7A36" w:rsidRDefault="006F0836" w:rsidP="00A55204">
            <w:pPr>
              <w:pStyle w:val="TableBullet"/>
            </w:pPr>
            <w:r w:rsidRPr="003C7A36">
              <w:t>Work towards positive and mutually satisfactory outcomes</w:t>
            </w:r>
          </w:p>
          <w:p w14:paraId="10251863" w14:textId="77777777" w:rsidR="006F0836" w:rsidRPr="003C7A36" w:rsidRDefault="006F0836" w:rsidP="00A55204">
            <w:pPr>
              <w:pStyle w:val="TableBullet"/>
            </w:pPr>
            <w:r w:rsidRPr="003C7A36">
              <w:t>Identify and resolve issues in discussion with other staff and stakeholders</w:t>
            </w:r>
          </w:p>
          <w:p w14:paraId="7A254DCD" w14:textId="77777777" w:rsidR="006F0836" w:rsidRPr="003C7A36" w:rsidRDefault="006F0836" w:rsidP="00A55204">
            <w:pPr>
              <w:pStyle w:val="TableBullet"/>
            </w:pPr>
            <w:r w:rsidRPr="003C7A36">
              <w:t>Identify others’ concerns and expectations</w:t>
            </w:r>
          </w:p>
          <w:p w14:paraId="0426A863" w14:textId="77777777" w:rsidR="006F0836" w:rsidRPr="003C7A36" w:rsidRDefault="006F0836" w:rsidP="00A55204">
            <w:pPr>
              <w:pStyle w:val="TableBullet"/>
            </w:pPr>
            <w:r w:rsidRPr="003C7A36">
              <w:t>Respond constructively to conflict and disagreements and be open to compromise</w:t>
            </w:r>
          </w:p>
          <w:p w14:paraId="5A169BA1" w14:textId="77777777" w:rsidR="006F0836" w:rsidRPr="003C7A36" w:rsidRDefault="006F0836" w:rsidP="00A55204">
            <w:pPr>
              <w:pStyle w:val="TableBullet"/>
            </w:pPr>
            <w:r w:rsidRPr="003C7A36">
              <w:t>Keep discussions focused on the key issues</w:t>
            </w:r>
          </w:p>
        </w:tc>
        <w:tc>
          <w:tcPr>
            <w:tcW w:w="1668" w:type="dxa"/>
          </w:tcPr>
          <w:p w14:paraId="305D5C23" w14:textId="77777777" w:rsidR="006F0836" w:rsidRPr="006F0836" w:rsidRDefault="004C659E" w:rsidP="00544127">
            <w:pPr>
              <w:pStyle w:val="TableText"/>
            </w:pPr>
            <w:r w:rsidRPr="004C659E">
              <w:t>Intermediate</w:t>
            </w:r>
          </w:p>
        </w:tc>
      </w:tr>
      <w:tr w:rsidR="006F0836" w:rsidRPr="003C7A36" w14:paraId="105122FC" w14:textId="77777777" w:rsidTr="004C659E">
        <w:trPr>
          <w:cantSplit/>
        </w:trPr>
        <w:tc>
          <w:tcPr>
            <w:tcW w:w="1385" w:type="dxa"/>
          </w:tcPr>
          <w:p w14:paraId="26EBF663"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06581C36" wp14:editId="7D3F082C">
                  <wp:extent cx="749300" cy="749300"/>
                  <wp:effectExtent l="0" t="0" r="0" b="0"/>
                  <wp:docPr id="7369"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557ED23" w14:textId="77777777" w:rsidR="00667FCB" w:rsidRDefault="006F0836" w:rsidP="004A1A64">
            <w:pPr>
              <w:rPr>
                <w:rFonts w:cs="Arial"/>
                <w:color w:val="000000"/>
                <w:sz w:val="20"/>
              </w:rPr>
            </w:pPr>
            <w:r w:rsidRPr="003C7A36">
              <w:rPr>
                <w:rFonts w:cs="Arial"/>
                <w:b/>
                <w:bCs/>
                <w:color w:val="000000"/>
                <w:sz w:val="20"/>
              </w:rPr>
              <w:t>Think and Solve Problems</w:t>
            </w:r>
          </w:p>
          <w:p w14:paraId="593121E5" w14:textId="77777777" w:rsidR="006F0836" w:rsidRPr="00667FCB" w:rsidRDefault="006F0836" w:rsidP="004A1A64">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4CEE2149" w14:textId="77777777" w:rsidR="006F0836" w:rsidRPr="003C7A36" w:rsidRDefault="006F0836" w:rsidP="00A55204">
            <w:pPr>
              <w:pStyle w:val="TableBullet"/>
            </w:pPr>
            <w:r w:rsidRPr="003C7A36">
              <w:t>Research and apply critical-thinking techniques in analysing information, identify interrelationships and make recommendations based on relevant evidence</w:t>
            </w:r>
          </w:p>
          <w:p w14:paraId="667FD837" w14:textId="77777777" w:rsidR="006F0836" w:rsidRPr="003C7A36" w:rsidRDefault="006F0836" w:rsidP="00A55204">
            <w:pPr>
              <w:pStyle w:val="TableBullet"/>
            </w:pPr>
            <w:r w:rsidRPr="003C7A36">
              <w:t>Anticipate, identify and address issues and potential problems that may have an impact on organisational objectives and the user experience</w:t>
            </w:r>
          </w:p>
          <w:p w14:paraId="5196A8FF" w14:textId="77777777" w:rsidR="006F0836" w:rsidRPr="003C7A36" w:rsidRDefault="006F0836" w:rsidP="00A55204">
            <w:pPr>
              <w:pStyle w:val="TableBullet"/>
            </w:pPr>
            <w:r w:rsidRPr="003C7A36">
              <w:t>Apply creative-thinking techniques to generate new ideas and options to address issues and improve the user experience</w:t>
            </w:r>
          </w:p>
          <w:p w14:paraId="1BDE1183" w14:textId="77777777" w:rsidR="006F0836" w:rsidRPr="003C7A36" w:rsidRDefault="006F0836" w:rsidP="00A55204">
            <w:pPr>
              <w:pStyle w:val="TableBullet"/>
            </w:pPr>
            <w:r w:rsidRPr="003C7A36">
              <w:t>Seek contributions and ideas from people with diverse backgrounds and experience</w:t>
            </w:r>
          </w:p>
          <w:p w14:paraId="31527E05" w14:textId="77777777" w:rsidR="006F0836" w:rsidRPr="003C7A36" w:rsidRDefault="006F0836" w:rsidP="00A55204">
            <w:pPr>
              <w:pStyle w:val="TableBullet"/>
            </w:pPr>
            <w:r w:rsidRPr="003C7A36">
              <w:t>Participate in and contribute to team or unit initiatives to resolve common issues or barriers to effectiveness</w:t>
            </w:r>
          </w:p>
          <w:p w14:paraId="44B95ED5" w14:textId="77777777" w:rsidR="006F0836" w:rsidRPr="003C7A36" w:rsidRDefault="006F0836" w:rsidP="00A55204">
            <w:pPr>
              <w:pStyle w:val="TableBullet"/>
            </w:pPr>
            <w:r w:rsidRPr="003C7A36">
              <w:t>Identify and share business process improvements to enhance effectiveness</w:t>
            </w:r>
          </w:p>
        </w:tc>
        <w:tc>
          <w:tcPr>
            <w:tcW w:w="1668" w:type="dxa"/>
          </w:tcPr>
          <w:p w14:paraId="1677E321" w14:textId="77777777" w:rsidR="006F0836" w:rsidRPr="006F0836" w:rsidRDefault="004C659E" w:rsidP="00544127">
            <w:pPr>
              <w:pStyle w:val="TableText"/>
            </w:pPr>
            <w:r w:rsidRPr="004C659E">
              <w:t>Adept</w:t>
            </w:r>
          </w:p>
        </w:tc>
      </w:tr>
      <w:tr w:rsidR="006F0836" w:rsidRPr="003C7A36" w14:paraId="56082C2E" w14:textId="77777777" w:rsidTr="004C659E">
        <w:trPr>
          <w:cantSplit/>
        </w:trPr>
        <w:tc>
          <w:tcPr>
            <w:tcW w:w="1385" w:type="dxa"/>
          </w:tcPr>
          <w:p w14:paraId="13B7E7A7"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62987E7" wp14:editId="324F95F1">
                  <wp:extent cx="749300" cy="749300"/>
                  <wp:effectExtent l="0" t="0" r="0" b="0"/>
                  <wp:docPr id="378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13EBDCC" w14:textId="77777777" w:rsidR="00667FCB" w:rsidRDefault="006F0836" w:rsidP="004A1A64">
            <w:pPr>
              <w:rPr>
                <w:rFonts w:cs="Arial"/>
                <w:color w:val="000000"/>
                <w:sz w:val="20"/>
              </w:rPr>
            </w:pPr>
            <w:r w:rsidRPr="003C7A36">
              <w:rPr>
                <w:rFonts w:cs="Arial"/>
                <w:b/>
                <w:bCs/>
                <w:color w:val="000000"/>
                <w:sz w:val="20"/>
              </w:rPr>
              <w:t>Demonstrate Accountability</w:t>
            </w:r>
          </w:p>
          <w:p w14:paraId="2F040391" w14:textId="77777777" w:rsidR="006F0836" w:rsidRPr="00667FCB" w:rsidRDefault="006F0836" w:rsidP="004A1A64">
            <w:pPr>
              <w:rPr>
                <w:rFonts w:cs="Arial"/>
                <w:color w:val="000000"/>
                <w:sz w:val="20"/>
              </w:rPr>
            </w:pPr>
            <w:r w:rsidRPr="003C7A36">
              <w:rPr>
                <w:rFonts w:cs="Arial"/>
                <w:color w:val="000000"/>
                <w:sz w:val="20"/>
              </w:rPr>
              <w:t>Be proactive and responsible for own actions, and adhere to legislation, policy and guidelines</w:t>
            </w:r>
          </w:p>
        </w:tc>
        <w:tc>
          <w:tcPr>
            <w:tcW w:w="4709" w:type="dxa"/>
          </w:tcPr>
          <w:p w14:paraId="48099DF4" w14:textId="77777777" w:rsidR="006F0836" w:rsidRPr="003C7A36" w:rsidRDefault="006F0836" w:rsidP="00A55204">
            <w:pPr>
              <w:pStyle w:val="TableBullet"/>
            </w:pPr>
            <w:r w:rsidRPr="003C7A36">
              <w:t>Be proactive in taking responsibility and being accountable for own actions</w:t>
            </w:r>
          </w:p>
          <w:p w14:paraId="33FD7009" w14:textId="77777777" w:rsidR="006F0836" w:rsidRPr="003C7A36" w:rsidRDefault="006F0836" w:rsidP="00A55204">
            <w:pPr>
              <w:pStyle w:val="TableBullet"/>
            </w:pPr>
            <w:r w:rsidRPr="003C7A36">
              <w:t>Understand delegations and act within authority levels</w:t>
            </w:r>
          </w:p>
          <w:p w14:paraId="1CBFCD4F" w14:textId="77777777" w:rsidR="006F0836" w:rsidRPr="003C7A36" w:rsidRDefault="006F0836" w:rsidP="00A55204">
            <w:pPr>
              <w:pStyle w:val="TableBullet"/>
            </w:pPr>
            <w:r w:rsidRPr="003C7A36">
              <w:t>Identify and follow safe work practices, and be vigilant about own and others’ application of these practices</w:t>
            </w:r>
          </w:p>
          <w:p w14:paraId="0534007B" w14:textId="77777777" w:rsidR="006F0836" w:rsidRPr="003C7A36" w:rsidRDefault="006F0836" w:rsidP="00A55204">
            <w:pPr>
              <w:pStyle w:val="TableBullet"/>
            </w:pPr>
            <w:r w:rsidRPr="003C7A36">
              <w:t>Be aware of risks and act on or escalate risks, as appropriate</w:t>
            </w:r>
          </w:p>
          <w:p w14:paraId="37032BAD" w14:textId="77777777" w:rsidR="006F0836" w:rsidRPr="003C7A36" w:rsidRDefault="006F0836" w:rsidP="00A55204">
            <w:pPr>
              <w:pStyle w:val="TableBullet"/>
            </w:pPr>
            <w:r w:rsidRPr="003C7A36">
              <w:t>Use financial and other resources responsibly</w:t>
            </w:r>
          </w:p>
        </w:tc>
        <w:tc>
          <w:tcPr>
            <w:tcW w:w="1668" w:type="dxa"/>
          </w:tcPr>
          <w:p w14:paraId="0FAF6025" w14:textId="77777777" w:rsidR="006F0836" w:rsidRPr="006F0836" w:rsidRDefault="004C659E" w:rsidP="00544127">
            <w:pPr>
              <w:pStyle w:val="TableText"/>
            </w:pPr>
            <w:r w:rsidRPr="004C659E">
              <w:t>Intermediate</w:t>
            </w:r>
          </w:p>
        </w:tc>
      </w:tr>
      <w:tr w:rsidR="006F0836" w:rsidRPr="003C7A36" w14:paraId="24C25592" w14:textId="77777777" w:rsidTr="004C659E">
        <w:trPr>
          <w:cantSplit/>
        </w:trPr>
        <w:tc>
          <w:tcPr>
            <w:tcW w:w="1385" w:type="dxa"/>
          </w:tcPr>
          <w:p w14:paraId="1293B828"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237FD1E" wp14:editId="28F63514">
                  <wp:extent cx="749300" cy="749300"/>
                  <wp:effectExtent l="0" t="0" r="0" b="0"/>
                  <wp:docPr id="5419"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80C8908" w14:textId="77777777" w:rsidR="00667FCB" w:rsidRDefault="006F0836" w:rsidP="004A1A64">
            <w:pPr>
              <w:rPr>
                <w:rFonts w:cs="Arial"/>
                <w:color w:val="000000"/>
                <w:sz w:val="20"/>
              </w:rPr>
            </w:pPr>
            <w:r w:rsidRPr="003C7A36">
              <w:rPr>
                <w:rFonts w:cs="Arial"/>
                <w:b/>
                <w:bCs/>
                <w:color w:val="000000"/>
                <w:sz w:val="20"/>
              </w:rPr>
              <w:t>Project Management</w:t>
            </w:r>
          </w:p>
          <w:p w14:paraId="23F1E215" w14:textId="77777777" w:rsidR="006F0836" w:rsidRPr="00667FCB" w:rsidRDefault="006F0836" w:rsidP="004A1A64">
            <w:pPr>
              <w:rPr>
                <w:rFonts w:cs="Arial"/>
                <w:color w:val="000000"/>
                <w:sz w:val="20"/>
              </w:rPr>
            </w:pPr>
            <w:r w:rsidRPr="003C7A36">
              <w:rPr>
                <w:rFonts w:cs="Arial"/>
                <w:color w:val="000000"/>
                <w:sz w:val="20"/>
              </w:rPr>
              <w:t>Understand and apply effective planning, coordination and control methods</w:t>
            </w:r>
          </w:p>
        </w:tc>
        <w:tc>
          <w:tcPr>
            <w:tcW w:w="4709" w:type="dxa"/>
          </w:tcPr>
          <w:p w14:paraId="117B01DE" w14:textId="77777777" w:rsidR="006F0836" w:rsidRPr="003C7A36" w:rsidRDefault="006F0836" w:rsidP="00A55204">
            <w:pPr>
              <w:pStyle w:val="TableBullet"/>
            </w:pPr>
            <w:r w:rsidRPr="003C7A36">
              <w:t>Perform basic research and analysis to inform and support the achievement of project deliverables</w:t>
            </w:r>
          </w:p>
          <w:p w14:paraId="37036B01" w14:textId="77777777" w:rsidR="006F0836" w:rsidRPr="003C7A36" w:rsidRDefault="006F0836" w:rsidP="00A55204">
            <w:pPr>
              <w:pStyle w:val="TableBullet"/>
            </w:pPr>
            <w:r w:rsidRPr="003C7A36">
              <w:t>Contribute to developing project documentation and resource estimates</w:t>
            </w:r>
          </w:p>
          <w:p w14:paraId="192CD889" w14:textId="77777777" w:rsidR="006F0836" w:rsidRPr="003C7A36" w:rsidRDefault="006F0836" w:rsidP="00A55204">
            <w:pPr>
              <w:pStyle w:val="TableBullet"/>
            </w:pPr>
            <w:r w:rsidRPr="003C7A36">
              <w:t>Contribute to reviews of progress, outcomes and future improvements</w:t>
            </w:r>
          </w:p>
          <w:p w14:paraId="687BCB12" w14:textId="77777777" w:rsidR="006F0836" w:rsidRPr="003C7A36" w:rsidRDefault="006F0836" w:rsidP="00A55204">
            <w:pPr>
              <w:pStyle w:val="TableBullet"/>
            </w:pPr>
            <w:r w:rsidRPr="003C7A36">
              <w:t>Identify and escalate possible variances from project plans</w:t>
            </w:r>
          </w:p>
        </w:tc>
        <w:tc>
          <w:tcPr>
            <w:tcW w:w="1668" w:type="dxa"/>
          </w:tcPr>
          <w:p w14:paraId="702A606E" w14:textId="77777777" w:rsidR="006F0836" w:rsidRPr="006F0836" w:rsidRDefault="004C659E" w:rsidP="00544127">
            <w:pPr>
              <w:pStyle w:val="TableText"/>
            </w:pPr>
            <w:r w:rsidRPr="004C659E">
              <w:t>Intermediate</w:t>
            </w:r>
          </w:p>
        </w:tc>
      </w:tr>
    </w:tbl>
    <w:p w14:paraId="4E599462" w14:textId="77777777" w:rsidR="00A7563F" w:rsidRDefault="00A7563F"/>
    <w:p w14:paraId="5D9E6557" w14:textId="77777777" w:rsidR="00372FE9" w:rsidRDefault="00372FE9" w:rsidP="00372FE9"/>
    <w:p w14:paraId="20A2B078" w14:textId="77777777" w:rsidR="009E0B71" w:rsidRDefault="009E0B71" w:rsidP="000C453F">
      <w:pPr>
        <w:pStyle w:val="Heading2"/>
      </w:pPr>
      <w:r>
        <w:t>Complementary capabilities</w:t>
      </w:r>
    </w:p>
    <w:p w14:paraId="1C58BAB8"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2FFF77E"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00C65DAA"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0AF951C8"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550401C6" w14:textId="77777777" w:rsidR="00372FE9" w:rsidRPr="00372FE9" w:rsidRDefault="00372FE9" w:rsidP="00372FE9">
            <w:pPr>
              <w:rPr>
                <w:sz w:val="20"/>
              </w:rPr>
            </w:pPr>
            <w:r w:rsidRPr="00372FE9">
              <w:rPr>
                <w:b/>
                <w:sz w:val="20"/>
              </w:rPr>
              <w:lastRenderedPageBreak/>
              <w:t>Capability group/sets</w:t>
            </w:r>
          </w:p>
        </w:tc>
        <w:tc>
          <w:tcPr>
            <w:tcW w:w="2693" w:type="dxa"/>
            <w:shd w:val="clear" w:color="auto" w:fill="BFBFBF" w:themeFill="background1" w:themeFillShade="BF"/>
          </w:tcPr>
          <w:p w14:paraId="15C4D98E"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3BDAEC9C"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58B3F636" w14:textId="77777777" w:rsidR="00372FE9" w:rsidRPr="00372FE9" w:rsidRDefault="00372FE9" w:rsidP="00372FE9">
            <w:pPr>
              <w:rPr>
                <w:b/>
                <w:bCs/>
                <w:sz w:val="20"/>
              </w:rPr>
            </w:pPr>
            <w:r w:rsidRPr="00372FE9">
              <w:rPr>
                <w:b/>
                <w:bCs/>
                <w:sz w:val="20"/>
              </w:rPr>
              <w:t>Level</w:t>
            </w:r>
          </w:p>
        </w:tc>
      </w:tr>
      <w:tr w:rsidR="00372FE9" w:rsidRPr="00372FE9" w14:paraId="176F6A4B" w14:textId="77777777" w:rsidTr="004C659E">
        <w:trPr>
          <w:cantSplit/>
        </w:trPr>
        <w:tc>
          <w:tcPr>
            <w:tcW w:w="1276" w:type="dxa"/>
          </w:tcPr>
          <w:p w14:paraId="19C3292B" w14:textId="77777777" w:rsidR="00372FE9" w:rsidRPr="00372FE9" w:rsidRDefault="00372FE9" w:rsidP="00372FE9">
            <w:pPr>
              <w:rPr>
                <w:sz w:val="20"/>
              </w:rPr>
            </w:pPr>
            <w:r w:rsidRPr="00372FE9">
              <w:rPr>
                <w:noProof/>
                <w:sz w:val="20"/>
                <w:lang w:eastAsia="en-AU"/>
              </w:rPr>
              <w:drawing>
                <wp:inline distT="0" distB="0" distL="0" distR="0" wp14:anchorId="085EF731" wp14:editId="3E3DCBBF">
                  <wp:extent cx="416966" cy="416966"/>
                  <wp:effectExtent l="0" t="0" r="2540" b="2540"/>
                  <wp:docPr id="183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F0F2358" w14:textId="77777777" w:rsidR="00372FE9" w:rsidRPr="00372FE9" w:rsidRDefault="00372FE9" w:rsidP="00544127">
            <w:pPr>
              <w:pStyle w:val="TableText"/>
            </w:pPr>
            <w:r w:rsidRPr="00372FE9">
              <w:t>Manage Self</w:t>
            </w:r>
          </w:p>
        </w:tc>
        <w:tc>
          <w:tcPr>
            <w:tcW w:w="4851" w:type="dxa"/>
          </w:tcPr>
          <w:p w14:paraId="32CBE72C" w14:textId="77777777" w:rsidR="00372FE9" w:rsidRPr="00372FE9" w:rsidRDefault="00372FE9" w:rsidP="00544127">
            <w:pPr>
              <w:pStyle w:val="TableText"/>
            </w:pPr>
            <w:r w:rsidRPr="00372FE9">
              <w:t>Show drive and motivation, an ability to self-reflect and a commitment to learning</w:t>
            </w:r>
          </w:p>
        </w:tc>
        <w:tc>
          <w:tcPr>
            <w:tcW w:w="1668" w:type="dxa"/>
          </w:tcPr>
          <w:p w14:paraId="537054BB" w14:textId="77777777" w:rsidR="00372FE9" w:rsidRPr="00372FE9" w:rsidRDefault="004C659E" w:rsidP="00544127">
            <w:pPr>
              <w:pStyle w:val="TableText"/>
            </w:pPr>
            <w:r w:rsidRPr="004C659E">
              <w:t>Adept</w:t>
            </w:r>
          </w:p>
        </w:tc>
      </w:tr>
      <w:tr w:rsidR="00372FE9" w:rsidRPr="00372FE9" w14:paraId="0E157853" w14:textId="77777777" w:rsidTr="004C659E">
        <w:trPr>
          <w:cantSplit/>
        </w:trPr>
        <w:tc>
          <w:tcPr>
            <w:tcW w:w="1276" w:type="dxa"/>
          </w:tcPr>
          <w:p w14:paraId="284D895A" w14:textId="77777777" w:rsidR="00372FE9" w:rsidRPr="00372FE9" w:rsidRDefault="00372FE9" w:rsidP="00372FE9">
            <w:pPr>
              <w:rPr>
                <w:sz w:val="20"/>
              </w:rPr>
            </w:pPr>
            <w:r w:rsidRPr="00372FE9">
              <w:rPr>
                <w:noProof/>
                <w:sz w:val="20"/>
                <w:lang w:eastAsia="en-AU"/>
              </w:rPr>
              <w:drawing>
                <wp:inline distT="0" distB="0" distL="0" distR="0" wp14:anchorId="63BE3A06" wp14:editId="13C4D7A4">
                  <wp:extent cx="416966" cy="416966"/>
                  <wp:effectExtent l="0" t="0" r="2540" b="2540"/>
                  <wp:docPr id="8240"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19B0DD3" w14:textId="77777777" w:rsidR="00372FE9" w:rsidRPr="00372FE9" w:rsidRDefault="00372FE9" w:rsidP="00544127">
            <w:pPr>
              <w:pStyle w:val="TableText"/>
            </w:pPr>
            <w:r w:rsidRPr="00372FE9">
              <w:t>Value Diversity and Inclusion</w:t>
            </w:r>
          </w:p>
        </w:tc>
        <w:tc>
          <w:tcPr>
            <w:tcW w:w="4851" w:type="dxa"/>
          </w:tcPr>
          <w:p w14:paraId="746E201B" w14:textId="77777777" w:rsidR="00372FE9" w:rsidRPr="00372FE9" w:rsidRDefault="00372FE9" w:rsidP="00544127">
            <w:pPr>
              <w:pStyle w:val="TableText"/>
            </w:pPr>
            <w:r w:rsidRPr="00372FE9">
              <w:t>Demonstrate inclusive behaviour and show respect for diverse backgrounds, experiences and perspectives</w:t>
            </w:r>
          </w:p>
        </w:tc>
        <w:tc>
          <w:tcPr>
            <w:tcW w:w="1668" w:type="dxa"/>
          </w:tcPr>
          <w:p w14:paraId="3FD29E73" w14:textId="77777777" w:rsidR="00372FE9" w:rsidRPr="00372FE9" w:rsidRDefault="004C659E" w:rsidP="00544127">
            <w:pPr>
              <w:pStyle w:val="TableText"/>
            </w:pPr>
            <w:r w:rsidRPr="004C659E">
              <w:t>Intermediate</w:t>
            </w:r>
          </w:p>
        </w:tc>
      </w:tr>
      <w:tr w:rsidR="00372FE9" w:rsidRPr="00372FE9" w14:paraId="5FD7EE65" w14:textId="77777777" w:rsidTr="004C659E">
        <w:trPr>
          <w:cantSplit/>
        </w:trPr>
        <w:tc>
          <w:tcPr>
            <w:tcW w:w="1276" w:type="dxa"/>
          </w:tcPr>
          <w:p w14:paraId="68B5B3C2" w14:textId="77777777" w:rsidR="00372FE9" w:rsidRPr="00372FE9" w:rsidRDefault="00372FE9" w:rsidP="00372FE9">
            <w:pPr>
              <w:rPr>
                <w:sz w:val="20"/>
              </w:rPr>
            </w:pPr>
            <w:r w:rsidRPr="00372FE9">
              <w:rPr>
                <w:noProof/>
                <w:sz w:val="20"/>
                <w:lang w:eastAsia="en-AU"/>
              </w:rPr>
              <w:drawing>
                <wp:inline distT="0" distB="0" distL="0" distR="0" wp14:anchorId="019171CB" wp14:editId="43C72999">
                  <wp:extent cx="416966" cy="416966"/>
                  <wp:effectExtent l="0" t="0" r="2540" b="2540"/>
                  <wp:docPr id="987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DBE0EBE" w14:textId="77777777" w:rsidR="00372FE9" w:rsidRPr="00372FE9" w:rsidRDefault="00372FE9" w:rsidP="00544127">
            <w:pPr>
              <w:pStyle w:val="TableText"/>
            </w:pPr>
            <w:r w:rsidRPr="00372FE9">
              <w:t>Communicate Effectively</w:t>
            </w:r>
          </w:p>
        </w:tc>
        <w:tc>
          <w:tcPr>
            <w:tcW w:w="4851" w:type="dxa"/>
          </w:tcPr>
          <w:p w14:paraId="1F484CC4" w14:textId="77777777" w:rsidR="00372FE9" w:rsidRPr="00372FE9" w:rsidRDefault="00372FE9" w:rsidP="00544127">
            <w:pPr>
              <w:pStyle w:val="TableText"/>
            </w:pPr>
            <w:r w:rsidRPr="00372FE9">
              <w:t>Communicate clearly, actively listen to others, and respond with understanding and respect</w:t>
            </w:r>
          </w:p>
        </w:tc>
        <w:tc>
          <w:tcPr>
            <w:tcW w:w="1668" w:type="dxa"/>
          </w:tcPr>
          <w:p w14:paraId="33B5C875" w14:textId="77777777" w:rsidR="00372FE9" w:rsidRPr="00372FE9" w:rsidRDefault="004C659E" w:rsidP="00544127">
            <w:pPr>
              <w:pStyle w:val="TableText"/>
            </w:pPr>
            <w:r w:rsidRPr="004C659E">
              <w:t>Adept</w:t>
            </w:r>
          </w:p>
        </w:tc>
      </w:tr>
      <w:tr w:rsidR="00372FE9" w:rsidRPr="00372FE9" w14:paraId="22C6AC60" w14:textId="77777777" w:rsidTr="004C659E">
        <w:trPr>
          <w:cantSplit/>
        </w:trPr>
        <w:tc>
          <w:tcPr>
            <w:tcW w:w="1276" w:type="dxa"/>
          </w:tcPr>
          <w:p w14:paraId="79E173E0" w14:textId="77777777" w:rsidR="00372FE9" w:rsidRPr="00372FE9" w:rsidRDefault="00372FE9" w:rsidP="00372FE9">
            <w:pPr>
              <w:rPr>
                <w:sz w:val="20"/>
              </w:rPr>
            </w:pPr>
            <w:r w:rsidRPr="00372FE9">
              <w:rPr>
                <w:noProof/>
                <w:sz w:val="20"/>
                <w:lang w:eastAsia="en-AU"/>
              </w:rPr>
              <w:drawing>
                <wp:inline distT="0" distB="0" distL="0" distR="0" wp14:anchorId="4A93BCE8" wp14:editId="20C2EBEC">
                  <wp:extent cx="416966" cy="416966"/>
                  <wp:effectExtent l="0" t="0" r="2540" b="2540"/>
                  <wp:docPr id="629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9275AC0" w14:textId="77777777" w:rsidR="00372FE9" w:rsidRPr="00372FE9" w:rsidRDefault="00372FE9" w:rsidP="00544127">
            <w:pPr>
              <w:pStyle w:val="TableText"/>
            </w:pPr>
            <w:r w:rsidRPr="00372FE9">
              <w:t>Deliver Results</w:t>
            </w:r>
          </w:p>
        </w:tc>
        <w:tc>
          <w:tcPr>
            <w:tcW w:w="4851" w:type="dxa"/>
          </w:tcPr>
          <w:p w14:paraId="55D153B0" w14:textId="77777777" w:rsidR="00372FE9" w:rsidRPr="00372FE9" w:rsidRDefault="00372FE9" w:rsidP="00544127">
            <w:pPr>
              <w:pStyle w:val="TableText"/>
            </w:pPr>
            <w:r w:rsidRPr="00372FE9">
              <w:t>Achieve results through the efficient use of resources and a commitment to quality outcomes</w:t>
            </w:r>
          </w:p>
        </w:tc>
        <w:tc>
          <w:tcPr>
            <w:tcW w:w="1668" w:type="dxa"/>
          </w:tcPr>
          <w:p w14:paraId="5A845BE8" w14:textId="77777777" w:rsidR="00372FE9" w:rsidRPr="00372FE9" w:rsidRDefault="004C659E" w:rsidP="00544127">
            <w:pPr>
              <w:pStyle w:val="TableText"/>
            </w:pPr>
            <w:r w:rsidRPr="004C659E">
              <w:t>Intermediate</w:t>
            </w:r>
          </w:p>
        </w:tc>
      </w:tr>
      <w:tr w:rsidR="00372FE9" w:rsidRPr="00372FE9" w14:paraId="2C8061A4" w14:textId="77777777" w:rsidTr="004C659E">
        <w:trPr>
          <w:cantSplit/>
        </w:trPr>
        <w:tc>
          <w:tcPr>
            <w:tcW w:w="1276" w:type="dxa"/>
          </w:tcPr>
          <w:p w14:paraId="3ACF913A" w14:textId="77777777" w:rsidR="00372FE9" w:rsidRPr="00372FE9" w:rsidRDefault="00372FE9" w:rsidP="00372FE9">
            <w:pPr>
              <w:rPr>
                <w:sz w:val="20"/>
              </w:rPr>
            </w:pPr>
            <w:r w:rsidRPr="00372FE9">
              <w:rPr>
                <w:noProof/>
                <w:sz w:val="20"/>
                <w:lang w:eastAsia="en-AU"/>
              </w:rPr>
              <w:drawing>
                <wp:inline distT="0" distB="0" distL="0" distR="0" wp14:anchorId="70E175D4" wp14:editId="14722F98">
                  <wp:extent cx="416966" cy="416966"/>
                  <wp:effectExtent l="0" t="0" r="2540" b="2540"/>
                  <wp:docPr id="792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033A4F" w14:textId="77777777" w:rsidR="00372FE9" w:rsidRPr="00372FE9" w:rsidRDefault="00372FE9" w:rsidP="00544127">
            <w:pPr>
              <w:pStyle w:val="TableText"/>
            </w:pPr>
            <w:r w:rsidRPr="00372FE9">
              <w:t>Plan and Prioritise</w:t>
            </w:r>
          </w:p>
        </w:tc>
        <w:tc>
          <w:tcPr>
            <w:tcW w:w="4851" w:type="dxa"/>
          </w:tcPr>
          <w:p w14:paraId="3EE0B32E"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4D46B451" w14:textId="77777777" w:rsidR="00372FE9" w:rsidRPr="00372FE9" w:rsidRDefault="004C659E" w:rsidP="00544127">
            <w:pPr>
              <w:pStyle w:val="TableText"/>
            </w:pPr>
            <w:r w:rsidRPr="004C659E">
              <w:t>Adept</w:t>
            </w:r>
          </w:p>
        </w:tc>
      </w:tr>
      <w:tr w:rsidR="00372FE9" w:rsidRPr="00372FE9" w14:paraId="21DB3F7E" w14:textId="77777777" w:rsidTr="004C659E">
        <w:trPr>
          <w:cantSplit/>
        </w:trPr>
        <w:tc>
          <w:tcPr>
            <w:tcW w:w="1276" w:type="dxa"/>
          </w:tcPr>
          <w:p w14:paraId="542E9EBA" w14:textId="77777777" w:rsidR="00372FE9" w:rsidRPr="00372FE9" w:rsidRDefault="00372FE9" w:rsidP="00372FE9">
            <w:pPr>
              <w:rPr>
                <w:sz w:val="20"/>
              </w:rPr>
            </w:pPr>
            <w:r w:rsidRPr="00372FE9">
              <w:rPr>
                <w:noProof/>
                <w:sz w:val="20"/>
                <w:lang w:eastAsia="en-AU"/>
              </w:rPr>
              <w:drawing>
                <wp:inline distT="0" distB="0" distL="0" distR="0" wp14:anchorId="7B988B25" wp14:editId="261EFBBC">
                  <wp:extent cx="416966" cy="416966"/>
                  <wp:effectExtent l="0" t="0" r="2540" b="2540"/>
                  <wp:docPr id="434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B8C30B8" w14:textId="77777777" w:rsidR="00372FE9" w:rsidRPr="00372FE9" w:rsidRDefault="00372FE9" w:rsidP="00544127">
            <w:pPr>
              <w:pStyle w:val="TableText"/>
            </w:pPr>
            <w:r w:rsidRPr="00372FE9">
              <w:t>Finance</w:t>
            </w:r>
          </w:p>
        </w:tc>
        <w:tc>
          <w:tcPr>
            <w:tcW w:w="4851" w:type="dxa"/>
          </w:tcPr>
          <w:p w14:paraId="6C35D2F1"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67EA480E" w14:textId="77777777" w:rsidR="00372FE9" w:rsidRPr="00372FE9" w:rsidRDefault="004C659E" w:rsidP="00544127">
            <w:pPr>
              <w:pStyle w:val="TableText"/>
            </w:pPr>
            <w:r w:rsidRPr="004C659E">
              <w:t>Intermediate</w:t>
            </w:r>
          </w:p>
        </w:tc>
      </w:tr>
      <w:tr w:rsidR="00372FE9" w:rsidRPr="00372FE9" w14:paraId="0845E2A7" w14:textId="77777777" w:rsidTr="004C659E">
        <w:trPr>
          <w:cantSplit/>
        </w:trPr>
        <w:tc>
          <w:tcPr>
            <w:tcW w:w="1276" w:type="dxa"/>
          </w:tcPr>
          <w:p w14:paraId="731F88A8" w14:textId="77777777" w:rsidR="00372FE9" w:rsidRPr="00372FE9" w:rsidRDefault="00372FE9" w:rsidP="00372FE9">
            <w:pPr>
              <w:rPr>
                <w:sz w:val="20"/>
              </w:rPr>
            </w:pPr>
            <w:r w:rsidRPr="00372FE9">
              <w:rPr>
                <w:noProof/>
                <w:sz w:val="20"/>
                <w:lang w:eastAsia="en-AU"/>
              </w:rPr>
              <w:drawing>
                <wp:inline distT="0" distB="0" distL="0" distR="0" wp14:anchorId="0DAC275A" wp14:editId="206E692F">
                  <wp:extent cx="416966" cy="416966"/>
                  <wp:effectExtent l="0" t="0" r="2540" b="2540"/>
                  <wp:docPr id="75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BCA849A" w14:textId="77777777" w:rsidR="00372FE9" w:rsidRPr="00372FE9" w:rsidRDefault="00372FE9" w:rsidP="00544127">
            <w:pPr>
              <w:pStyle w:val="TableText"/>
            </w:pPr>
            <w:r w:rsidRPr="00372FE9">
              <w:t>Technology</w:t>
            </w:r>
          </w:p>
        </w:tc>
        <w:tc>
          <w:tcPr>
            <w:tcW w:w="4851" w:type="dxa"/>
          </w:tcPr>
          <w:p w14:paraId="434DCD41"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1AC81121" w14:textId="77777777" w:rsidR="00372FE9" w:rsidRPr="00372FE9" w:rsidRDefault="004C659E" w:rsidP="00544127">
            <w:pPr>
              <w:pStyle w:val="TableText"/>
            </w:pPr>
            <w:r w:rsidRPr="004C659E">
              <w:t>Intermediate</w:t>
            </w:r>
          </w:p>
        </w:tc>
      </w:tr>
      <w:tr w:rsidR="00372FE9" w:rsidRPr="00372FE9" w14:paraId="15000EDB" w14:textId="77777777" w:rsidTr="004C659E">
        <w:trPr>
          <w:cantSplit/>
        </w:trPr>
        <w:tc>
          <w:tcPr>
            <w:tcW w:w="1276" w:type="dxa"/>
          </w:tcPr>
          <w:p w14:paraId="7C14D4F7" w14:textId="77777777" w:rsidR="00372FE9" w:rsidRPr="00372FE9" w:rsidRDefault="00372FE9" w:rsidP="00372FE9">
            <w:pPr>
              <w:rPr>
                <w:sz w:val="20"/>
              </w:rPr>
            </w:pPr>
            <w:r w:rsidRPr="00372FE9">
              <w:rPr>
                <w:noProof/>
                <w:sz w:val="20"/>
                <w:lang w:eastAsia="en-AU"/>
              </w:rPr>
              <w:drawing>
                <wp:inline distT="0" distB="0" distL="0" distR="0" wp14:anchorId="46C60079" wp14:editId="350CF7FA">
                  <wp:extent cx="416966" cy="416966"/>
                  <wp:effectExtent l="0" t="0" r="2540" b="2540"/>
                  <wp:docPr id="239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63AFFB1" w14:textId="77777777" w:rsidR="00372FE9" w:rsidRPr="00372FE9" w:rsidRDefault="00372FE9" w:rsidP="00544127">
            <w:pPr>
              <w:pStyle w:val="TableText"/>
            </w:pPr>
            <w:r w:rsidRPr="00372FE9">
              <w:t>Procurement and Contract Management</w:t>
            </w:r>
          </w:p>
        </w:tc>
        <w:tc>
          <w:tcPr>
            <w:tcW w:w="4851" w:type="dxa"/>
          </w:tcPr>
          <w:p w14:paraId="606FFBCC"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431B9A6D" w14:textId="77777777" w:rsidR="00372FE9" w:rsidRPr="00372FE9" w:rsidRDefault="004C659E" w:rsidP="00544127">
            <w:pPr>
              <w:pStyle w:val="TableText"/>
            </w:pPr>
            <w:r w:rsidRPr="004C659E">
              <w:t>Intermediate</w:t>
            </w:r>
          </w:p>
        </w:tc>
      </w:tr>
    </w:tbl>
    <w:bookmarkEnd w:id="6"/>
    <w:bookmarkEnd w:id="7"/>
    <w:bookmarkEnd w:id="8"/>
    <w:bookmarkEnd w:id="9"/>
    <w:p w14:paraId="3E46B76F" w14:textId="77777777" w:rsidR="00372FE9" w:rsidRDefault="00372FE9" w:rsidP="00372FE9">
      <w:pPr>
        <w:pStyle w:val="Heading2"/>
      </w:pPr>
      <w:r w:rsidRPr="00AF4777">
        <w:t>Occupational Specific</w:t>
      </w:r>
      <w:r>
        <w:t xml:space="preserve"> Complimentary</w:t>
      </w:r>
      <w:r w:rsidRPr="00AF4777">
        <w:t xml:space="preserve">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OccupationalSpecificComplimentaryCapabilitiesTable"/>
      </w:tblPr>
      <w:tblGrid>
        <w:gridCol w:w="1464"/>
        <w:gridCol w:w="2852"/>
        <w:gridCol w:w="4901"/>
        <w:gridCol w:w="1271"/>
      </w:tblGrid>
      <w:tr w:rsidR="00DA6BE6" w:rsidRPr="00372FE9" w14:paraId="371A05C0"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1464" w:type="dxa"/>
            <w:shd w:val="clear" w:color="auto" w:fill="BFBFBF" w:themeFill="background1" w:themeFillShade="BF"/>
            <w:vAlign w:val="center"/>
          </w:tcPr>
          <w:p w14:paraId="39F7E8ED" w14:textId="77777777" w:rsidR="00DA6BE6" w:rsidRPr="00372FE9" w:rsidRDefault="00DA6BE6" w:rsidP="003E0D69">
            <w:pPr>
              <w:rPr>
                <w:sz w:val="20"/>
              </w:rPr>
            </w:pPr>
            <w:r w:rsidRPr="00372FE9">
              <w:rPr>
                <w:b/>
                <w:sz w:val="20"/>
              </w:rPr>
              <w:t>Capability group/sets</w:t>
            </w:r>
          </w:p>
        </w:tc>
        <w:tc>
          <w:tcPr>
            <w:tcW w:w="2852" w:type="dxa"/>
            <w:shd w:val="clear" w:color="auto" w:fill="BFBFBF" w:themeFill="background1" w:themeFillShade="BF"/>
          </w:tcPr>
          <w:p w14:paraId="76AFB080" w14:textId="77777777" w:rsidR="00DA6BE6" w:rsidRPr="00372FE9" w:rsidRDefault="00DA6BE6" w:rsidP="003E0D69">
            <w:pPr>
              <w:rPr>
                <w:sz w:val="20"/>
              </w:rPr>
            </w:pPr>
            <w:r w:rsidRPr="00372FE9">
              <w:rPr>
                <w:b/>
                <w:sz w:val="20"/>
              </w:rPr>
              <w:t>Capability name</w:t>
            </w:r>
          </w:p>
        </w:tc>
        <w:tc>
          <w:tcPr>
            <w:tcW w:w="4901" w:type="dxa"/>
            <w:shd w:val="clear" w:color="auto" w:fill="BFBFBF" w:themeFill="background1" w:themeFillShade="BF"/>
          </w:tcPr>
          <w:p w14:paraId="4D1307A0" w14:textId="77777777" w:rsidR="00DA6BE6" w:rsidRPr="00372FE9" w:rsidRDefault="00DA6BE6" w:rsidP="003E0D69">
            <w:pPr>
              <w:rPr>
                <w:sz w:val="20"/>
              </w:rPr>
            </w:pPr>
            <w:r w:rsidRPr="00372FE9">
              <w:rPr>
                <w:b/>
                <w:sz w:val="20"/>
              </w:rPr>
              <w:t>Description</w:t>
            </w:r>
          </w:p>
        </w:tc>
        <w:tc>
          <w:tcPr>
            <w:tcW w:w="1271" w:type="dxa"/>
            <w:shd w:val="clear" w:color="auto" w:fill="BFBFBF" w:themeFill="background1" w:themeFillShade="BF"/>
          </w:tcPr>
          <w:p w14:paraId="6E1858F8" w14:textId="77777777" w:rsidR="00DA6BE6" w:rsidRPr="00372FE9" w:rsidRDefault="00DA6BE6" w:rsidP="003E0D69">
            <w:pPr>
              <w:rPr>
                <w:b/>
                <w:bCs/>
                <w:sz w:val="20"/>
              </w:rPr>
            </w:pPr>
            <w:r w:rsidRPr="00372FE9">
              <w:rPr>
                <w:b/>
                <w:bCs/>
                <w:sz w:val="20"/>
              </w:rPr>
              <w:t>Level</w:t>
            </w:r>
          </w:p>
        </w:tc>
      </w:tr>
      <w:bookmarkEnd w:id="10"/>
      <w:bookmarkEnd w:id="11"/>
      <w:bookmarkEnd w:id="12"/>
      <w:bookmarkEnd w:id="13"/>
      <w:tr w:rsidR="00DA6BE6" w:rsidRPr="00372FE9" w14:paraId="57027487" w14:textId="77777777" w:rsidTr="00103875">
        <w:trPr>
          <w:cantSplit/>
        </w:trPr>
        <w:tc>
          <w:tcPr>
            <w:tcW w:w="1464" w:type="dxa"/>
          </w:tcPr>
          <w:p w14:paraId="7C5B60B3" w14:textId="77777777" w:rsidR="00DA6BE6" w:rsidRPr="00372FE9" w:rsidRDefault="00DA6BE6" w:rsidP="003E0D69">
            <w:pPr>
              <w:rPr>
                <w:sz w:val="20"/>
              </w:rPr>
            </w:pPr>
            <w:r w:rsidRPr="00C978B9">
              <w:rPr>
                <w:noProof/>
                <w:lang w:eastAsia="en-AU"/>
              </w:rPr>
              <w:drawing>
                <wp:inline distT="0" distB="0" distL="0" distR="0" wp14:anchorId="4D91F960" wp14:editId="7418C39E">
                  <wp:extent cx="704850" cy="704850"/>
                  <wp:effectExtent l="0" t="0" r="0" b="0"/>
                  <wp:docPr id="8796" name="finance-professionals-capability-set.jpg" descr="human-resources-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e-professionals-capability-set.jpg" descr="Finance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12139" cy="712139"/>
                          </a:xfrm>
                          <a:prstGeom prst="rect">
                            <a:avLst/>
                          </a:prstGeom>
                          <a:noFill/>
                          <a:ln>
                            <a:noFill/>
                          </a:ln>
                        </pic:spPr>
                      </pic:pic>
                    </a:graphicData>
                  </a:graphic>
                </wp:inline>
              </w:drawing>
            </w:r>
          </w:p>
        </w:tc>
        <w:tc>
          <w:tcPr>
            <w:tcW w:w="2852" w:type="dxa"/>
          </w:tcPr>
          <w:p w14:paraId="5899BDF1" w14:textId="77777777" w:rsidR="00DA6BE6" w:rsidRPr="00DA6BE6" w:rsidRDefault="00DA6BE6" w:rsidP="00544127">
            <w:pPr>
              <w:pStyle w:val="TableText"/>
            </w:pPr>
            <w:r w:rsidRPr="00DA6BE6">
              <w:t>Workforce Relations</w:t>
            </w:r>
          </w:p>
        </w:tc>
        <w:tc>
          <w:tcPr>
            <w:tcW w:w="4901" w:type="dxa"/>
          </w:tcPr>
          <w:p w14:paraId="1D18BDC4" w14:textId="77777777" w:rsidR="00DA6BE6" w:rsidRPr="00372FE9" w:rsidRDefault="00DA6BE6" w:rsidP="00544127">
            <w:pPr>
              <w:pStyle w:val="TableText"/>
            </w:pPr>
            <w:r>
              <w:t>Develop and deliver effective workplace practices aligned with organisational objectives and regulatory and legislative requirements</w:t>
            </w:r>
          </w:p>
        </w:tc>
        <w:tc>
          <w:tcPr>
            <w:tcW w:w="1271" w:type="dxa"/>
          </w:tcPr>
          <w:p w14:paraId="5934BB4E" w14:textId="77777777" w:rsidR="00DA6BE6" w:rsidRPr="00372FE9" w:rsidRDefault="00DA6BE6" w:rsidP="00544127">
            <w:pPr>
              <w:pStyle w:val="TableText"/>
            </w:pPr>
            <w:r>
              <w:t>Level 3</w:t>
            </w:r>
          </w:p>
        </w:tc>
      </w:tr>
      <w:tr w:rsidR="00DA6BE6" w:rsidRPr="00372FE9" w14:paraId="7C74FB76" w14:textId="77777777" w:rsidTr="00103875">
        <w:trPr>
          <w:cantSplit/>
        </w:trPr>
        <w:tc>
          <w:tcPr>
            <w:tcW w:w="1464" w:type="dxa"/>
          </w:tcPr>
          <w:p w14:paraId="143D4D0A" w14:textId="77777777" w:rsidR="00DA6BE6" w:rsidRPr="00372FE9" w:rsidRDefault="00DA6BE6" w:rsidP="003E0D69">
            <w:pPr>
              <w:rPr>
                <w:sz w:val="20"/>
              </w:rPr>
            </w:pPr>
            <w:r w:rsidRPr="00C978B9">
              <w:rPr>
                <w:noProof/>
                <w:lang w:eastAsia="en-AU"/>
              </w:rPr>
              <w:drawing>
                <wp:inline distT="0" distB="0" distL="0" distR="0" wp14:anchorId="75158C3E" wp14:editId="56B20C80">
                  <wp:extent cx="704850" cy="704850"/>
                  <wp:effectExtent l="0" t="0" r="0" b="0"/>
                  <wp:docPr id="5211" name="finance-professionals-capability-set.jpg" descr="human-resources-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e-professionals-capability-set.jpg" descr="Finance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12139" cy="712139"/>
                          </a:xfrm>
                          <a:prstGeom prst="rect">
                            <a:avLst/>
                          </a:prstGeom>
                          <a:noFill/>
                          <a:ln>
                            <a:noFill/>
                          </a:ln>
                        </pic:spPr>
                      </pic:pic>
                    </a:graphicData>
                  </a:graphic>
                </wp:inline>
              </w:drawing>
            </w:r>
          </w:p>
        </w:tc>
        <w:tc>
          <w:tcPr>
            <w:tcW w:w="2852" w:type="dxa"/>
          </w:tcPr>
          <w:p w14:paraId="0EC144FD" w14:textId="77777777" w:rsidR="00DA6BE6" w:rsidRPr="00DA6BE6" w:rsidRDefault="00DA6BE6" w:rsidP="00544127">
            <w:pPr>
              <w:pStyle w:val="TableText"/>
            </w:pPr>
            <w:r w:rsidRPr="00DA6BE6">
              <w:t>Employee services</w:t>
            </w:r>
          </w:p>
        </w:tc>
        <w:tc>
          <w:tcPr>
            <w:tcW w:w="4901" w:type="dxa"/>
          </w:tcPr>
          <w:p w14:paraId="278054E9" w14:textId="77777777" w:rsidR="00DA6BE6" w:rsidRPr="00372FE9" w:rsidRDefault="00DA6BE6" w:rsidP="00544127">
            <w:pPr>
              <w:pStyle w:val="TableText"/>
            </w:pPr>
            <w:r>
              <w:t>Deliver customer focused services to optimise the employment life-cycle experience at an individual and organisational level</w:t>
            </w:r>
          </w:p>
        </w:tc>
        <w:tc>
          <w:tcPr>
            <w:tcW w:w="1271" w:type="dxa"/>
          </w:tcPr>
          <w:p w14:paraId="01462E90" w14:textId="77777777" w:rsidR="00DA6BE6" w:rsidRPr="00372FE9" w:rsidRDefault="00DA6BE6" w:rsidP="00544127">
            <w:pPr>
              <w:pStyle w:val="TableText"/>
            </w:pPr>
            <w:r>
              <w:t>Level 2</w:t>
            </w:r>
          </w:p>
        </w:tc>
      </w:tr>
    </w:tbl>
    <w:p w14:paraId="2EDFE411" w14:textId="77777777" w:rsidR="009E0B71" w:rsidRDefault="009E0B71" w:rsidP="001203EE">
      <w:pPr>
        <w:contextualSpacing/>
      </w:pPr>
    </w:p>
    <w:sectPr w:rsidR="009E0B71" w:rsidSect="00115AF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1B46" w14:textId="77777777" w:rsidR="00F24597" w:rsidRDefault="00F24597" w:rsidP="00AC273D">
      <w:pPr>
        <w:spacing w:after="0"/>
      </w:pPr>
      <w:r>
        <w:separator/>
      </w:r>
    </w:p>
  </w:endnote>
  <w:endnote w:type="continuationSeparator" w:id="0">
    <w:p w14:paraId="18FB3839" w14:textId="77777777" w:rsidR="00F24597" w:rsidRDefault="00F24597"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1F6" w14:textId="77777777" w:rsidR="00DE3E63" w:rsidRDefault="00DE3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0B03" w14:textId="77777777"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Senior Industrial Relations Specialist</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7BAFDB68" wp14:editId="24811699">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2F2D23FF" w14:textId="77777777" w:rsidR="00A90F97" w:rsidRPr="001E2B26" w:rsidRDefault="00A90F97" w:rsidP="00051237">
    <w:pPr>
      <w:pStyle w:val="Footer"/>
      <w:rPr>
        <w:sz w:val="12"/>
        <w:szCs w:val="12"/>
      </w:rPr>
    </w:pPr>
  </w:p>
  <w:p w14:paraId="71CAADB7" w14:textId="77777777" w:rsidR="004210AA" w:rsidRDefault="004210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A17B"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4069C898"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3256177C" wp14:editId="2BCFADCA">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3541520D"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4E7A" w14:textId="77777777" w:rsidR="00F24597" w:rsidRDefault="00F24597" w:rsidP="00AC273D">
      <w:pPr>
        <w:spacing w:after="0"/>
      </w:pPr>
      <w:r>
        <w:separator/>
      </w:r>
    </w:p>
  </w:footnote>
  <w:footnote w:type="continuationSeparator" w:id="0">
    <w:p w14:paraId="26027057" w14:textId="77777777" w:rsidR="00F24597" w:rsidRDefault="00F24597" w:rsidP="00AC2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050C" w14:textId="77777777" w:rsidR="00DE3E63" w:rsidRDefault="00DE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1A21" w14:textId="77777777" w:rsidR="00DE3E63" w:rsidRDefault="00DE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EFCA" w14:textId="77777777" w:rsidR="00DE3E63" w:rsidRDefault="00DE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C51E3"/>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369"/>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3E63"/>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597"/>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6A83"/>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1E8"/>
    <w:rsid w:val="00F943D7"/>
    <w:rsid w:val="00F9774A"/>
    <w:rsid w:val="00FA1399"/>
    <w:rsid w:val="00FA190D"/>
    <w:rsid w:val="00FA3A77"/>
    <w:rsid w:val="00FA7304"/>
    <w:rsid w:val="00FB0070"/>
    <w:rsid w:val="00FB048D"/>
    <w:rsid w:val="00FB1347"/>
    <w:rsid w:val="00FB1F02"/>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A3E8A1B"/>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C013F08DFEA4E9D8DB1F92C99418C" ma:contentTypeVersion="14" ma:contentTypeDescription="Create a new document." ma:contentTypeScope="" ma:versionID="b70dd2101289bfa8c745fc3587147991">
  <xsd:schema xmlns:xsd="http://www.w3.org/2001/XMLSchema" xmlns:xs="http://www.w3.org/2001/XMLSchema" xmlns:p="http://schemas.microsoft.com/office/2006/metadata/properties" xmlns:ns3="3741d662-7731-42af-81ac-6b71bbc8335e" xmlns:ns4="f663cece-e6e9-4768-ab9b-7b1f97fef2be" targetNamespace="http://schemas.microsoft.com/office/2006/metadata/properties" ma:root="true" ma:fieldsID="4351a50f5ae2ab8b0da1bf0444723f49" ns3:_="" ns4:_="">
    <xsd:import namespace="3741d662-7731-42af-81ac-6b71bbc8335e"/>
    <xsd:import namespace="f663cece-e6e9-4768-ab9b-7b1f97fef2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1d662-7731-42af-81ac-6b71bbc83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3cece-e6e9-4768-ab9b-7b1f97fef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E773-E80F-4846-BF16-F98F1437D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1d662-7731-42af-81ac-6b71bbc8335e"/>
    <ds:schemaRef ds:uri="f663cece-e6e9-4768-ab9b-7b1f97fef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180C4-878A-40C7-AFCD-050F7AB4FCA9}">
  <ds:schemaRefs>
    <ds:schemaRef ds:uri="http://schemas.microsoft.com/sharepoint/v3/contenttype/forms"/>
  </ds:schemaRefs>
</ds:datastoreItem>
</file>

<file path=customXml/itemProps3.xml><?xml version="1.0" encoding="utf-8"?>
<ds:datastoreItem xmlns:ds="http://schemas.openxmlformats.org/officeDocument/2006/customXml" ds:itemID="{38F06014-54D4-46BD-980D-7D1E956CB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C3986-B5E3-44D7-ABDA-DC08ECDD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11037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Donna McLeod</cp:lastModifiedBy>
  <cp:revision>2</cp:revision>
  <cp:lastPrinted>2021-06-07T04:46:00Z</cp:lastPrinted>
  <dcterms:created xsi:type="dcterms:W3CDTF">2022-03-15T02:23:00Z</dcterms:created>
  <dcterms:modified xsi:type="dcterms:W3CDTF">2022-03-15T02:23:00Z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0x010100847C013F08DFEA4E9D8DB1F92C99418C</vt:lpwstr>
  </property>
</Properties>
</file>