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857" w:type="dxa"/>
        <w:tblLook w:val="04A0" w:firstRow="1" w:lastRow="0" w:firstColumn="1" w:lastColumn="0" w:noHBand="0" w:noVBand="1"/>
        <w:tblCaption w:val="PSC_Role_InformationTable"/>
        <w:tblDescription w:val="PSC_Role_InformationTable"/>
      </w:tblPr>
      <w:tblGrid>
        <w:gridCol w:w="4026"/>
        <w:gridCol w:w="6831"/>
      </w:tblGrid>
      <w:tr w:rsidR="00801E41" w:rsidRPr="00B438C3" w14:paraId="6453BA4C" w14:textId="77777777" w:rsidTr="00C60D72">
        <w:trPr>
          <w:cnfStyle w:val="100000000000" w:firstRow="1" w:lastRow="0" w:firstColumn="0" w:lastColumn="0" w:oddVBand="0" w:evenVBand="0" w:oddHBand="0" w:evenHBand="0" w:firstRowFirstColumn="0" w:firstRowLastColumn="0" w:lastRowFirstColumn="0" w:lastRowLastColumn="0"/>
        </w:trPr>
        <w:tc>
          <w:tcPr>
            <w:tcW w:w="4026" w:type="dxa"/>
          </w:tcPr>
          <w:p w14:paraId="56ABC6DD" w14:textId="77777777" w:rsidR="00801E41" w:rsidRPr="00B438C3" w:rsidRDefault="00801E41" w:rsidP="00C60D72">
            <w:pPr>
              <w:pStyle w:val="TableTextWhite"/>
              <w:rPr>
                <w:rFonts w:cs="Arial"/>
                <w:b/>
              </w:rPr>
            </w:pPr>
            <w:r w:rsidRPr="00B438C3">
              <w:rPr>
                <w:rFonts w:cs="Arial"/>
                <w:b/>
              </w:rPr>
              <w:t>Cluster</w:t>
            </w:r>
          </w:p>
        </w:tc>
        <w:tc>
          <w:tcPr>
            <w:tcW w:w="6831" w:type="dxa"/>
          </w:tcPr>
          <w:p w14:paraId="16F8DD6F" w14:textId="77777777" w:rsidR="00801E41" w:rsidRPr="00B438C3" w:rsidRDefault="00801E41" w:rsidP="00C60D72">
            <w:pPr>
              <w:pStyle w:val="TableTextWhite"/>
              <w:rPr>
                <w:rFonts w:cs="Arial"/>
              </w:rPr>
            </w:pPr>
            <w:r w:rsidRPr="00B438C3">
              <w:rPr>
                <w:rFonts w:cs="Arial"/>
              </w:rPr>
              <w:t>Premier and Cabinet</w:t>
            </w:r>
          </w:p>
        </w:tc>
      </w:tr>
      <w:tr w:rsidR="00801E41" w:rsidRPr="00B438C3" w14:paraId="593D7805" w14:textId="77777777" w:rsidTr="00C60D72">
        <w:tc>
          <w:tcPr>
            <w:tcW w:w="4026" w:type="dxa"/>
          </w:tcPr>
          <w:p w14:paraId="7B1EE0AE" w14:textId="77777777" w:rsidR="00801E41" w:rsidRPr="00B438C3" w:rsidRDefault="00801E41" w:rsidP="00C60D72">
            <w:pPr>
              <w:pStyle w:val="TableTextWhite"/>
              <w:rPr>
                <w:rFonts w:cs="Arial"/>
                <w:b/>
              </w:rPr>
            </w:pPr>
            <w:r w:rsidRPr="00B438C3">
              <w:rPr>
                <w:rFonts w:cs="Arial"/>
                <w:b/>
              </w:rPr>
              <w:t>Agency</w:t>
            </w:r>
          </w:p>
        </w:tc>
        <w:tc>
          <w:tcPr>
            <w:tcW w:w="6831" w:type="dxa"/>
          </w:tcPr>
          <w:p w14:paraId="6A9E62B4" w14:textId="77777777" w:rsidR="00801E41" w:rsidRPr="00B438C3" w:rsidRDefault="00801E41" w:rsidP="00C60D72">
            <w:pPr>
              <w:pStyle w:val="TableTextWhite"/>
              <w:rPr>
                <w:rFonts w:cs="Arial"/>
              </w:rPr>
            </w:pPr>
            <w:r w:rsidRPr="00B438C3">
              <w:rPr>
                <w:rFonts w:cs="Arial"/>
              </w:rPr>
              <w:t>Museum of Applied Arts and Sciences</w:t>
            </w:r>
          </w:p>
        </w:tc>
      </w:tr>
      <w:tr w:rsidR="00801E41" w:rsidRPr="00B438C3" w14:paraId="384492F4" w14:textId="77777777" w:rsidTr="00C60D72">
        <w:tc>
          <w:tcPr>
            <w:tcW w:w="4026" w:type="dxa"/>
          </w:tcPr>
          <w:p w14:paraId="26322F7C" w14:textId="77777777" w:rsidR="00801E41" w:rsidRPr="00B438C3" w:rsidRDefault="00801E41" w:rsidP="00C60D72">
            <w:pPr>
              <w:pStyle w:val="TableTextWhite"/>
              <w:rPr>
                <w:rFonts w:cs="Arial"/>
                <w:b/>
              </w:rPr>
            </w:pPr>
            <w:r w:rsidRPr="00B438C3">
              <w:rPr>
                <w:rFonts w:cs="Arial"/>
                <w:b/>
              </w:rPr>
              <w:t>Division/Branch/Unit</w:t>
            </w:r>
          </w:p>
        </w:tc>
        <w:tc>
          <w:tcPr>
            <w:tcW w:w="6831" w:type="dxa"/>
          </w:tcPr>
          <w:p w14:paraId="6E546F73" w14:textId="0251E9FB" w:rsidR="00801E41" w:rsidRPr="00B438C3" w:rsidRDefault="00220421" w:rsidP="00C60D72">
            <w:pPr>
              <w:pStyle w:val="TableTextWhite"/>
              <w:rPr>
                <w:rFonts w:cs="Arial"/>
              </w:rPr>
            </w:pPr>
            <w:r>
              <w:rPr>
                <w:rFonts w:cs="Arial"/>
              </w:rPr>
              <w:t>Executive</w:t>
            </w:r>
          </w:p>
        </w:tc>
      </w:tr>
      <w:tr w:rsidR="00801E41" w:rsidRPr="00B438C3" w14:paraId="4AE5B940" w14:textId="77777777" w:rsidTr="00C60D72">
        <w:tc>
          <w:tcPr>
            <w:tcW w:w="4026" w:type="dxa"/>
          </w:tcPr>
          <w:p w14:paraId="39C65E00" w14:textId="77777777" w:rsidR="00801E41" w:rsidRPr="00B438C3" w:rsidRDefault="00801E41" w:rsidP="00C60D72">
            <w:pPr>
              <w:pStyle w:val="TableTextWhite"/>
              <w:rPr>
                <w:rFonts w:cs="Arial"/>
                <w:b/>
              </w:rPr>
            </w:pPr>
            <w:r w:rsidRPr="00B438C3">
              <w:rPr>
                <w:rFonts w:cs="Arial"/>
                <w:b/>
              </w:rPr>
              <w:t>Role number</w:t>
            </w:r>
          </w:p>
        </w:tc>
        <w:tc>
          <w:tcPr>
            <w:tcW w:w="6831" w:type="dxa"/>
          </w:tcPr>
          <w:p w14:paraId="0A110B28" w14:textId="77777777" w:rsidR="00801E41" w:rsidRPr="00B438C3" w:rsidRDefault="00801E41" w:rsidP="00C60D72">
            <w:pPr>
              <w:pStyle w:val="TableTextWhite"/>
              <w:rPr>
                <w:rFonts w:cs="Arial"/>
              </w:rPr>
            </w:pPr>
          </w:p>
        </w:tc>
      </w:tr>
      <w:tr w:rsidR="00801E41" w:rsidRPr="00B438C3" w14:paraId="2663B6F2" w14:textId="77777777" w:rsidTr="00C60D72">
        <w:tc>
          <w:tcPr>
            <w:tcW w:w="4026" w:type="dxa"/>
          </w:tcPr>
          <w:p w14:paraId="6A009D2C" w14:textId="77777777" w:rsidR="00801E41" w:rsidRPr="00B438C3" w:rsidRDefault="00801E41" w:rsidP="00C60D72">
            <w:pPr>
              <w:pStyle w:val="TableTextWhite"/>
              <w:rPr>
                <w:rFonts w:cs="Arial"/>
                <w:b/>
              </w:rPr>
            </w:pPr>
            <w:r w:rsidRPr="00B438C3">
              <w:rPr>
                <w:rFonts w:cs="Arial"/>
                <w:b/>
              </w:rPr>
              <w:t>Classification/Grade/Band</w:t>
            </w:r>
          </w:p>
        </w:tc>
        <w:tc>
          <w:tcPr>
            <w:tcW w:w="6831" w:type="dxa"/>
          </w:tcPr>
          <w:p w14:paraId="349A816B" w14:textId="1914CD87" w:rsidR="00801E41" w:rsidRPr="00B438C3" w:rsidRDefault="00D44357" w:rsidP="00C60D72">
            <w:pPr>
              <w:pStyle w:val="TableTextWhite"/>
              <w:rPr>
                <w:rFonts w:cs="Arial"/>
              </w:rPr>
            </w:pPr>
            <w:r>
              <w:rPr>
                <w:rFonts w:cs="Arial"/>
              </w:rPr>
              <w:t xml:space="preserve">Senior Executive </w:t>
            </w:r>
            <w:r w:rsidR="00801E41" w:rsidRPr="00B438C3">
              <w:rPr>
                <w:rFonts w:cs="Arial"/>
              </w:rPr>
              <w:t>Band 2</w:t>
            </w:r>
          </w:p>
        </w:tc>
      </w:tr>
      <w:tr w:rsidR="006F1E5D" w:rsidRPr="00B438C3" w14:paraId="0D07826F" w14:textId="77777777" w:rsidTr="00C60D72">
        <w:tc>
          <w:tcPr>
            <w:tcW w:w="4026" w:type="dxa"/>
          </w:tcPr>
          <w:p w14:paraId="5A6E29EB" w14:textId="77777777" w:rsidR="006F1E5D" w:rsidRPr="00B438C3" w:rsidRDefault="006F1E5D" w:rsidP="00C60D72">
            <w:pPr>
              <w:pStyle w:val="TableTextWhite"/>
              <w:rPr>
                <w:rFonts w:cs="Arial"/>
                <w:b/>
              </w:rPr>
            </w:pPr>
            <w:r w:rsidRPr="00B438C3">
              <w:rPr>
                <w:rFonts w:cs="Arial"/>
                <w:b/>
              </w:rPr>
              <w:t>Senior executive work level standards</w:t>
            </w:r>
          </w:p>
        </w:tc>
        <w:tc>
          <w:tcPr>
            <w:tcW w:w="6831" w:type="dxa"/>
          </w:tcPr>
          <w:p w14:paraId="4F4B0B90" w14:textId="77777777" w:rsidR="006F1E5D" w:rsidRPr="00B438C3" w:rsidRDefault="006F1E5D" w:rsidP="00C60D72">
            <w:pPr>
              <w:pStyle w:val="TableTextWhite"/>
              <w:rPr>
                <w:rFonts w:cs="Arial"/>
              </w:rPr>
            </w:pPr>
            <w:r w:rsidRPr="00B438C3">
              <w:rPr>
                <w:rFonts w:cs="Arial"/>
              </w:rPr>
              <w:t>Not Applicable</w:t>
            </w:r>
          </w:p>
        </w:tc>
      </w:tr>
      <w:tr w:rsidR="00801E41" w:rsidRPr="00B438C3" w14:paraId="5866CF05" w14:textId="77777777" w:rsidTr="00C60D72">
        <w:tc>
          <w:tcPr>
            <w:tcW w:w="4026" w:type="dxa"/>
          </w:tcPr>
          <w:p w14:paraId="74239E1C" w14:textId="77777777" w:rsidR="00801E41" w:rsidRPr="00B438C3" w:rsidRDefault="00801E41" w:rsidP="00C60D72">
            <w:pPr>
              <w:pStyle w:val="TableTextWhite"/>
              <w:rPr>
                <w:rFonts w:cs="Arial"/>
                <w:b/>
              </w:rPr>
            </w:pPr>
            <w:r w:rsidRPr="00B438C3">
              <w:rPr>
                <w:rFonts w:cs="Arial"/>
                <w:b/>
              </w:rPr>
              <w:t>ANZSCO Code</w:t>
            </w:r>
          </w:p>
        </w:tc>
        <w:tc>
          <w:tcPr>
            <w:tcW w:w="6831" w:type="dxa"/>
          </w:tcPr>
          <w:p w14:paraId="15758472" w14:textId="77777777" w:rsidR="00801E41" w:rsidRPr="00B438C3" w:rsidRDefault="00801E41" w:rsidP="00C60D72">
            <w:pPr>
              <w:pStyle w:val="TableTextWhite"/>
              <w:rPr>
                <w:rFonts w:cs="Arial"/>
              </w:rPr>
            </w:pPr>
            <w:r w:rsidRPr="00B438C3">
              <w:rPr>
                <w:rFonts w:cs="Arial"/>
              </w:rPr>
              <w:t>TBC</w:t>
            </w:r>
          </w:p>
        </w:tc>
      </w:tr>
      <w:tr w:rsidR="00801E41" w:rsidRPr="00B438C3" w14:paraId="51D0DD32" w14:textId="77777777" w:rsidTr="00C60D72">
        <w:tc>
          <w:tcPr>
            <w:tcW w:w="4026" w:type="dxa"/>
          </w:tcPr>
          <w:p w14:paraId="7B20E933" w14:textId="77777777" w:rsidR="00801E41" w:rsidRPr="00B438C3" w:rsidRDefault="00801E41" w:rsidP="00C60D72">
            <w:pPr>
              <w:pStyle w:val="TableTextWhite"/>
              <w:rPr>
                <w:rFonts w:cs="Arial"/>
                <w:b/>
              </w:rPr>
            </w:pPr>
            <w:r w:rsidRPr="00B438C3">
              <w:rPr>
                <w:rFonts w:cs="Arial"/>
                <w:b/>
              </w:rPr>
              <w:t>PCAT Code</w:t>
            </w:r>
          </w:p>
        </w:tc>
        <w:tc>
          <w:tcPr>
            <w:tcW w:w="6831" w:type="dxa"/>
          </w:tcPr>
          <w:p w14:paraId="389F496E" w14:textId="77777777" w:rsidR="00801E41" w:rsidRPr="00B438C3" w:rsidRDefault="00801E41" w:rsidP="00C60D72">
            <w:pPr>
              <w:pStyle w:val="TableTextWhite"/>
              <w:rPr>
                <w:rFonts w:cs="Arial"/>
              </w:rPr>
            </w:pPr>
            <w:r w:rsidRPr="00B438C3">
              <w:rPr>
                <w:rFonts w:cs="Arial"/>
              </w:rPr>
              <w:t>TBC</w:t>
            </w:r>
          </w:p>
        </w:tc>
      </w:tr>
      <w:tr w:rsidR="00801E41" w:rsidRPr="00B438C3" w14:paraId="76B2B017" w14:textId="77777777" w:rsidTr="00C60D72">
        <w:tc>
          <w:tcPr>
            <w:tcW w:w="4026" w:type="dxa"/>
          </w:tcPr>
          <w:p w14:paraId="54C2B801" w14:textId="77777777" w:rsidR="00801E41" w:rsidRPr="00B438C3" w:rsidRDefault="00801E41" w:rsidP="00C60D72">
            <w:pPr>
              <w:pStyle w:val="TableTextWhite"/>
              <w:rPr>
                <w:rFonts w:cs="Arial"/>
                <w:b/>
              </w:rPr>
            </w:pPr>
            <w:r w:rsidRPr="00B438C3">
              <w:rPr>
                <w:rFonts w:cs="Arial"/>
                <w:b/>
              </w:rPr>
              <w:t>Date of Approval</w:t>
            </w:r>
          </w:p>
        </w:tc>
        <w:tc>
          <w:tcPr>
            <w:tcW w:w="6831" w:type="dxa"/>
          </w:tcPr>
          <w:p w14:paraId="4D19ED55" w14:textId="1B89EC12" w:rsidR="00801E41" w:rsidRPr="00B438C3" w:rsidRDefault="00801E41" w:rsidP="00C60D72">
            <w:pPr>
              <w:pStyle w:val="TableTextWhite"/>
              <w:rPr>
                <w:rFonts w:cs="Arial"/>
              </w:rPr>
            </w:pPr>
          </w:p>
        </w:tc>
      </w:tr>
      <w:tr w:rsidR="00801E41" w:rsidRPr="00B438C3" w14:paraId="461ADB14" w14:textId="77777777" w:rsidTr="00C60D72">
        <w:tc>
          <w:tcPr>
            <w:tcW w:w="4026" w:type="dxa"/>
          </w:tcPr>
          <w:p w14:paraId="401A56DF" w14:textId="77777777" w:rsidR="00801E41" w:rsidRPr="00B438C3" w:rsidRDefault="00801E41" w:rsidP="00C60D72">
            <w:pPr>
              <w:pStyle w:val="TableTextWhite"/>
              <w:rPr>
                <w:rFonts w:cs="Arial"/>
                <w:b/>
              </w:rPr>
            </w:pPr>
            <w:r w:rsidRPr="00B438C3">
              <w:rPr>
                <w:rFonts w:cs="Arial"/>
                <w:b/>
              </w:rPr>
              <w:t>Agency Website</w:t>
            </w:r>
          </w:p>
        </w:tc>
        <w:tc>
          <w:tcPr>
            <w:tcW w:w="6831" w:type="dxa"/>
          </w:tcPr>
          <w:p w14:paraId="4D836DDF" w14:textId="77777777" w:rsidR="00801E41" w:rsidRPr="00B438C3" w:rsidRDefault="00801E41" w:rsidP="00C60D72">
            <w:pPr>
              <w:pStyle w:val="TableTextWhite"/>
              <w:rPr>
                <w:rFonts w:cs="Arial"/>
              </w:rPr>
            </w:pPr>
            <w:r w:rsidRPr="00B438C3">
              <w:rPr>
                <w:rFonts w:cs="Arial"/>
              </w:rPr>
              <w:t>https://maas.museum/</w:t>
            </w:r>
          </w:p>
        </w:tc>
      </w:tr>
    </w:tbl>
    <w:p w14:paraId="0F536AA8" w14:textId="77777777" w:rsidR="00477EB1" w:rsidRPr="00B438C3" w:rsidRDefault="00477EB1" w:rsidP="00477EB1">
      <w:pPr>
        <w:tabs>
          <w:tab w:val="left" w:pos="2925"/>
        </w:tabs>
        <w:rPr>
          <w:rFonts w:cs="Arial"/>
        </w:rPr>
      </w:pPr>
    </w:p>
    <w:p w14:paraId="0E2F6116" w14:textId="77777777" w:rsidR="003927AE" w:rsidRPr="00B438C3" w:rsidRDefault="003927AE" w:rsidP="003927AE">
      <w:pPr>
        <w:tabs>
          <w:tab w:val="left" w:pos="2925"/>
        </w:tabs>
        <w:rPr>
          <w:rStyle w:val="Heading1Char"/>
        </w:rPr>
      </w:pPr>
      <w:r w:rsidRPr="00B438C3">
        <w:rPr>
          <w:rStyle w:val="Heading1Char"/>
        </w:rPr>
        <w:t>Agency overview</w:t>
      </w:r>
    </w:p>
    <w:p w14:paraId="4AAC495B" w14:textId="6E4EB03D" w:rsidR="003927AE" w:rsidRDefault="003927AE" w:rsidP="003E3A75">
      <w:pPr>
        <w:tabs>
          <w:tab w:val="left" w:pos="2925"/>
        </w:tabs>
        <w:ind w:right="168"/>
        <w:jc w:val="both"/>
        <w:rPr>
          <w:rFonts w:cs="Arial"/>
        </w:rPr>
      </w:pPr>
      <w:r w:rsidRPr="00B438C3">
        <w:rPr>
          <w:rFonts w:cs="Arial"/>
        </w:rPr>
        <w:t>The Museum of Applied Arts and Sciences sits at the intersection of the arts, design, science and technology and plays a critical role in engaging communities with contemporary ideas and issues.  Established in 1881, the museum includes the Powerhouse Museum</w:t>
      </w:r>
      <w:r w:rsidR="00220421">
        <w:rPr>
          <w:rFonts w:cs="Arial"/>
        </w:rPr>
        <w:t xml:space="preserve"> Ultimo</w:t>
      </w:r>
      <w:r w:rsidRPr="00B438C3">
        <w:rPr>
          <w:rFonts w:cs="Arial"/>
        </w:rPr>
        <w:t>, Sydney Observatory, the Museums Discovery Centre in Castle Hill and will expand to include</w:t>
      </w:r>
      <w:r w:rsidR="00220421">
        <w:rPr>
          <w:rFonts w:cs="Arial"/>
        </w:rPr>
        <w:t xml:space="preserve"> the museum’s new flagship - </w:t>
      </w:r>
      <w:r w:rsidRPr="00B438C3">
        <w:rPr>
          <w:rFonts w:cs="Arial"/>
        </w:rPr>
        <w:t>Powerhouse Parramatta</w:t>
      </w:r>
      <w:r w:rsidR="00220421">
        <w:rPr>
          <w:rFonts w:cs="Arial"/>
        </w:rPr>
        <w:t xml:space="preserve">. </w:t>
      </w:r>
      <w:r w:rsidRPr="00B438C3">
        <w:rPr>
          <w:rFonts w:cs="Arial"/>
        </w:rPr>
        <w:t xml:space="preserve"> The Museum is custodian to over half a million objects of national and international significance and is considered one of the finest and most diverse collections in Australia.</w:t>
      </w:r>
    </w:p>
    <w:p w14:paraId="277E603E" w14:textId="6775E526" w:rsidR="00976639" w:rsidRDefault="00220421" w:rsidP="003E3A75">
      <w:pPr>
        <w:ind w:right="168"/>
        <w:jc w:val="both"/>
        <w:rPr>
          <w:rFonts w:cstheme="majorHAnsi"/>
        </w:rPr>
      </w:pPr>
      <w:r w:rsidRPr="0002680E">
        <w:rPr>
          <w:rFonts w:cstheme="majorHAnsi"/>
        </w:rPr>
        <w:t xml:space="preserve">The </w:t>
      </w:r>
      <w:r>
        <w:rPr>
          <w:rFonts w:cstheme="majorHAnsi"/>
        </w:rPr>
        <w:t xml:space="preserve">Museum of Applied Arts and Sciences is undertaking landmark renewal </w:t>
      </w:r>
      <w:r w:rsidR="00976639">
        <w:rPr>
          <w:rFonts w:cstheme="majorHAnsi"/>
        </w:rPr>
        <w:t xml:space="preserve">program </w:t>
      </w:r>
      <w:r>
        <w:rPr>
          <w:rFonts w:cstheme="majorHAnsi"/>
        </w:rPr>
        <w:t xml:space="preserve">which includes the creation of Powerhouse Parramatta, the </w:t>
      </w:r>
      <w:r w:rsidRPr="0002680E">
        <w:rPr>
          <w:rFonts w:cstheme="majorHAnsi"/>
        </w:rPr>
        <w:t xml:space="preserve">largest cultural infrastructure project </w:t>
      </w:r>
      <w:r>
        <w:rPr>
          <w:rFonts w:cstheme="majorHAnsi"/>
        </w:rPr>
        <w:t>sin</w:t>
      </w:r>
      <w:r w:rsidR="00976639">
        <w:rPr>
          <w:rFonts w:cstheme="majorHAnsi"/>
        </w:rPr>
        <w:t>ce the Sydney Opera House; the expansion of Museum’s Discovery Centre, Castle Hill which includes expanded storage and new research and public facilities and the renewal of the iconic Powerhouse Museum in Ultimo.  Key to the renewal is the assessment and digitisation of over 380,000 objects from the museum’s collection providing new levels of access.</w:t>
      </w:r>
    </w:p>
    <w:p w14:paraId="4E870305" w14:textId="77777777" w:rsidR="003927AE" w:rsidRPr="00B438C3" w:rsidRDefault="003927AE" w:rsidP="003927AE">
      <w:pPr>
        <w:tabs>
          <w:tab w:val="left" w:pos="2925"/>
        </w:tabs>
        <w:rPr>
          <w:rStyle w:val="Heading1Char"/>
        </w:rPr>
      </w:pPr>
      <w:r w:rsidRPr="00B438C3">
        <w:rPr>
          <w:rStyle w:val="Heading1Char"/>
        </w:rPr>
        <w:t>Primary purpose of the role</w:t>
      </w:r>
    </w:p>
    <w:p w14:paraId="531D0C7E" w14:textId="6D21A67F" w:rsidR="00976639" w:rsidRDefault="00976639" w:rsidP="003E3A75">
      <w:pPr>
        <w:tabs>
          <w:tab w:val="left" w:pos="2925"/>
        </w:tabs>
        <w:jc w:val="both"/>
        <w:rPr>
          <w:rFonts w:cs="Arial"/>
        </w:rPr>
      </w:pPr>
      <w:r>
        <w:rPr>
          <w:rFonts w:cs="Arial"/>
        </w:rPr>
        <w:t>Over the next 5 years the key purpose of the role will be to lead the operational planning and organisational transformation required to deliver the Museum’s renewal program.</w:t>
      </w:r>
    </w:p>
    <w:p w14:paraId="548A08F4" w14:textId="7843D37D" w:rsidR="00976639" w:rsidRPr="00D44357" w:rsidRDefault="00976639" w:rsidP="003E3A75">
      <w:pPr>
        <w:tabs>
          <w:tab w:val="left" w:pos="2925"/>
        </w:tabs>
        <w:jc w:val="both"/>
        <w:rPr>
          <w:rFonts w:cs="Arial"/>
        </w:rPr>
      </w:pPr>
      <w:r>
        <w:rPr>
          <w:rFonts w:cs="Arial"/>
        </w:rPr>
        <w:t>Reporting directly to the Chief Executive, the Chief Operating Officer is responsible for services that drive and measure continuous organi</w:t>
      </w:r>
      <w:r w:rsidR="00630798">
        <w:rPr>
          <w:rFonts w:cs="Arial"/>
        </w:rPr>
        <w:t>s</w:t>
      </w:r>
      <w:r>
        <w:rPr>
          <w:rFonts w:cs="Arial"/>
        </w:rPr>
        <w:t xml:space="preserve">ational improvement.  Key areas include </w:t>
      </w:r>
      <w:r w:rsidRPr="00D44357">
        <w:rPr>
          <w:rFonts w:cs="Arial"/>
        </w:rPr>
        <w:t xml:space="preserve">finance, </w:t>
      </w:r>
      <w:r>
        <w:rPr>
          <w:rFonts w:cs="Arial"/>
        </w:rPr>
        <w:t xml:space="preserve">commercial, </w:t>
      </w:r>
      <w:r w:rsidRPr="00D44357">
        <w:rPr>
          <w:rFonts w:cs="Arial"/>
        </w:rPr>
        <w:t>human resources,</w:t>
      </w:r>
      <w:r>
        <w:rPr>
          <w:rFonts w:cs="Arial"/>
        </w:rPr>
        <w:t xml:space="preserve"> legal,</w:t>
      </w:r>
      <w:r w:rsidRPr="00D44357">
        <w:rPr>
          <w:rFonts w:cs="Arial"/>
        </w:rPr>
        <w:t xml:space="preserve"> information and communications technology, facilities management</w:t>
      </w:r>
      <w:r w:rsidR="00630798">
        <w:rPr>
          <w:rFonts w:cs="Arial"/>
        </w:rPr>
        <w:t xml:space="preserve"> and </w:t>
      </w:r>
      <w:r>
        <w:rPr>
          <w:rFonts w:cs="Arial"/>
        </w:rPr>
        <w:t xml:space="preserve">visitor </w:t>
      </w:r>
      <w:r w:rsidRPr="00D44357">
        <w:rPr>
          <w:rFonts w:cs="Arial"/>
        </w:rPr>
        <w:t>services</w:t>
      </w:r>
      <w:r>
        <w:rPr>
          <w:rFonts w:cs="Arial"/>
        </w:rPr>
        <w:t xml:space="preserve"> </w:t>
      </w:r>
      <w:r w:rsidRPr="00D44357">
        <w:rPr>
          <w:rFonts w:cs="Arial"/>
        </w:rPr>
        <w:t>to deliver</w:t>
      </w:r>
      <w:r>
        <w:rPr>
          <w:rFonts w:cs="Arial"/>
        </w:rPr>
        <w:t xml:space="preserve"> </w:t>
      </w:r>
      <w:r w:rsidR="00630798">
        <w:rPr>
          <w:rFonts w:cs="Arial"/>
        </w:rPr>
        <w:t>and expand strategic business objectives.</w:t>
      </w:r>
    </w:p>
    <w:p w14:paraId="51A7C443" w14:textId="5D155918" w:rsidR="00976639" w:rsidRDefault="00976639" w:rsidP="003927AE">
      <w:pPr>
        <w:tabs>
          <w:tab w:val="left" w:pos="2925"/>
        </w:tabs>
        <w:rPr>
          <w:rFonts w:cs="Arial"/>
        </w:rPr>
      </w:pPr>
    </w:p>
    <w:p w14:paraId="1707E322" w14:textId="24A15B08" w:rsidR="00630798" w:rsidRDefault="00630798" w:rsidP="003927AE">
      <w:pPr>
        <w:tabs>
          <w:tab w:val="left" w:pos="2925"/>
        </w:tabs>
        <w:rPr>
          <w:rFonts w:cs="Arial"/>
        </w:rPr>
      </w:pPr>
    </w:p>
    <w:p w14:paraId="08F60CD3" w14:textId="53859839" w:rsidR="003927AE" w:rsidRDefault="003927AE" w:rsidP="00172DFE">
      <w:pPr>
        <w:tabs>
          <w:tab w:val="left" w:pos="2925"/>
        </w:tabs>
        <w:rPr>
          <w:rStyle w:val="Heading1Char"/>
        </w:rPr>
      </w:pPr>
      <w:r w:rsidRPr="00B438C3">
        <w:rPr>
          <w:rStyle w:val="Heading1Char"/>
        </w:rPr>
        <w:lastRenderedPageBreak/>
        <w:t>Key accountabilities</w:t>
      </w:r>
    </w:p>
    <w:p w14:paraId="378E5B3C" w14:textId="52EFC952" w:rsidR="00630798" w:rsidRDefault="00CB7928" w:rsidP="003E3A75">
      <w:pPr>
        <w:pStyle w:val="ListParagraph"/>
        <w:numPr>
          <w:ilvl w:val="0"/>
          <w:numId w:val="12"/>
        </w:numPr>
        <w:tabs>
          <w:tab w:val="left" w:pos="2925"/>
        </w:tabs>
        <w:spacing w:line="240" w:lineRule="auto"/>
        <w:jc w:val="both"/>
        <w:rPr>
          <w:rFonts w:cs="Arial"/>
        </w:rPr>
      </w:pPr>
      <w:r>
        <w:rPr>
          <w:rFonts w:cs="Arial"/>
        </w:rPr>
        <w:t xml:space="preserve">Lead </w:t>
      </w:r>
      <w:r w:rsidR="00630798">
        <w:rPr>
          <w:rFonts w:cs="Arial"/>
        </w:rPr>
        <w:t>the operational planning and organisational transformation required to deliver the renewal of the Museum of Applied Arts and Sciences.</w:t>
      </w:r>
    </w:p>
    <w:p w14:paraId="31290E7D" w14:textId="77777777" w:rsidR="00CB7928" w:rsidRDefault="00CB7928" w:rsidP="003E3A75">
      <w:pPr>
        <w:pStyle w:val="ListParagraph"/>
        <w:numPr>
          <w:ilvl w:val="0"/>
          <w:numId w:val="12"/>
        </w:numPr>
        <w:tabs>
          <w:tab w:val="left" w:pos="2925"/>
        </w:tabs>
        <w:spacing w:line="240" w:lineRule="auto"/>
        <w:jc w:val="both"/>
        <w:rPr>
          <w:rFonts w:cs="Arial"/>
        </w:rPr>
      </w:pPr>
      <w:r>
        <w:rPr>
          <w:rFonts w:cs="Arial"/>
        </w:rPr>
        <w:t xml:space="preserve">Lead and direct the operations division which comprises of </w:t>
      </w:r>
      <w:r w:rsidRPr="00D44357">
        <w:rPr>
          <w:rFonts w:cs="Arial"/>
        </w:rPr>
        <w:t xml:space="preserve">finance, </w:t>
      </w:r>
      <w:r>
        <w:rPr>
          <w:rFonts w:cs="Arial"/>
        </w:rPr>
        <w:t xml:space="preserve">commercial, </w:t>
      </w:r>
      <w:r w:rsidRPr="00D44357">
        <w:rPr>
          <w:rFonts w:cs="Arial"/>
        </w:rPr>
        <w:t>human resources,</w:t>
      </w:r>
      <w:r>
        <w:rPr>
          <w:rFonts w:cs="Arial"/>
        </w:rPr>
        <w:t xml:space="preserve"> legal,</w:t>
      </w:r>
      <w:r w:rsidRPr="00D44357">
        <w:rPr>
          <w:rFonts w:cs="Arial"/>
        </w:rPr>
        <w:t xml:space="preserve"> information and communications technology, facilities management</w:t>
      </w:r>
      <w:r>
        <w:rPr>
          <w:rFonts w:cs="Arial"/>
        </w:rPr>
        <w:t xml:space="preserve"> and visitor </w:t>
      </w:r>
      <w:r w:rsidRPr="00D44357">
        <w:rPr>
          <w:rFonts w:cs="Arial"/>
        </w:rPr>
        <w:t>services</w:t>
      </w:r>
      <w:r>
        <w:rPr>
          <w:rFonts w:cs="Arial"/>
        </w:rPr>
        <w:t xml:space="preserve"> to enable it to deliver high performing outcomes.  </w:t>
      </w:r>
    </w:p>
    <w:p w14:paraId="4CD8EE0D" w14:textId="2759126D" w:rsidR="00630798" w:rsidRDefault="00CB7928" w:rsidP="003E3A75">
      <w:pPr>
        <w:pStyle w:val="ListParagraph"/>
        <w:numPr>
          <w:ilvl w:val="0"/>
          <w:numId w:val="12"/>
        </w:numPr>
        <w:tabs>
          <w:tab w:val="left" w:pos="2925"/>
        </w:tabs>
        <w:spacing w:line="240" w:lineRule="auto"/>
        <w:jc w:val="both"/>
        <w:rPr>
          <w:rFonts w:cs="Arial"/>
        </w:rPr>
      </w:pPr>
      <w:r w:rsidRPr="00CB7928">
        <w:rPr>
          <w:rFonts w:cs="Arial"/>
        </w:rPr>
        <w:t>Develop, implement and review appropriate strategies and processes to sustainably deliver the operations of the agency.</w:t>
      </w:r>
    </w:p>
    <w:p w14:paraId="02401370" w14:textId="32729F2A" w:rsidR="00B438C3" w:rsidRDefault="00C44098" w:rsidP="003E3A75">
      <w:pPr>
        <w:pStyle w:val="ListParagraph"/>
        <w:numPr>
          <w:ilvl w:val="0"/>
          <w:numId w:val="12"/>
        </w:numPr>
        <w:tabs>
          <w:tab w:val="left" w:pos="2925"/>
        </w:tabs>
        <w:spacing w:line="240" w:lineRule="auto"/>
        <w:jc w:val="both"/>
        <w:rPr>
          <w:rFonts w:cs="Arial"/>
        </w:rPr>
      </w:pPr>
      <w:r w:rsidRPr="00B438C3">
        <w:rPr>
          <w:rFonts w:cs="Arial"/>
        </w:rPr>
        <w:t xml:space="preserve">Lead, plan and direct the financial management and reporting, </w:t>
      </w:r>
      <w:r w:rsidR="0049028E">
        <w:rPr>
          <w:rFonts w:cs="Arial"/>
        </w:rPr>
        <w:t xml:space="preserve">capital and project management, internal and external audits, </w:t>
      </w:r>
      <w:r w:rsidRPr="00B438C3">
        <w:rPr>
          <w:rFonts w:cs="Arial"/>
        </w:rPr>
        <w:t xml:space="preserve">procurement and contract management, risk management, budgeting and forecasting and the financial management </w:t>
      </w:r>
      <w:r w:rsidR="00B438C3" w:rsidRPr="00B438C3">
        <w:rPr>
          <w:rFonts w:cs="Arial"/>
        </w:rPr>
        <w:t>for current and future operation</w:t>
      </w:r>
      <w:r w:rsidR="0049028E">
        <w:rPr>
          <w:rFonts w:cs="Arial"/>
        </w:rPr>
        <w:t>s</w:t>
      </w:r>
      <w:r w:rsidR="00B438C3">
        <w:rPr>
          <w:rFonts w:cs="Arial"/>
        </w:rPr>
        <w:t>.</w:t>
      </w:r>
    </w:p>
    <w:p w14:paraId="7250E6E5" w14:textId="6ABD6EDF" w:rsidR="00CB7928" w:rsidRDefault="00CB7928" w:rsidP="003E3A75">
      <w:pPr>
        <w:pStyle w:val="ListParagraph"/>
        <w:numPr>
          <w:ilvl w:val="0"/>
          <w:numId w:val="12"/>
        </w:numPr>
        <w:tabs>
          <w:tab w:val="left" w:pos="2925"/>
        </w:tabs>
        <w:spacing w:line="240" w:lineRule="auto"/>
        <w:jc w:val="both"/>
        <w:rPr>
          <w:rFonts w:cs="Arial"/>
        </w:rPr>
      </w:pPr>
      <w:r>
        <w:rPr>
          <w:rFonts w:cs="Arial"/>
        </w:rPr>
        <w:t>Develop and sustain effective working relationships focused on delivering high-level client services across NSW Government, Board of Trustees, Finance Audit and Risk Committee, internal and external auditors and key stakeholders.</w:t>
      </w:r>
    </w:p>
    <w:p w14:paraId="5C7BD1D8" w14:textId="77777777" w:rsidR="0049028E" w:rsidRDefault="00486B03" w:rsidP="003E3A75">
      <w:pPr>
        <w:pStyle w:val="ListParagraph"/>
        <w:numPr>
          <w:ilvl w:val="0"/>
          <w:numId w:val="12"/>
        </w:numPr>
        <w:tabs>
          <w:tab w:val="left" w:pos="2925"/>
        </w:tabs>
        <w:spacing w:line="240" w:lineRule="auto"/>
        <w:jc w:val="both"/>
        <w:rPr>
          <w:rFonts w:cs="Arial"/>
        </w:rPr>
      </w:pPr>
      <w:r>
        <w:rPr>
          <w:rFonts w:cs="Arial"/>
        </w:rPr>
        <w:t>Lead organi</w:t>
      </w:r>
      <w:r w:rsidR="0049028E">
        <w:rPr>
          <w:rFonts w:cs="Arial"/>
        </w:rPr>
        <w:t>s</w:t>
      </w:r>
      <w:r>
        <w:rPr>
          <w:rFonts w:cs="Arial"/>
        </w:rPr>
        <w:t xml:space="preserve">ational compliance and governance frameworks including </w:t>
      </w:r>
      <w:r w:rsidR="0049028E">
        <w:rPr>
          <w:rFonts w:cs="Arial"/>
        </w:rPr>
        <w:t xml:space="preserve">legal, </w:t>
      </w:r>
      <w:r>
        <w:rPr>
          <w:rFonts w:cs="Arial"/>
        </w:rPr>
        <w:t>policy, NSW Government, regulatory and statutory requirements</w:t>
      </w:r>
      <w:r w:rsidR="0049028E">
        <w:rPr>
          <w:rFonts w:cs="Arial"/>
        </w:rPr>
        <w:t xml:space="preserve">. </w:t>
      </w:r>
    </w:p>
    <w:p w14:paraId="1963910D" w14:textId="1AC462F6" w:rsidR="00CB7928" w:rsidRDefault="00322DB8" w:rsidP="003E3A75">
      <w:pPr>
        <w:pStyle w:val="ListParagraph"/>
        <w:numPr>
          <w:ilvl w:val="0"/>
          <w:numId w:val="12"/>
        </w:numPr>
        <w:tabs>
          <w:tab w:val="left" w:pos="2925"/>
        </w:tabs>
        <w:spacing w:line="240" w:lineRule="auto"/>
        <w:jc w:val="both"/>
        <w:rPr>
          <w:rFonts w:cs="Arial"/>
        </w:rPr>
      </w:pPr>
      <w:r>
        <w:rPr>
          <w:rFonts w:cs="Arial"/>
        </w:rPr>
        <w:t>Strategically expand the commercial capacity of the agency through embedding commercial opportunities across the renewal program in both infrastructure and operations.</w:t>
      </w:r>
    </w:p>
    <w:p w14:paraId="5D3A574D" w14:textId="56C7D827" w:rsidR="002F64AC" w:rsidRDefault="002F64AC" w:rsidP="003E3A75">
      <w:pPr>
        <w:pStyle w:val="ListParagraph"/>
        <w:numPr>
          <w:ilvl w:val="0"/>
          <w:numId w:val="11"/>
        </w:numPr>
        <w:tabs>
          <w:tab w:val="left" w:pos="2925"/>
        </w:tabs>
        <w:spacing w:line="240" w:lineRule="auto"/>
        <w:jc w:val="both"/>
        <w:rPr>
          <w:rFonts w:cs="Arial"/>
        </w:rPr>
      </w:pPr>
      <w:r w:rsidRPr="00B438C3">
        <w:rPr>
          <w:rFonts w:cs="Arial"/>
        </w:rPr>
        <w:t>Lead</w:t>
      </w:r>
      <w:r w:rsidR="00322DB8">
        <w:rPr>
          <w:rFonts w:cs="Arial"/>
        </w:rPr>
        <w:t xml:space="preserve"> the renewal,</w:t>
      </w:r>
      <w:r w:rsidR="00D0690E">
        <w:rPr>
          <w:rFonts w:cs="Arial"/>
        </w:rPr>
        <w:t xml:space="preserve"> development and implementation of digital and technology </w:t>
      </w:r>
      <w:r w:rsidR="00322DB8">
        <w:rPr>
          <w:rFonts w:cs="Arial"/>
        </w:rPr>
        <w:t>frameworks and systems that will support the expanded operations of the agency.</w:t>
      </w:r>
      <w:r w:rsidR="00D0690E">
        <w:rPr>
          <w:rFonts w:cs="Arial"/>
        </w:rPr>
        <w:t xml:space="preserve"> </w:t>
      </w:r>
    </w:p>
    <w:p w14:paraId="4BBC4043" w14:textId="4B9E0466" w:rsidR="00322DB8" w:rsidRDefault="00322DB8" w:rsidP="003E3A75">
      <w:pPr>
        <w:pStyle w:val="ListParagraph"/>
        <w:numPr>
          <w:ilvl w:val="0"/>
          <w:numId w:val="11"/>
        </w:numPr>
        <w:tabs>
          <w:tab w:val="left" w:pos="2925"/>
        </w:tabs>
        <w:spacing w:line="240" w:lineRule="auto"/>
        <w:jc w:val="both"/>
        <w:rPr>
          <w:rFonts w:cs="Arial"/>
        </w:rPr>
      </w:pPr>
      <w:r>
        <w:rPr>
          <w:rFonts w:cs="Arial"/>
        </w:rPr>
        <w:t>Ensure that the museum is safe, welcoming and accessible and delivers best practice customer service and engagement.</w:t>
      </w:r>
    </w:p>
    <w:p w14:paraId="081BA715" w14:textId="45CEC6D0" w:rsidR="00322DB8" w:rsidRDefault="00322DB8" w:rsidP="003E3A75">
      <w:pPr>
        <w:pStyle w:val="ListParagraph"/>
        <w:numPr>
          <w:ilvl w:val="0"/>
          <w:numId w:val="11"/>
        </w:numPr>
        <w:tabs>
          <w:tab w:val="left" w:pos="2925"/>
        </w:tabs>
        <w:spacing w:line="240" w:lineRule="auto"/>
        <w:jc w:val="both"/>
        <w:rPr>
          <w:rFonts w:cs="Arial"/>
        </w:rPr>
      </w:pPr>
      <w:r>
        <w:rPr>
          <w:rFonts w:cs="Arial"/>
        </w:rPr>
        <w:t xml:space="preserve">Lead the executive team in the delivery of a positive people orientated culture that fosters diversity and inclusion, employee engagement, capability development and collaboration. </w:t>
      </w:r>
    </w:p>
    <w:p w14:paraId="7DBA00A3" w14:textId="245CB5C8" w:rsidR="00D019B6" w:rsidRDefault="00322DB8" w:rsidP="003E3A75">
      <w:pPr>
        <w:pStyle w:val="ListParagraph"/>
        <w:numPr>
          <w:ilvl w:val="0"/>
          <w:numId w:val="11"/>
        </w:numPr>
        <w:tabs>
          <w:tab w:val="left" w:pos="2925"/>
        </w:tabs>
        <w:spacing w:line="240" w:lineRule="auto"/>
        <w:jc w:val="both"/>
        <w:rPr>
          <w:rFonts w:cs="Arial"/>
        </w:rPr>
      </w:pPr>
      <w:r>
        <w:rPr>
          <w:rFonts w:cs="Arial"/>
        </w:rPr>
        <w:t xml:space="preserve">Lead the </w:t>
      </w:r>
      <w:r w:rsidR="00787556">
        <w:rPr>
          <w:rFonts w:cs="Arial"/>
        </w:rPr>
        <w:t xml:space="preserve">structural </w:t>
      </w:r>
      <w:r>
        <w:rPr>
          <w:rFonts w:cs="Arial"/>
        </w:rPr>
        <w:t xml:space="preserve">transformation that delivers excellence in </w:t>
      </w:r>
      <w:r w:rsidR="00D44357">
        <w:rPr>
          <w:rFonts w:cs="Arial"/>
        </w:rPr>
        <w:t xml:space="preserve">daily operations and </w:t>
      </w:r>
      <w:r>
        <w:rPr>
          <w:rFonts w:cs="Arial"/>
        </w:rPr>
        <w:t>ensures o</w:t>
      </w:r>
      <w:r w:rsidR="00D44357">
        <w:rPr>
          <w:rFonts w:cs="Arial"/>
        </w:rPr>
        <w:t xml:space="preserve">ngoing </w:t>
      </w:r>
      <w:r>
        <w:rPr>
          <w:rFonts w:cs="Arial"/>
        </w:rPr>
        <w:t>continuous</w:t>
      </w:r>
      <w:r w:rsidR="007C23E6">
        <w:rPr>
          <w:rFonts w:cs="Arial"/>
        </w:rPr>
        <w:t xml:space="preserve"> improvement</w:t>
      </w:r>
      <w:r>
        <w:rPr>
          <w:rFonts w:cs="Arial"/>
        </w:rPr>
        <w:t xml:space="preserve"> and innovation.</w:t>
      </w:r>
    </w:p>
    <w:p w14:paraId="6256A822" w14:textId="20E037BA" w:rsidR="003927AE" w:rsidRDefault="00787556" w:rsidP="003E3A75">
      <w:pPr>
        <w:pStyle w:val="ListParagraph"/>
        <w:numPr>
          <w:ilvl w:val="0"/>
          <w:numId w:val="11"/>
        </w:numPr>
        <w:tabs>
          <w:tab w:val="left" w:pos="2925"/>
        </w:tabs>
        <w:spacing w:line="240" w:lineRule="auto"/>
        <w:jc w:val="both"/>
        <w:rPr>
          <w:rFonts w:cs="Arial"/>
        </w:rPr>
      </w:pPr>
      <w:r>
        <w:rPr>
          <w:rFonts w:cs="Arial"/>
        </w:rPr>
        <w:t>D</w:t>
      </w:r>
      <w:r w:rsidR="00486B03" w:rsidRPr="00D019B6">
        <w:rPr>
          <w:rFonts w:cs="Arial"/>
        </w:rPr>
        <w:t xml:space="preserve">eliver a new </w:t>
      </w:r>
      <w:r>
        <w:rPr>
          <w:rFonts w:cs="Arial"/>
        </w:rPr>
        <w:t xml:space="preserve">international </w:t>
      </w:r>
      <w:r w:rsidR="00486B03" w:rsidRPr="00D019B6">
        <w:rPr>
          <w:rFonts w:cs="Arial"/>
        </w:rPr>
        <w:t>benchmark in visitor experience</w:t>
      </w:r>
      <w:r w:rsidR="00486B03">
        <w:rPr>
          <w:rFonts w:cs="Arial"/>
        </w:rPr>
        <w:t xml:space="preserve"> and</w:t>
      </w:r>
      <w:r>
        <w:rPr>
          <w:rFonts w:cs="Arial"/>
        </w:rPr>
        <w:t xml:space="preserve"> customer services </w:t>
      </w:r>
      <w:r w:rsidR="00486B03" w:rsidRPr="00D019B6">
        <w:rPr>
          <w:rFonts w:cs="Arial"/>
        </w:rPr>
        <w:t xml:space="preserve">across the </w:t>
      </w:r>
      <w:r>
        <w:rPr>
          <w:rFonts w:cs="Arial"/>
        </w:rPr>
        <w:t xml:space="preserve">agency through the establishment of a strategic audience framework and its detailed delivery. </w:t>
      </w:r>
    </w:p>
    <w:p w14:paraId="54C69B15" w14:textId="07608916" w:rsidR="00787556" w:rsidRPr="00D019B6" w:rsidRDefault="00787556" w:rsidP="003E3A75">
      <w:pPr>
        <w:pStyle w:val="ListParagraph"/>
        <w:numPr>
          <w:ilvl w:val="0"/>
          <w:numId w:val="11"/>
        </w:numPr>
        <w:tabs>
          <w:tab w:val="left" w:pos="2925"/>
        </w:tabs>
        <w:spacing w:line="240" w:lineRule="auto"/>
        <w:jc w:val="both"/>
        <w:rPr>
          <w:rFonts w:cs="Arial"/>
        </w:rPr>
      </w:pPr>
      <w:r>
        <w:rPr>
          <w:rFonts w:cs="Arial"/>
        </w:rPr>
        <w:t>Lead and direct the management and security of the agency’s assets and sites.  Ensure high quality and cost-effective maintenance of its facilities through detailed strategic asset and maintenance planning.</w:t>
      </w:r>
    </w:p>
    <w:p w14:paraId="317D0402" w14:textId="77777777" w:rsidR="003927AE" w:rsidRPr="00B438C3" w:rsidRDefault="003927AE" w:rsidP="003927AE">
      <w:pPr>
        <w:tabs>
          <w:tab w:val="left" w:pos="2925"/>
        </w:tabs>
        <w:rPr>
          <w:rStyle w:val="Heading1Char"/>
        </w:rPr>
      </w:pPr>
      <w:r w:rsidRPr="00B438C3">
        <w:rPr>
          <w:rStyle w:val="Heading1Char"/>
        </w:rPr>
        <w:t>Key challenges</w:t>
      </w:r>
    </w:p>
    <w:p w14:paraId="4CB382CB" w14:textId="03F73E19" w:rsidR="00DD7B79" w:rsidRDefault="00DD7B79" w:rsidP="003E3A75">
      <w:pPr>
        <w:pStyle w:val="ListParagraph"/>
        <w:numPr>
          <w:ilvl w:val="0"/>
          <w:numId w:val="11"/>
        </w:numPr>
        <w:tabs>
          <w:tab w:val="left" w:pos="2925"/>
        </w:tabs>
        <w:spacing w:line="240" w:lineRule="auto"/>
        <w:jc w:val="both"/>
        <w:rPr>
          <w:rFonts w:cs="Arial"/>
        </w:rPr>
      </w:pPr>
      <w:r>
        <w:rPr>
          <w:rFonts w:cs="Arial"/>
        </w:rPr>
        <w:t>Leading the operational transformation of the agency in line with its renewal program.</w:t>
      </w:r>
    </w:p>
    <w:p w14:paraId="495A92B5" w14:textId="1F794740" w:rsidR="00DD7B79" w:rsidRDefault="00DD7B79" w:rsidP="003E3A75">
      <w:pPr>
        <w:pStyle w:val="ListParagraph"/>
        <w:numPr>
          <w:ilvl w:val="0"/>
          <w:numId w:val="11"/>
        </w:numPr>
        <w:tabs>
          <w:tab w:val="left" w:pos="2925"/>
        </w:tabs>
        <w:spacing w:line="240" w:lineRule="auto"/>
        <w:jc w:val="both"/>
        <w:rPr>
          <w:rFonts w:cs="Arial"/>
        </w:rPr>
      </w:pPr>
      <w:r>
        <w:rPr>
          <w:rFonts w:cs="Arial"/>
        </w:rPr>
        <w:t>Embedding a commercial program</w:t>
      </w:r>
      <w:r w:rsidR="00235672">
        <w:rPr>
          <w:rFonts w:cs="Arial"/>
        </w:rPr>
        <w:t xml:space="preserve"> into operations</w:t>
      </w:r>
      <w:r>
        <w:rPr>
          <w:rFonts w:cs="Arial"/>
        </w:rPr>
        <w:t xml:space="preserve"> that delivers high-level returns and supports the broader objectives of the museum. </w:t>
      </w:r>
    </w:p>
    <w:p w14:paraId="40170691" w14:textId="77777777" w:rsidR="00C04775" w:rsidRDefault="00C04775" w:rsidP="003E3A75">
      <w:pPr>
        <w:pStyle w:val="ListParagraph"/>
        <w:numPr>
          <w:ilvl w:val="0"/>
          <w:numId w:val="11"/>
        </w:numPr>
        <w:tabs>
          <w:tab w:val="left" w:pos="2925"/>
        </w:tabs>
        <w:spacing w:line="240" w:lineRule="auto"/>
        <w:jc w:val="both"/>
        <w:rPr>
          <w:rFonts w:cs="Arial"/>
        </w:rPr>
      </w:pPr>
      <w:r>
        <w:rPr>
          <w:rFonts w:cs="Arial"/>
        </w:rPr>
        <w:t>Developing and implementing strategic operational planning that supports the growth and success of the agency.</w:t>
      </w:r>
    </w:p>
    <w:p w14:paraId="14980DA6" w14:textId="34A4D6FA" w:rsidR="00A90A27" w:rsidRPr="007C23E6" w:rsidRDefault="00C04775" w:rsidP="003E3A75">
      <w:pPr>
        <w:pStyle w:val="ListParagraph"/>
        <w:numPr>
          <w:ilvl w:val="0"/>
          <w:numId w:val="11"/>
        </w:numPr>
        <w:tabs>
          <w:tab w:val="left" w:pos="2925"/>
        </w:tabs>
        <w:spacing w:line="240" w:lineRule="auto"/>
        <w:jc w:val="both"/>
        <w:rPr>
          <w:rFonts w:cs="Arial"/>
        </w:rPr>
      </w:pPr>
      <w:r>
        <w:rPr>
          <w:rFonts w:cs="Arial"/>
        </w:rPr>
        <w:t>Managing resources to meet competing priorities and strategic outcomes.</w:t>
      </w:r>
      <w:r w:rsidR="00A90A27">
        <w:rPr>
          <w:rFonts w:cs="Arial"/>
        </w:rPr>
        <w:t xml:space="preserve">  </w:t>
      </w:r>
    </w:p>
    <w:p w14:paraId="4BA933E0" w14:textId="77777777" w:rsidR="00E11AE4" w:rsidRDefault="00E11AE4" w:rsidP="003927AE">
      <w:pPr>
        <w:tabs>
          <w:tab w:val="left" w:pos="2925"/>
        </w:tabs>
        <w:spacing w:line="240" w:lineRule="auto"/>
        <w:rPr>
          <w:rStyle w:val="Heading1Char"/>
        </w:rPr>
      </w:pPr>
    </w:p>
    <w:p w14:paraId="03425A07" w14:textId="2F863B99" w:rsidR="003927AE" w:rsidRPr="00B438C3" w:rsidRDefault="003927AE" w:rsidP="003927AE">
      <w:pPr>
        <w:tabs>
          <w:tab w:val="left" w:pos="2925"/>
        </w:tabs>
        <w:spacing w:line="240" w:lineRule="auto"/>
        <w:rPr>
          <w:rFonts w:cs="Arial"/>
          <w:b/>
          <w:sz w:val="28"/>
        </w:rPr>
      </w:pPr>
      <w:r w:rsidRPr="00B438C3">
        <w:rPr>
          <w:rStyle w:val="Heading1Char"/>
        </w:rPr>
        <w:t>Key relationships</w:t>
      </w:r>
    </w:p>
    <w:tbl>
      <w:tblPr>
        <w:tblStyle w:val="PSCPurple"/>
        <w:tblW w:w="10857" w:type="dxa"/>
        <w:tblLayout w:type="fixed"/>
        <w:tblLook w:val="04A0" w:firstRow="1" w:lastRow="0" w:firstColumn="1" w:lastColumn="0" w:noHBand="0" w:noVBand="1"/>
        <w:tblCaption w:val="PSC_Key_RelationshipsTable"/>
        <w:tblDescription w:val="PSC_Key_RelationshipsTable"/>
      </w:tblPr>
      <w:tblGrid>
        <w:gridCol w:w="3601"/>
        <w:gridCol w:w="7256"/>
      </w:tblGrid>
      <w:tr w:rsidR="003927AE" w:rsidRPr="00B438C3" w14:paraId="006DE41E" w14:textId="77777777" w:rsidTr="00E55704">
        <w:trPr>
          <w:cnfStyle w:val="100000000000" w:firstRow="1" w:lastRow="0" w:firstColumn="0" w:lastColumn="0" w:oddVBand="0" w:evenVBand="0" w:oddHBand="0" w:evenHBand="0" w:firstRowFirstColumn="0" w:firstRowLastColumn="0" w:lastRowFirstColumn="0" w:lastRowLastColumn="0"/>
          <w:tblHeader/>
        </w:trPr>
        <w:tc>
          <w:tcPr>
            <w:tcW w:w="3601" w:type="dxa"/>
          </w:tcPr>
          <w:p w14:paraId="2384711F" w14:textId="77777777" w:rsidR="003927AE" w:rsidRPr="00B438C3" w:rsidRDefault="003927AE" w:rsidP="00A72C86">
            <w:pPr>
              <w:pStyle w:val="TableTextWhite0"/>
              <w:rPr>
                <w:rFonts w:cs="Arial"/>
              </w:rPr>
            </w:pPr>
            <w:r w:rsidRPr="00B438C3">
              <w:rPr>
                <w:rFonts w:cs="Arial"/>
              </w:rPr>
              <w:t>Who</w:t>
            </w:r>
          </w:p>
        </w:tc>
        <w:tc>
          <w:tcPr>
            <w:tcW w:w="7256" w:type="dxa"/>
          </w:tcPr>
          <w:p w14:paraId="2AF47D0B" w14:textId="77777777" w:rsidR="003927AE" w:rsidRPr="00B438C3" w:rsidRDefault="003927AE" w:rsidP="00A72C86">
            <w:pPr>
              <w:pStyle w:val="TableTextWhite0"/>
              <w:rPr>
                <w:rFonts w:cs="Arial"/>
              </w:rPr>
            </w:pPr>
            <w:r w:rsidRPr="00B438C3">
              <w:rPr>
                <w:rFonts w:cs="Arial"/>
              </w:rPr>
              <w:t xml:space="preserve"> Why</w:t>
            </w:r>
          </w:p>
        </w:tc>
      </w:tr>
      <w:tr w:rsidR="003927AE" w:rsidRPr="00B438C3" w14:paraId="56D44682" w14:textId="77777777" w:rsidTr="00E55704">
        <w:tc>
          <w:tcPr>
            <w:tcW w:w="3601" w:type="dxa"/>
            <w:shd w:val="clear" w:color="auto" w:fill="BCBEC0"/>
          </w:tcPr>
          <w:p w14:paraId="12D51391" w14:textId="77777777" w:rsidR="003927AE" w:rsidRPr="00B438C3" w:rsidRDefault="003927AE" w:rsidP="00A72C86">
            <w:pPr>
              <w:pStyle w:val="TableText"/>
              <w:keepNext/>
              <w:rPr>
                <w:rFonts w:cs="Arial"/>
                <w:b/>
              </w:rPr>
            </w:pPr>
            <w:r w:rsidRPr="00B438C3">
              <w:rPr>
                <w:rFonts w:cs="Arial"/>
                <w:b/>
              </w:rPr>
              <w:t>Ministerial</w:t>
            </w:r>
          </w:p>
        </w:tc>
        <w:tc>
          <w:tcPr>
            <w:tcW w:w="7256" w:type="dxa"/>
            <w:shd w:val="clear" w:color="auto" w:fill="BCBEC0"/>
          </w:tcPr>
          <w:p w14:paraId="135C4BCA" w14:textId="77777777" w:rsidR="003927AE" w:rsidRPr="00B438C3" w:rsidRDefault="003927AE" w:rsidP="00A72C86">
            <w:pPr>
              <w:pStyle w:val="TableText"/>
              <w:keepNext/>
              <w:rPr>
                <w:rFonts w:cs="Arial"/>
                <w:b/>
              </w:rPr>
            </w:pPr>
          </w:p>
        </w:tc>
      </w:tr>
      <w:tr w:rsidR="003927AE" w:rsidRPr="00B438C3" w14:paraId="7310029A" w14:textId="77777777" w:rsidTr="00E55704">
        <w:tc>
          <w:tcPr>
            <w:tcW w:w="3601" w:type="dxa"/>
            <w:tcBorders>
              <w:top w:val="single" w:sz="8" w:space="0" w:color="auto"/>
              <w:bottom w:val="single" w:sz="8" w:space="0" w:color="BCBEC0"/>
            </w:tcBorders>
          </w:tcPr>
          <w:p w14:paraId="28A1BB50" w14:textId="77777777" w:rsidR="003927AE" w:rsidRPr="00B438C3" w:rsidRDefault="003927AE" w:rsidP="00A72C86">
            <w:pPr>
              <w:pStyle w:val="TableText"/>
              <w:rPr>
                <w:rFonts w:cs="Arial"/>
              </w:rPr>
            </w:pPr>
            <w:r w:rsidRPr="00B438C3">
              <w:rPr>
                <w:rFonts w:cs="Arial"/>
              </w:rPr>
              <w:t>Minister's Office</w:t>
            </w:r>
          </w:p>
        </w:tc>
        <w:tc>
          <w:tcPr>
            <w:tcW w:w="7256" w:type="dxa"/>
            <w:tcBorders>
              <w:top w:val="single" w:sz="8" w:space="0" w:color="auto"/>
              <w:bottom w:val="single" w:sz="8" w:space="0" w:color="BCBEC0"/>
            </w:tcBorders>
          </w:tcPr>
          <w:p w14:paraId="5F9BB232" w14:textId="0AFC566B" w:rsidR="003927AE" w:rsidRPr="00B438C3" w:rsidRDefault="00E0238F" w:rsidP="003927AE">
            <w:pPr>
              <w:pStyle w:val="TableText"/>
              <w:numPr>
                <w:ilvl w:val="0"/>
                <w:numId w:val="3"/>
              </w:numPr>
              <w:rPr>
                <w:rFonts w:cs="Arial"/>
              </w:rPr>
            </w:pPr>
            <w:r>
              <w:rPr>
                <w:rFonts w:cs="Arial"/>
              </w:rPr>
              <w:t xml:space="preserve">Through the Chief Executive, advocate and communicate the Museum’s value and priorities, coordinate information and appropriate responses.  </w:t>
            </w:r>
          </w:p>
        </w:tc>
      </w:tr>
      <w:tr w:rsidR="003927AE" w:rsidRPr="00B438C3" w14:paraId="64494EFB" w14:textId="77777777" w:rsidTr="00E55704">
        <w:tc>
          <w:tcPr>
            <w:tcW w:w="3601" w:type="dxa"/>
            <w:shd w:val="clear" w:color="auto" w:fill="BCBEC0"/>
          </w:tcPr>
          <w:p w14:paraId="4840B100" w14:textId="77777777" w:rsidR="003927AE" w:rsidRPr="00B438C3" w:rsidRDefault="003927AE" w:rsidP="00A72C86">
            <w:pPr>
              <w:pStyle w:val="TableText"/>
              <w:keepNext/>
              <w:rPr>
                <w:rFonts w:cs="Arial"/>
                <w:b/>
              </w:rPr>
            </w:pPr>
            <w:r w:rsidRPr="00B438C3">
              <w:rPr>
                <w:rFonts w:cs="Arial"/>
                <w:b/>
              </w:rPr>
              <w:t>Internal</w:t>
            </w:r>
          </w:p>
        </w:tc>
        <w:tc>
          <w:tcPr>
            <w:tcW w:w="7256" w:type="dxa"/>
            <w:shd w:val="clear" w:color="auto" w:fill="BCBEC0"/>
          </w:tcPr>
          <w:p w14:paraId="74D32BEE" w14:textId="77777777" w:rsidR="003927AE" w:rsidRPr="00B438C3" w:rsidRDefault="003927AE" w:rsidP="00A72C86">
            <w:pPr>
              <w:pStyle w:val="TableText"/>
              <w:keepNext/>
              <w:rPr>
                <w:rFonts w:cs="Arial"/>
                <w:b/>
              </w:rPr>
            </w:pPr>
          </w:p>
        </w:tc>
      </w:tr>
      <w:tr w:rsidR="003927AE" w:rsidRPr="00B438C3" w14:paraId="02FD8E41" w14:textId="77777777" w:rsidTr="00E55704">
        <w:tc>
          <w:tcPr>
            <w:tcW w:w="3601" w:type="dxa"/>
            <w:tcBorders>
              <w:top w:val="single" w:sz="8" w:space="0" w:color="auto"/>
              <w:bottom w:val="single" w:sz="8" w:space="0" w:color="BCBEC0"/>
            </w:tcBorders>
          </w:tcPr>
          <w:p w14:paraId="6B67E765" w14:textId="77777777" w:rsidR="003927AE" w:rsidRPr="00B438C3" w:rsidRDefault="003927AE" w:rsidP="00A72C86">
            <w:pPr>
              <w:pStyle w:val="TableText"/>
              <w:rPr>
                <w:rFonts w:cs="Arial"/>
              </w:rPr>
            </w:pPr>
            <w:r w:rsidRPr="00B438C3">
              <w:rPr>
                <w:rFonts w:cs="Arial"/>
              </w:rPr>
              <w:t>Chief Executive</w:t>
            </w:r>
          </w:p>
        </w:tc>
        <w:tc>
          <w:tcPr>
            <w:tcW w:w="7256" w:type="dxa"/>
            <w:tcBorders>
              <w:top w:val="single" w:sz="8" w:space="0" w:color="auto"/>
              <w:bottom w:val="single" w:sz="8" w:space="0" w:color="BCBEC0"/>
            </w:tcBorders>
          </w:tcPr>
          <w:p w14:paraId="0C250355" w14:textId="470C7072" w:rsidR="003927AE" w:rsidRPr="00B438C3" w:rsidRDefault="00E11AE4" w:rsidP="003927AE">
            <w:pPr>
              <w:pStyle w:val="TableText"/>
              <w:numPr>
                <w:ilvl w:val="0"/>
                <w:numId w:val="3"/>
              </w:numPr>
              <w:rPr>
                <w:rFonts w:cs="Arial"/>
              </w:rPr>
            </w:pPr>
            <w:r>
              <w:rPr>
                <w:rFonts w:cs="Arial"/>
              </w:rPr>
              <w:t xml:space="preserve">Provide expert advice, directions and solutions. </w:t>
            </w:r>
          </w:p>
        </w:tc>
      </w:tr>
      <w:tr w:rsidR="003927AE" w:rsidRPr="00B438C3" w14:paraId="7A4DE208" w14:textId="77777777" w:rsidTr="00E55704">
        <w:tc>
          <w:tcPr>
            <w:tcW w:w="3601" w:type="dxa"/>
            <w:tcBorders>
              <w:top w:val="single" w:sz="8" w:space="0" w:color="auto"/>
              <w:bottom w:val="single" w:sz="8" w:space="0" w:color="BCBEC0"/>
            </w:tcBorders>
          </w:tcPr>
          <w:p w14:paraId="5446F3D5" w14:textId="77777777" w:rsidR="003927AE" w:rsidRPr="00B438C3" w:rsidRDefault="003927AE" w:rsidP="00A72C86">
            <w:pPr>
              <w:pStyle w:val="TableText"/>
              <w:rPr>
                <w:rFonts w:cs="Arial"/>
              </w:rPr>
            </w:pPr>
            <w:r w:rsidRPr="00B438C3">
              <w:rPr>
                <w:rFonts w:cs="Arial"/>
              </w:rPr>
              <w:lastRenderedPageBreak/>
              <w:t>Executive  Team</w:t>
            </w:r>
          </w:p>
        </w:tc>
        <w:tc>
          <w:tcPr>
            <w:tcW w:w="7256" w:type="dxa"/>
            <w:tcBorders>
              <w:top w:val="single" w:sz="8" w:space="0" w:color="auto"/>
              <w:bottom w:val="single" w:sz="8" w:space="0" w:color="BCBEC0"/>
            </w:tcBorders>
          </w:tcPr>
          <w:p w14:paraId="41051044" w14:textId="29CA7593" w:rsidR="003927AE" w:rsidRPr="00B438C3" w:rsidRDefault="00E0238F" w:rsidP="003927AE">
            <w:pPr>
              <w:pStyle w:val="TableText"/>
              <w:numPr>
                <w:ilvl w:val="0"/>
                <w:numId w:val="3"/>
              </w:numPr>
              <w:rPr>
                <w:rFonts w:cs="Arial"/>
              </w:rPr>
            </w:pPr>
            <w:r>
              <w:rPr>
                <w:rFonts w:cs="Arial"/>
              </w:rPr>
              <w:t xml:space="preserve">Deliver high performance through workplace culture to position the Museum as an employer of choice. </w:t>
            </w:r>
          </w:p>
        </w:tc>
      </w:tr>
      <w:tr w:rsidR="003927AE" w:rsidRPr="00B438C3" w14:paraId="7AD52C54" w14:textId="77777777" w:rsidTr="00E55704">
        <w:tc>
          <w:tcPr>
            <w:tcW w:w="3601" w:type="dxa"/>
            <w:tcBorders>
              <w:top w:val="single" w:sz="8" w:space="0" w:color="auto"/>
              <w:bottom w:val="single" w:sz="8" w:space="0" w:color="BCBEC0"/>
            </w:tcBorders>
          </w:tcPr>
          <w:p w14:paraId="18E54B3D" w14:textId="77777777" w:rsidR="003927AE" w:rsidRPr="00B438C3" w:rsidRDefault="003927AE" w:rsidP="00A72C86">
            <w:pPr>
              <w:pStyle w:val="TableText"/>
              <w:rPr>
                <w:rFonts w:cs="Arial"/>
              </w:rPr>
            </w:pPr>
            <w:r w:rsidRPr="00B438C3">
              <w:rPr>
                <w:rFonts w:cs="Arial"/>
              </w:rPr>
              <w:t>Powerhouse Trust and Trust committees</w:t>
            </w:r>
          </w:p>
        </w:tc>
        <w:tc>
          <w:tcPr>
            <w:tcW w:w="7256" w:type="dxa"/>
            <w:tcBorders>
              <w:top w:val="single" w:sz="8" w:space="0" w:color="auto"/>
              <w:bottom w:val="single" w:sz="8" w:space="0" w:color="BCBEC0"/>
            </w:tcBorders>
          </w:tcPr>
          <w:p w14:paraId="2F84203A" w14:textId="749AEECE" w:rsidR="003927AE" w:rsidRPr="00B438C3" w:rsidRDefault="00E0238F" w:rsidP="003927AE">
            <w:pPr>
              <w:pStyle w:val="TableText"/>
              <w:numPr>
                <w:ilvl w:val="0"/>
                <w:numId w:val="3"/>
              </w:numPr>
              <w:rPr>
                <w:rFonts w:cs="Arial"/>
              </w:rPr>
            </w:pPr>
            <w:r>
              <w:rPr>
                <w:rFonts w:cs="Arial"/>
              </w:rPr>
              <w:t xml:space="preserve">Through the Chief Executive, provide leadership and advice. </w:t>
            </w:r>
          </w:p>
        </w:tc>
      </w:tr>
      <w:tr w:rsidR="003927AE" w:rsidRPr="00B438C3" w14:paraId="4E94EDE0" w14:textId="77777777" w:rsidTr="00E55704">
        <w:tc>
          <w:tcPr>
            <w:tcW w:w="3601" w:type="dxa"/>
            <w:tcBorders>
              <w:top w:val="single" w:sz="8" w:space="0" w:color="auto"/>
              <w:bottom w:val="single" w:sz="8" w:space="0" w:color="BCBEC0"/>
            </w:tcBorders>
          </w:tcPr>
          <w:p w14:paraId="5F129BDC" w14:textId="77777777" w:rsidR="003927AE" w:rsidRPr="00B438C3" w:rsidRDefault="003927AE" w:rsidP="00A72C86">
            <w:pPr>
              <w:pStyle w:val="TableText"/>
              <w:rPr>
                <w:rFonts w:cs="Arial"/>
              </w:rPr>
            </w:pPr>
            <w:r w:rsidRPr="00B438C3">
              <w:rPr>
                <w:rFonts w:cs="Arial"/>
              </w:rPr>
              <w:t>Heads of Department and Senior Leadership</w:t>
            </w:r>
          </w:p>
        </w:tc>
        <w:tc>
          <w:tcPr>
            <w:tcW w:w="7256" w:type="dxa"/>
            <w:tcBorders>
              <w:top w:val="single" w:sz="8" w:space="0" w:color="auto"/>
              <w:bottom w:val="single" w:sz="8" w:space="0" w:color="BCBEC0"/>
            </w:tcBorders>
          </w:tcPr>
          <w:p w14:paraId="67F21ED0" w14:textId="527D8ED9" w:rsidR="003927AE" w:rsidRPr="00B438C3" w:rsidRDefault="00E0238F" w:rsidP="003927AE">
            <w:pPr>
              <w:pStyle w:val="TableText"/>
              <w:numPr>
                <w:ilvl w:val="0"/>
                <w:numId w:val="3"/>
              </w:numPr>
              <w:rPr>
                <w:rFonts w:cs="Arial"/>
              </w:rPr>
            </w:pPr>
            <w:r>
              <w:rPr>
                <w:rFonts w:cs="Arial"/>
              </w:rPr>
              <w:t xml:space="preserve">Enable high performing and innovative teams </w:t>
            </w:r>
          </w:p>
        </w:tc>
      </w:tr>
      <w:tr w:rsidR="003927AE" w:rsidRPr="00B438C3" w14:paraId="7DB9A34D" w14:textId="77777777" w:rsidTr="00E55704">
        <w:tc>
          <w:tcPr>
            <w:tcW w:w="3601" w:type="dxa"/>
            <w:shd w:val="clear" w:color="auto" w:fill="BCBEC0"/>
          </w:tcPr>
          <w:p w14:paraId="42767BD2" w14:textId="77777777" w:rsidR="003927AE" w:rsidRPr="00B438C3" w:rsidRDefault="003927AE" w:rsidP="00A72C86">
            <w:pPr>
              <w:pStyle w:val="TableText"/>
              <w:keepNext/>
              <w:rPr>
                <w:rFonts w:cs="Arial"/>
                <w:b/>
              </w:rPr>
            </w:pPr>
            <w:r w:rsidRPr="00B438C3">
              <w:rPr>
                <w:rFonts w:cs="Arial"/>
                <w:b/>
              </w:rPr>
              <w:t>External</w:t>
            </w:r>
          </w:p>
        </w:tc>
        <w:tc>
          <w:tcPr>
            <w:tcW w:w="7256" w:type="dxa"/>
            <w:shd w:val="clear" w:color="auto" w:fill="BCBEC0"/>
          </w:tcPr>
          <w:p w14:paraId="56791223" w14:textId="77777777" w:rsidR="003927AE" w:rsidRPr="00B438C3" w:rsidRDefault="003927AE" w:rsidP="00A72C86">
            <w:pPr>
              <w:pStyle w:val="TableText"/>
              <w:keepNext/>
              <w:rPr>
                <w:rFonts w:cs="Arial"/>
                <w:b/>
              </w:rPr>
            </w:pPr>
          </w:p>
        </w:tc>
      </w:tr>
      <w:tr w:rsidR="003927AE" w:rsidRPr="00B438C3" w14:paraId="15D17A67" w14:textId="77777777" w:rsidTr="00E55704">
        <w:tc>
          <w:tcPr>
            <w:tcW w:w="3601" w:type="dxa"/>
            <w:tcBorders>
              <w:top w:val="single" w:sz="8" w:space="0" w:color="auto"/>
              <w:bottom w:val="single" w:sz="8" w:space="0" w:color="BCBEC0"/>
            </w:tcBorders>
          </w:tcPr>
          <w:p w14:paraId="55BAB1F7" w14:textId="663890E1" w:rsidR="003927AE" w:rsidRPr="00B438C3" w:rsidRDefault="003927AE" w:rsidP="00A72C86">
            <w:pPr>
              <w:pStyle w:val="TableText"/>
              <w:rPr>
                <w:rFonts w:cs="Arial"/>
              </w:rPr>
            </w:pPr>
            <w:r w:rsidRPr="00B438C3">
              <w:rPr>
                <w:rFonts w:cs="Arial"/>
              </w:rPr>
              <w:t>Department of Premier and Cabinet</w:t>
            </w:r>
            <w:r w:rsidR="00A90A27">
              <w:rPr>
                <w:rFonts w:cs="Arial"/>
              </w:rPr>
              <w:t xml:space="preserve">, Create NSW and NSW Treasury </w:t>
            </w:r>
          </w:p>
        </w:tc>
        <w:tc>
          <w:tcPr>
            <w:tcW w:w="7256" w:type="dxa"/>
            <w:tcBorders>
              <w:top w:val="single" w:sz="8" w:space="0" w:color="auto"/>
              <w:bottom w:val="single" w:sz="8" w:space="0" w:color="BCBEC0"/>
            </w:tcBorders>
          </w:tcPr>
          <w:p w14:paraId="764A2745" w14:textId="4204E555" w:rsidR="003927AE" w:rsidRPr="00B438C3" w:rsidRDefault="00A90A27" w:rsidP="003927AE">
            <w:pPr>
              <w:pStyle w:val="TableText"/>
              <w:numPr>
                <w:ilvl w:val="0"/>
                <w:numId w:val="3"/>
              </w:numPr>
              <w:rPr>
                <w:rFonts w:cs="Arial"/>
              </w:rPr>
            </w:pPr>
            <w:r>
              <w:rPr>
                <w:rFonts w:cs="Arial"/>
              </w:rPr>
              <w:t xml:space="preserve">With the Chief Executive, advocate for the Museum’s priorities, coordinate information and appropriate responses. </w:t>
            </w:r>
          </w:p>
        </w:tc>
      </w:tr>
      <w:tr w:rsidR="00A90A27" w:rsidRPr="00B438C3" w14:paraId="6A714B3D" w14:textId="77777777" w:rsidTr="00E0238F">
        <w:tc>
          <w:tcPr>
            <w:tcW w:w="3601" w:type="dxa"/>
            <w:tcBorders>
              <w:top w:val="single" w:sz="8" w:space="0" w:color="auto"/>
              <w:bottom w:val="single" w:sz="8" w:space="0" w:color="auto"/>
            </w:tcBorders>
          </w:tcPr>
          <w:p w14:paraId="19D92E8C" w14:textId="6BDFB672" w:rsidR="00A90A27" w:rsidRPr="00B438C3" w:rsidRDefault="00A90A27" w:rsidP="00A72C86">
            <w:pPr>
              <w:pStyle w:val="TableText"/>
              <w:rPr>
                <w:rFonts w:cs="Arial"/>
              </w:rPr>
            </w:pPr>
            <w:r>
              <w:rPr>
                <w:rFonts w:cs="Arial"/>
              </w:rPr>
              <w:t xml:space="preserve">NSW Audit Office and internal auditors </w:t>
            </w:r>
          </w:p>
        </w:tc>
        <w:tc>
          <w:tcPr>
            <w:tcW w:w="7256" w:type="dxa"/>
            <w:tcBorders>
              <w:top w:val="single" w:sz="8" w:space="0" w:color="auto"/>
              <w:bottom w:val="single" w:sz="8" w:space="0" w:color="auto"/>
            </w:tcBorders>
          </w:tcPr>
          <w:p w14:paraId="3BDB62FD" w14:textId="556EB301" w:rsidR="00A90A27" w:rsidRPr="00B438C3" w:rsidRDefault="00E0238F" w:rsidP="003927AE">
            <w:pPr>
              <w:pStyle w:val="TableText"/>
              <w:numPr>
                <w:ilvl w:val="0"/>
                <w:numId w:val="3"/>
              </w:numPr>
              <w:rPr>
                <w:rFonts w:cs="Arial"/>
              </w:rPr>
            </w:pPr>
            <w:r>
              <w:rPr>
                <w:rFonts w:cs="Arial"/>
              </w:rPr>
              <w:t xml:space="preserve">Advise the Museum’s priorities, coordinate information and develop appropriate responses. </w:t>
            </w:r>
          </w:p>
        </w:tc>
      </w:tr>
      <w:tr w:rsidR="00E0238F" w:rsidRPr="00B438C3" w14:paraId="7037F1B7" w14:textId="77777777" w:rsidTr="00E55704">
        <w:tc>
          <w:tcPr>
            <w:tcW w:w="3601" w:type="dxa"/>
            <w:tcBorders>
              <w:top w:val="single" w:sz="8" w:space="0" w:color="auto"/>
              <w:bottom w:val="single" w:sz="8" w:space="0" w:color="BCBEC0"/>
            </w:tcBorders>
          </w:tcPr>
          <w:p w14:paraId="451B014A" w14:textId="1F3F479B" w:rsidR="00E0238F" w:rsidRDefault="00E0238F" w:rsidP="00A72C86">
            <w:pPr>
              <w:pStyle w:val="TableText"/>
              <w:rPr>
                <w:rFonts w:cs="Arial"/>
              </w:rPr>
            </w:pPr>
            <w:r>
              <w:rPr>
                <w:rFonts w:cs="Arial"/>
              </w:rPr>
              <w:t>External contractors, vendors and partners</w:t>
            </w:r>
          </w:p>
        </w:tc>
        <w:tc>
          <w:tcPr>
            <w:tcW w:w="7256" w:type="dxa"/>
            <w:tcBorders>
              <w:top w:val="single" w:sz="8" w:space="0" w:color="auto"/>
              <w:bottom w:val="single" w:sz="8" w:space="0" w:color="BCBEC0"/>
            </w:tcBorders>
          </w:tcPr>
          <w:p w14:paraId="380D45B5" w14:textId="42824CAD" w:rsidR="00E0238F" w:rsidRDefault="00E0238F" w:rsidP="003927AE">
            <w:pPr>
              <w:pStyle w:val="TableText"/>
              <w:numPr>
                <w:ilvl w:val="0"/>
                <w:numId w:val="3"/>
              </w:numPr>
              <w:rPr>
                <w:rFonts w:cs="Arial"/>
              </w:rPr>
            </w:pPr>
            <w:r>
              <w:rPr>
                <w:rFonts w:cs="Arial"/>
              </w:rPr>
              <w:t xml:space="preserve">To negotiate and deliver proposals and contracts to deliver the Museum’s priorities </w:t>
            </w:r>
          </w:p>
        </w:tc>
      </w:tr>
    </w:tbl>
    <w:p w14:paraId="19345492" w14:textId="77777777" w:rsidR="002B3C53" w:rsidRDefault="002B3C53" w:rsidP="002B3C53">
      <w:pPr>
        <w:pStyle w:val="Heading1"/>
        <w:spacing w:after="0"/>
      </w:pPr>
    </w:p>
    <w:p w14:paraId="57355851" w14:textId="2D1BA922" w:rsidR="003927AE" w:rsidRPr="00B438C3" w:rsidRDefault="003927AE" w:rsidP="002B3C53">
      <w:pPr>
        <w:pStyle w:val="Heading1"/>
        <w:spacing w:after="0"/>
        <w:rPr>
          <w:sz w:val="28"/>
        </w:rPr>
      </w:pPr>
      <w:r w:rsidRPr="00B438C3">
        <w:t>Role dimensions</w:t>
      </w:r>
    </w:p>
    <w:p w14:paraId="51499B45" w14:textId="77777777" w:rsidR="002B3C53" w:rsidRDefault="002B3C53" w:rsidP="002B3C53">
      <w:pPr>
        <w:pStyle w:val="Heading2"/>
        <w:spacing w:after="0"/>
      </w:pPr>
    </w:p>
    <w:p w14:paraId="3489F078" w14:textId="1A0F1FF4" w:rsidR="003927AE" w:rsidRPr="00B438C3" w:rsidRDefault="003927AE" w:rsidP="002B3C53">
      <w:pPr>
        <w:pStyle w:val="Heading2"/>
        <w:spacing w:after="0"/>
      </w:pPr>
      <w:r w:rsidRPr="00B438C3">
        <w:t>Decision making</w:t>
      </w:r>
    </w:p>
    <w:p w14:paraId="2ADB0BA7" w14:textId="2114D42C" w:rsidR="003927AE" w:rsidRPr="00B438C3" w:rsidRDefault="003927AE" w:rsidP="002B3C53">
      <w:pPr>
        <w:spacing w:after="0"/>
        <w:rPr>
          <w:rFonts w:cs="Arial"/>
          <w:szCs w:val="26"/>
        </w:rPr>
      </w:pPr>
      <w:r w:rsidRPr="00B438C3">
        <w:rPr>
          <w:rFonts w:cs="Arial"/>
        </w:rPr>
        <w:t xml:space="preserve">Strategic direction including all major decisions relating to </w:t>
      </w:r>
      <w:r w:rsidR="00E0238F">
        <w:rPr>
          <w:rFonts w:cs="Arial"/>
        </w:rPr>
        <w:t xml:space="preserve">Museum operations. </w:t>
      </w:r>
    </w:p>
    <w:p w14:paraId="36B00E05" w14:textId="77777777" w:rsidR="002B3C53" w:rsidRDefault="002B3C53" w:rsidP="002B3C53">
      <w:pPr>
        <w:pStyle w:val="Heading2"/>
        <w:spacing w:after="0"/>
      </w:pPr>
    </w:p>
    <w:p w14:paraId="305ADA43" w14:textId="0FD698C9" w:rsidR="003927AE" w:rsidRPr="00B438C3" w:rsidRDefault="003927AE" w:rsidP="002B3C53">
      <w:pPr>
        <w:pStyle w:val="Heading2"/>
        <w:spacing w:after="0"/>
      </w:pPr>
      <w:r w:rsidRPr="00B438C3">
        <w:t>Reporting line</w:t>
      </w:r>
    </w:p>
    <w:p w14:paraId="287418F4" w14:textId="77777777" w:rsidR="003927AE" w:rsidRPr="00B438C3" w:rsidRDefault="003927AE" w:rsidP="002B3C53">
      <w:pPr>
        <w:spacing w:after="0"/>
        <w:rPr>
          <w:rFonts w:cs="Arial"/>
          <w:szCs w:val="26"/>
        </w:rPr>
      </w:pPr>
      <w:r w:rsidRPr="00B438C3">
        <w:rPr>
          <w:rFonts w:cs="Arial"/>
        </w:rPr>
        <w:t>Chief Executive</w:t>
      </w:r>
    </w:p>
    <w:p w14:paraId="4C7AFE73" w14:textId="77777777" w:rsidR="002B3C53" w:rsidRDefault="002B3C53" w:rsidP="002B3C53">
      <w:pPr>
        <w:pStyle w:val="Heading2"/>
        <w:spacing w:after="0"/>
      </w:pPr>
    </w:p>
    <w:p w14:paraId="08EE0F9A" w14:textId="1B1695BC" w:rsidR="003927AE" w:rsidRPr="00B438C3" w:rsidRDefault="003927AE" w:rsidP="002B3C53">
      <w:pPr>
        <w:pStyle w:val="Heading2"/>
        <w:spacing w:after="0"/>
      </w:pPr>
      <w:r w:rsidRPr="00B438C3">
        <w:t>Direct reports</w:t>
      </w:r>
    </w:p>
    <w:p w14:paraId="7704F18A" w14:textId="77777777" w:rsidR="002B3C53" w:rsidRDefault="003927AE" w:rsidP="002B3C53">
      <w:pPr>
        <w:pStyle w:val="ListParagraph"/>
        <w:numPr>
          <w:ilvl w:val="0"/>
          <w:numId w:val="11"/>
        </w:numPr>
        <w:tabs>
          <w:tab w:val="left" w:pos="567"/>
        </w:tabs>
        <w:spacing w:after="0"/>
        <w:ind w:left="0" w:hanging="11"/>
        <w:rPr>
          <w:rFonts w:cs="Arial"/>
          <w:szCs w:val="26"/>
        </w:rPr>
      </w:pPr>
      <w:r w:rsidRPr="002B3C53">
        <w:rPr>
          <w:rFonts w:cs="Arial"/>
          <w:szCs w:val="26"/>
        </w:rPr>
        <w:t>Head of Human Resources</w:t>
      </w:r>
    </w:p>
    <w:p w14:paraId="1367844B" w14:textId="77777777" w:rsidR="002B3C53" w:rsidRDefault="003927AE" w:rsidP="002B3C53">
      <w:pPr>
        <w:pStyle w:val="ListParagraph"/>
        <w:numPr>
          <w:ilvl w:val="0"/>
          <w:numId w:val="11"/>
        </w:numPr>
        <w:tabs>
          <w:tab w:val="left" w:pos="567"/>
        </w:tabs>
        <w:spacing w:after="0"/>
        <w:ind w:left="0" w:hanging="11"/>
        <w:rPr>
          <w:rFonts w:cs="Arial"/>
          <w:szCs w:val="26"/>
        </w:rPr>
      </w:pPr>
      <w:r w:rsidRPr="002B3C53">
        <w:rPr>
          <w:rFonts w:cs="Arial"/>
          <w:szCs w:val="26"/>
        </w:rPr>
        <w:t>Head of Finance</w:t>
      </w:r>
    </w:p>
    <w:p w14:paraId="4648088A" w14:textId="77777777" w:rsidR="002B3C53" w:rsidRDefault="003927AE" w:rsidP="002B3C53">
      <w:pPr>
        <w:pStyle w:val="ListParagraph"/>
        <w:numPr>
          <w:ilvl w:val="0"/>
          <w:numId w:val="11"/>
        </w:numPr>
        <w:tabs>
          <w:tab w:val="left" w:pos="567"/>
        </w:tabs>
        <w:spacing w:after="0"/>
        <w:ind w:left="0" w:hanging="11"/>
        <w:rPr>
          <w:rFonts w:cs="Arial"/>
          <w:szCs w:val="26"/>
        </w:rPr>
      </w:pPr>
      <w:r w:rsidRPr="002B3C53">
        <w:rPr>
          <w:rFonts w:cs="Arial"/>
          <w:szCs w:val="26"/>
        </w:rPr>
        <w:t>Head of Facilities, Asset Management and Operational Services</w:t>
      </w:r>
    </w:p>
    <w:p w14:paraId="464FFE5E" w14:textId="77777777" w:rsidR="002B3C53" w:rsidRDefault="003927AE" w:rsidP="002B3C53">
      <w:pPr>
        <w:pStyle w:val="ListParagraph"/>
        <w:numPr>
          <w:ilvl w:val="0"/>
          <w:numId w:val="11"/>
        </w:numPr>
        <w:tabs>
          <w:tab w:val="left" w:pos="567"/>
        </w:tabs>
        <w:spacing w:after="0"/>
        <w:ind w:left="0" w:hanging="11"/>
        <w:rPr>
          <w:rFonts w:cs="Arial"/>
          <w:szCs w:val="26"/>
        </w:rPr>
      </w:pPr>
      <w:r w:rsidRPr="002B3C53">
        <w:rPr>
          <w:rFonts w:cs="Arial"/>
          <w:szCs w:val="26"/>
        </w:rPr>
        <w:t>Head of Commercial</w:t>
      </w:r>
    </w:p>
    <w:p w14:paraId="6B0E9F88" w14:textId="46EE7D76" w:rsidR="00E0238F" w:rsidRPr="002B3C53" w:rsidRDefault="00E0238F" w:rsidP="002B3C53">
      <w:pPr>
        <w:pStyle w:val="ListParagraph"/>
        <w:numPr>
          <w:ilvl w:val="0"/>
          <w:numId w:val="11"/>
        </w:numPr>
        <w:tabs>
          <w:tab w:val="left" w:pos="567"/>
        </w:tabs>
        <w:spacing w:after="0"/>
        <w:ind w:left="0" w:hanging="11"/>
        <w:rPr>
          <w:rFonts w:cs="Arial"/>
          <w:szCs w:val="26"/>
        </w:rPr>
      </w:pPr>
      <w:r w:rsidRPr="002B3C53">
        <w:rPr>
          <w:rFonts w:cs="Arial"/>
          <w:szCs w:val="26"/>
        </w:rPr>
        <w:t xml:space="preserve">Head of Legal </w:t>
      </w:r>
    </w:p>
    <w:p w14:paraId="0C224E68" w14:textId="77777777" w:rsidR="002B3C53" w:rsidRPr="002B3C53" w:rsidRDefault="003927AE" w:rsidP="002B3C53">
      <w:pPr>
        <w:pStyle w:val="ListParagraph"/>
        <w:numPr>
          <w:ilvl w:val="0"/>
          <w:numId w:val="11"/>
        </w:numPr>
        <w:tabs>
          <w:tab w:val="left" w:pos="567"/>
        </w:tabs>
        <w:spacing w:after="0"/>
        <w:ind w:left="0" w:hanging="11"/>
        <w:rPr>
          <w:rFonts w:cs="Arial"/>
        </w:rPr>
      </w:pPr>
      <w:r w:rsidRPr="002B3C53">
        <w:rPr>
          <w:rFonts w:cs="Arial"/>
          <w:szCs w:val="26"/>
        </w:rPr>
        <w:t>ICT Manager</w:t>
      </w:r>
    </w:p>
    <w:p w14:paraId="3D127848" w14:textId="77777777" w:rsidR="002B3C53" w:rsidRPr="002B3C53" w:rsidRDefault="003927AE" w:rsidP="002B3C53">
      <w:pPr>
        <w:pStyle w:val="ListParagraph"/>
        <w:numPr>
          <w:ilvl w:val="0"/>
          <w:numId w:val="11"/>
        </w:numPr>
        <w:tabs>
          <w:tab w:val="left" w:pos="567"/>
          <w:tab w:val="left" w:pos="2925"/>
        </w:tabs>
        <w:spacing w:after="0"/>
        <w:ind w:left="0" w:hanging="11"/>
        <w:rPr>
          <w:rFonts w:eastAsiaTheme="minorHAnsi" w:cs="Arial"/>
          <w:b/>
          <w:bCs/>
          <w:kern w:val="32"/>
          <w:sz w:val="26"/>
          <w:szCs w:val="32"/>
          <w:lang w:val="en-AU"/>
        </w:rPr>
      </w:pPr>
      <w:r w:rsidRPr="002B3C53">
        <w:rPr>
          <w:rFonts w:cs="Arial"/>
          <w:szCs w:val="26"/>
        </w:rPr>
        <w:t>Head of Visitor Services and Venues</w:t>
      </w:r>
    </w:p>
    <w:p w14:paraId="4C950F34" w14:textId="6E454075" w:rsidR="003927AE" w:rsidRDefault="003927AE" w:rsidP="002B3C53">
      <w:pPr>
        <w:pStyle w:val="ListParagraph"/>
        <w:tabs>
          <w:tab w:val="left" w:pos="567"/>
          <w:tab w:val="left" w:pos="2925"/>
        </w:tabs>
        <w:spacing w:after="0"/>
        <w:ind w:left="0" w:hanging="11"/>
        <w:rPr>
          <w:rStyle w:val="Heading1Char"/>
        </w:rPr>
      </w:pPr>
      <w:r w:rsidRPr="002B3C53">
        <w:rPr>
          <w:rFonts w:cs="Arial"/>
        </w:rPr>
        <w:br/>
      </w:r>
      <w:r w:rsidRPr="00B438C3">
        <w:rPr>
          <w:rStyle w:val="Heading1Char"/>
        </w:rPr>
        <w:t>Essential requirements</w:t>
      </w:r>
    </w:p>
    <w:p w14:paraId="0D7527C5" w14:textId="7973FC8A" w:rsidR="003927AE" w:rsidRDefault="00E11AE4" w:rsidP="002B3C53">
      <w:pPr>
        <w:pStyle w:val="ListParagraph"/>
        <w:numPr>
          <w:ilvl w:val="0"/>
          <w:numId w:val="11"/>
        </w:numPr>
        <w:tabs>
          <w:tab w:val="left" w:pos="567"/>
        </w:tabs>
        <w:spacing w:after="0"/>
        <w:ind w:left="0" w:hanging="11"/>
        <w:rPr>
          <w:rFonts w:cs="Arial"/>
          <w:szCs w:val="26"/>
        </w:rPr>
      </w:pPr>
      <w:r>
        <w:rPr>
          <w:rFonts w:cs="Arial"/>
          <w:szCs w:val="26"/>
        </w:rPr>
        <w:t xml:space="preserve">Relevant tertiary and industry experience and qualifications. </w:t>
      </w:r>
    </w:p>
    <w:p w14:paraId="05704BEF" w14:textId="26F3C645" w:rsidR="00C04775" w:rsidRDefault="00C04775" w:rsidP="002B3C53">
      <w:pPr>
        <w:pStyle w:val="ListParagraph"/>
        <w:numPr>
          <w:ilvl w:val="0"/>
          <w:numId w:val="11"/>
        </w:numPr>
        <w:tabs>
          <w:tab w:val="left" w:pos="567"/>
        </w:tabs>
        <w:spacing w:after="0"/>
        <w:ind w:left="0" w:hanging="11"/>
        <w:rPr>
          <w:rFonts w:cs="Arial"/>
          <w:szCs w:val="26"/>
        </w:rPr>
      </w:pPr>
      <w:r>
        <w:rPr>
          <w:rFonts w:cs="Arial"/>
          <w:szCs w:val="26"/>
        </w:rPr>
        <w:t xml:space="preserve">More than 10 years </w:t>
      </w:r>
      <w:r w:rsidR="00E11AE4">
        <w:rPr>
          <w:rFonts w:cs="Arial"/>
          <w:szCs w:val="26"/>
        </w:rPr>
        <w:t xml:space="preserve">experience leading </w:t>
      </w:r>
      <w:r>
        <w:rPr>
          <w:rFonts w:cs="Arial"/>
          <w:szCs w:val="26"/>
        </w:rPr>
        <w:t xml:space="preserve">the </w:t>
      </w:r>
      <w:r w:rsidR="00E11AE4">
        <w:rPr>
          <w:rFonts w:cs="Arial"/>
          <w:szCs w:val="26"/>
        </w:rPr>
        <w:t xml:space="preserve">operations </w:t>
      </w:r>
      <w:r>
        <w:rPr>
          <w:rFonts w:cs="Arial"/>
          <w:szCs w:val="26"/>
        </w:rPr>
        <w:t xml:space="preserve">of a major public facing organisation. </w:t>
      </w:r>
    </w:p>
    <w:p w14:paraId="333AB52D" w14:textId="77777777" w:rsidR="002B3C53" w:rsidRDefault="00C04775" w:rsidP="002B3C53">
      <w:pPr>
        <w:pStyle w:val="ListParagraph"/>
        <w:numPr>
          <w:ilvl w:val="0"/>
          <w:numId w:val="11"/>
        </w:numPr>
        <w:tabs>
          <w:tab w:val="left" w:pos="567"/>
        </w:tabs>
        <w:spacing w:after="0"/>
        <w:ind w:left="0" w:hanging="11"/>
        <w:rPr>
          <w:rFonts w:cs="Arial"/>
          <w:szCs w:val="26"/>
        </w:rPr>
      </w:pPr>
      <w:r>
        <w:rPr>
          <w:rFonts w:cs="Arial"/>
          <w:szCs w:val="26"/>
        </w:rPr>
        <w:t>Experience leading workplace culture and transformation.</w:t>
      </w:r>
    </w:p>
    <w:p w14:paraId="71AC32B1" w14:textId="079D2901" w:rsidR="00E11AE4" w:rsidRPr="00C04775" w:rsidRDefault="00C04775" w:rsidP="002B3C53">
      <w:pPr>
        <w:pStyle w:val="ListParagraph"/>
        <w:tabs>
          <w:tab w:val="left" w:pos="567"/>
        </w:tabs>
        <w:spacing w:after="0"/>
        <w:ind w:left="0"/>
        <w:rPr>
          <w:rFonts w:cs="Arial"/>
          <w:szCs w:val="26"/>
        </w:rPr>
      </w:pPr>
      <w:r>
        <w:rPr>
          <w:rFonts w:cs="Arial"/>
          <w:szCs w:val="26"/>
        </w:rPr>
        <w:t xml:space="preserve"> </w:t>
      </w:r>
    </w:p>
    <w:p w14:paraId="628356EE" w14:textId="712B83A4" w:rsidR="003927AE" w:rsidRDefault="003927AE" w:rsidP="002B3C53">
      <w:pPr>
        <w:pStyle w:val="Heading1"/>
        <w:spacing w:after="0"/>
      </w:pPr>
      <w:r w:rsidRPr="00B438C3">
        <w:t>Capabilities for the role</w:t>
      </w:r>
    </w:p>
    <w:p w14:paraId="63AAC24C" w14:textId="175E6709" w:rsidR="003927AE" w:rsidRPr="00B438C3" w:rsidRDefault="003927AE" w:rsidP="002B3C53">
      <w:pPr>
        <w:spacing w:after="0"/>
        <w:rPr>
          <w:rFonts w:cs="Arial"/>
        </w:rPr>
      </w:pPr>
      <w:r w:rsidRPr="00B438C3">
        <w:rPr>
          <w:rFonts w:cs="Arial"/>
        </w:rPr>
        <w:t xml:space="preserve">The </w:t>
      </w:r>
      <w:hyperlink r:id="rId11" w:history="1">
        <w:r w:rsidRPr="00B438C3">
          <w:rPr>
            <w:rStyle w:val="Hyperlink"/>
            <w:rFonts w:cs="Arial"/>
          </w:rPr>
          <w:t>NSW public sector capability framework</w:t>
        </w:r>
      </w:hyperlink>
      <w:r w:rsidRPr="00B438C3">
        <w:rPr>
          <w:rFonts w:cs="Arial"/>
        </w:rPr>
        <w:t xml:space="preserve"> describes the capabilities (knowledge, skills and abilities) needed to perform a role. There are four main groups of capabilities: personal attributes, relationships, results and business enablers, with a fifth people management group of capabilities for roles with managerial responsibilities. These groups, combined with capabilities drawn from occupation-specific capability sets where relevant, work together to provide an understanding of the capabilities needed for the role.</w:t>
      </w:r>
    </w:p>
    <w:p w14:paraId="28ECD5A5" w14:textId="77777777" w:rsidR="003927AE" w:rsidRPr="00B438C3" w:rsidRDefault="003927AE" w:rsidP="003927AE">
      <w:pPr>
        <w:rPr>
          <w:rFonts w:cs="Arial"/>
        </w:rPr>
      </w:pPr>
      <w:r w:rsidRPr="00B438C3">
        <w:rPr>
          <w:rFonts w:cs="Arial"/>
        </w:rPr>
        <w:t xml:space="preserve">The capabilities are separated into </w:t>
      </w:r>
      <w:r w:rsidRPr="00B438C3">
        <w:rPr>
          <w:rFonts w:cs="Arial"/>
          <w:b/>
        </w:rPr>
        <w:t>focus capabilities</w:t>
      </w:r>
      <w:r w:rsidRPr="00B438C3">
        <w:rPr>
          <w:rFonts w:cs="Arial"/>
        </w:rPr>
        <w:t xml:space="preserve"> and </w:t>
      </w:r>
      <w:r w:rsidRPr="00B438C3">
        <w:rPr>
          <w:rFonts w:cs="Arial"/>
          <w:b/>
        </w:rPr>
        <w:t>complementary capabilities</w:t>
      </w:r>
      <w:r w:rsidRPr="00B438C3">
        <w:rPr>
          <w:rFonts w:cs="Arial"/>
        </w:rPr>
        <w:t xml:space="preserve">. </w:t>
      </w:r>
    </w:p>
    <w:p w14:paraId="20CCF455" w14:textId="77777777" w:rsidR="003927AE" w:rsidRPr="00B438C3" w:rsidRDefault="003927AE" w:rsidP="003927AE">
      <w:pPr>
        <w:pStyle w:val="Heading1"/>
      </w:pPr>
      <w:r w:rsidRPr="00B438C3">
        <w:lastRenderedPageBreak/>
        <w:t>Focus capabilities</w:t>
      </w:r>
    </w:p>
    <w:p w14:paraId="71C62F1A" w14:textId="77777777" w:rsidR="003927AE" w:rsidRPr="00B438C3" w:rsidRDefault="003927AE" w:rsidP="003927AE">
      <w:pPr>
        <w:pStyle w:val="PlainText"/>
        <w:spacing w:before="62" w:line="276" w:lineRule="auto"/>
        <w:rPr>
          <w:rFonts w:ascii="Arial" w:eastAsiaTheme="minorEastAsia" w:hAnsi="Arial" w:cs="Arial"/>
          <w:szCs w:val="22"/>
          <w:lang w:val="en-US"/>
        </w:rPr>
      </w:pPr>
      <w:r w:rsidRPr="00B438C3">
        <w:rPr>
          <w:rFonts w:ascii="Arial" w:eastAsiaTheme="minorEastAsia" w:hAnsi="Arial" w:cs="Arial"/>
          <w:i/>
          <w:szCs w:val="22"/>
          <w:lang w:val="en-US"/>
        </w:rPr>
        <w:t>Focus capabilities</w:t>
      </w:r>
      <w:r w:rsidRPr="00B438C3">
        <w:rPr>
          <w:rFonts w:ascii="Arial" w:eastAsiaTheme="minorEastAsia" w:hAnsi="Arial" w:cs="Arial"/>
          <w:szCs w:val="22"/>
          <w:lang w:val="en-US"/>
        </w:rPr>
        <w:t xml:space="preserve"> are the capabilities considered the most important for effective performance of the role. These capabilities will be assessed at recruitment. </w:t>
      </w:r>
    </w:p>
    <w:p w14:paraId="5B09EA8F" w14:textId="77777777" w:rsidR="003927AE" w:rsidRPr="00B438C3" w:rsidRDefault="003927AE" w:rsidP="00BB12E9">
      <w:pPr>
        <w:pStyle w:val="PlainText"/>
        <w:spacing w:before="62" w:line="276" w:lineRule="auto"/>
        <w:rPr>
          <w:rFonts w:ascii="Arial" w:eastAsiaTheme="minorEastAsia" w:hAnsi="Arial" w:cs="Arial"/>
          <w:szCs w:val="22"/>
          <w:lang w:val="en-US"/>
        </w:rPr>
      </w:pPr>
      <w:r w:rsidRPr="00B438C3">
        <w:rPr>
          <w:rFonts w:ascii="Arial" w:eastAsiaTheme="minorEastAsia" w:hAnsi="Arial" w:cs="Arial"/>
          <w:szCs w:val="22"/>
          <w:lang w:val="en-US"/>
        </w:rPr>
        <w:t>The focus capabilities for this role are shown below with a brief explanation of what each capability covers and the indicators describing the types of behaviours expected at each level.</w:t>
      </w:r>
    </w:p>
    <w:p w14:paraId="2678625E" w14:textId="77777777" w:rsidR="00BB12E9" w:rsidRPr="00B438C3" w:rsidRDefault="00BB12E9" w:rsidP="00BB12E9">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3927AE" w:rsidRPr="00B438C3" w14:paraId="22AE4A9D"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36271A2" w14:textId="77777777" w:rsidR="003927AE" w:rsidRPr="00B438C3" w:rsidRDefault="003927AE" w:rsidP="006D75C8">
            <w:pPr>
              <w:pStyle w:val="TableTextWhite0"/>
              <w:keepNext/>
              <w:jc w:val="both"/>
              <w:rPr>
                <w:rFonts w:cs="Arial"/>
              </w:rPr>
            </w:pPr>
            <w:r w:rsidRPr="00B438C3">
              <w:rPr>
                <w:rFonts w:cs="Arial"/>
                <w:sz w:val="24"/>
                <w:szCs w:val="24"/>
              </w:rPr>
              <w:t>FOCUS CAPABILITIES</w:t>
            </w:r>
          </w:p>
        </w:tc>
      </w:tr>
      <w:tr w:rsidR="003927AE" w:rsidRPr="00B438C3" w14:paraId="28E396D2"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3713F21" w14:textId="77777777" w:rsidR="003927AE" w:rsidRPr="00B438C3" w:rsidRDefault="003927AE" w:rsidP="006D75C8">
            <w:pPr>
              <w:pStyle w:val="TableText"/>
              <w:keepNext/>
              <w:rPr>
                <w:rFonts w:cs="Arial"/>
                <w:b/>
                <w:sz w:val="24"/>
                <w:szCs w:val="24"/>
              </w:rPr>
            </w:pPr>
            <w:r w:rsidRPr="00B438C3">
              <w:rPr>
                <w:rFonts w:cs="Arial"/>
                <w:b/>
              </w:rPr>
              <w:t>Capability group/sets</w:t>
            </w:r>
          </w:p>
        </w:tc>
        <w:tc>
          <w:tcPr>
            <w:tcW w:w="2881" w:type="dxa"/>
            <w:tcBorders>
              <w:bottom w:val="single" w:sz="12" w:space="0" w:color="auto"/>
            </w:tcBorders>
            <w:shd w:val="clear" w:color="auto" w:fill="BCBEC0"/>
          </w:tcPr>
          <w:p w14:paraId="7A8FA383" w14:textId="77777777" w:rsidR="003927AE" w:rsidRPr="00B438C3" w:rsidRDefault="003927AE" w:rsidP="006D75C8">
            <w:pPr>
              <w:pStyle w:val="TableText"/>
              <w:keepNext/>
              <w:rPr>
                <w:rFonts w:cs="Arial"/>
                <w:b/>
                <w:sz w:val="24"/>
                <w:szCs w:val="24"/>
              </w:rPr>
            </w:pPr>
            <w:r w:rsidRPr="00B438C3">
              <w:rPr>
                <w:rFonts w:cs="Arial"/>
                <w:b/>
              </w:rPr>
              <w:t>Capability name</w:t>
            </w:r>
          </w:p>
        </w:tc>
        <w:tc>
          <w:tcPr>
            <w:tcW w:w="90" w:type="dxa"/>
            <w:tcBorders>
              <w:bottom w:val="single" w:sz="12" w:space="0" w:color="auto"/>
            </w:tcBorders>
            <w:shd w:val="clear" w:color="auto" w:fill="BCBEC0"/>
          </w:tcPr>
          <w:p w14:paraId="7380C036" w14:textId="77777777" w:rsidR="003927AE" w:rsidRPr="00B438C3" w:rsidRDefault="003927AE" w:rsidP="006D75C8">
            <w:pPr>
              <w:pStyle w:val="TableText"/>
              <w:keepNext/>
              <w:rPr>
                <w:rFonts w:cs="Arial"/>
                <w:b/>
              </w:rPr>
            </w:pPr>
          </w:p>
        </w:tc>
        <w:tc>
          <w:tcPr>
            <w:tcW w:w="4770" w:type="dxa"/>
            <w:tcBorders>
              <w:bottom w:val="single" w:sz="12" w:space="0" w:color="auto"/>
            </w:tcBorders>
            <w:shd w:val="clear" w:color="auto" w:fill="BCBEC0"/>
          </w:tcPr>
          <w:p w14:paraId="2D5ADFEA" w14:textId="77777777" w:rsidR="003927AE" w:rsidRPr="00B438C3" w:rsidRDefault="003927AE" w:rsidP="006D75C8">
            <w:pPr>
              <w:pStyle w:val="TableText"/>
              <w:keepNext/>
              <w:rPr>
                <w:rFonts w:cs="Arial"/>
                <w:b/>
              </w:rPr>
            </w:pPr>
            <w:r w:rsidRPr="00B438C3">
              <w:rPr>
                <w:rFonts w:cs="Arial"/>
                <w:b/>
              </w:rPr>
              <w:t>Behavioural indicators</w:t>
            </w:r>
          </w:p>
        </w:tc>
        <w:tc>
          <w:tcPr>
            <w:tcW w:w="1606" w:type="dxa"/>
            <w:tcBorders>
              <w:bottom w:val="single" w:sz="12" w:space="0" w:color="auto"/>
            </w:tcBorders>
            <w:shd w:val="clear" w:color="auto" w:fill="BCBEC0"/>
          </w:tcPr>
          <w:p w14:paraId="124CD712" w14:textId="77777777" w:rsidR="003927AE" w:rsidRPr="00B438C3" w:rsidRDefault="003927AE" w:rsidP="006D75C8">
            <w:pPr>
              <w:pStyle w:val="TableText"/>
              <w:keepNext/>
              <w:jc w:val="both"/>
              <w:rPr>
                <w:rFonts w:cs="Arial"/>
                <w:b/>
              </w:rPr>
            </w:pPr>
            <w:r w:rsidRPr="00B438C3">
              <w:rPr>
                <w:rFonts w:cs="Arial"/>
                <w:b/>
              </w:rPr>
              <w:t xml:space="preserve">Level </w:t>
            </w:r>
          </w:p>
        </w:tc>
      </w:tr>
      <w:tr w:rsidR="002D336D" w:rsidRPr="00B438C3" w14:paraId="1B282E44" w14:textId="77777777" w:rsidTr="006D75C8">
        <w:tc>
          <w:tcPr>
            <w:tcW w:w="1406" w:type="dxa"/>
            <w:vMerge w:val="restart"/>
            <w:tcBorders>
              <w:bottom w:val="single" w:sz="4" w:space="0" w:color="BCBEC0"/>
            </w:tcBorders>
          </w:tcPr>
          <w:p w14:paraId="3E1DC27E" w14:textId="77777777" w:rsidR="002D336D" w:rsidRPr="00B438C3" w:rsidRDefault="002D336D" w:rsidP="006D75C8">
            <w:pPr>
              <w:keepNext/>
              <w:rPr>
                <w:rFonts w:cs="Arial"/>
              </w:rPr>
            </w:pPr>
            <w:r w:rsidRPr="00B438C3">
              <w:rPr>
                <w:rFonts w:cs="Arial"/>
                <w:noProof/>
                <w:lang w:eastAsia="en-AU"/>
              </w:rPr>
              <w:drawing>
                <wp:inline distT="0" distB="0" distL="0" distR="0" wp14:anchorId="129FE1E8" wp14:editId="1AAA435F">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16BB2B33" w14:textId="77777777" w:rsidR="002D336D" w:rsidRPr="00B438C3" w:rsidRDefault="002D336D" w:rsidP="006D75C8">
            <w:pPr>
              <w:pStyle w:val="TableText"/>
              <w:keepNext/>
              <w:rPr>
                <w:rFonts w:cs="Arial"/>
                <w:b/>
              </w:rPr>
            </w:pPr>
            <w:r w:rsidRPr="00B438C3">
              <w:rPr>
                <w:rFonts w:cs="Arial"/>
                <w:b/>
              </w:rPr>
              <w:t>Act with Integrity</w:t>
            </w:r>
          </w:p>
          <w:p w14:paraId="25750BAF" w14:textId="77777777" w:rsidR="002D336D" w:rsidRPr="00B438C3" w:rsidRDefault="002D336D" w:rsidP="006D75C8">
            <w:pPr>
              <w:pStyle w:val="TableText"/>
              <w:keepNext/>
              <w:rPr>
                <w:rFonts w:cs="Arial"/>
              </w:rPr>
            </w:pPr>
            <w:r w:rsidRPr="00B438C3">
              <w:rPr>
                <w:rFonts w:cs="Arial"/>
              </w:rPr>
              <w:t>Be ethical and professional, and uphold and promote the public sector values</w:t>
            </w:r>
          </w:p>
        </w:tc>
        <w:tc>
          <w:tcPr>
            <w:tcW w:w="4770" w:type="dxa"/>
            <w:tcBorders>
              <w:bottom w:val="single" w:sz="4" w:space="0" w:color="BCBEC0"/>
            </w:tcBorders>
          </w:tcPr>
          <w:p w14:paraId="164E0F58" w14:textId="77777777" w:rsidR="002D336D" w:rsidRPr="00B438C3" w:rsidRDefault="002D336D" w:rsidP="006D75C8">
            <w:pPr>
              <w:pStyle w:val="TableBullet"/>
              <w:rPr>
                <w:rFonts w:cs="Arial"/>
              </w:rPr>
            </w:pPr>
            <w:r w:rsidRPr="00B438C3">
              <w:rPr>
                <w:rFonts w:cs="Arial"/>
              </w:rPr>
              <w:t>Champion and model the highest standards of ethical and professional behaviour</w:t>
            </w:r>
          </w:p>
          <w:p w14:paraId="4BAF637B" w14:textId="77777777" w:rsidR="002D336D" w:rsidRPr="00B438C3" w:rsidRDefault="002D336D" w:rsidP="006D75C8">
            <w:pPr>
              <w:pStyle w:val="TableBullet"/>
              <w:rPr>
                <w:rFonts w:cs="Arial"/>
              </w:rPr>
            </w:pPr>
            <w:r w:rsidRPr="00B438C3">
              <w:rPr>
                <w:rFonts w:cs="Arial"/>
              </w:rPr>
              <w:t>Drive a culture of integrity and professionalism within the organisation, and in dealings across government and with other jurisdictions and external organisations</w:t>
            </w:r>
          </w:p>
          <w:p w14:paraId="22884E96" w14:textId="77777777" w:rsidR="002D336D" w:rsidRPr="00B438C3" w:rsidRDefault="002D336D" w:rsidP="006D75C8">
            <w:pPr>
              <w:pStyle w:val="TableBullet"/>
              <w:rPr>
                <w:rFonts w:cs="Arial"/>
              </w:rPr>
            </w:pPr>
            <w:r w:rsidRPr="00B438C3">
              <w:rPr>
                <w:rFonts w:cs="Arial"/>
              </w:rPr>
              <w:t>Set, communicate and evaluate ethical practices, standards and systems and reinforce their use</w:t>
            </w:r>
          </w:p>
          <w:p w14:paraId="623B8F5B" w14:textId="77777777" w:rsidR="002D336D" w:rsidRPr="00B438C3" w:rsidRDefault="002D336D" w:rsidP="006D75C8">
            <w:pPr>
              <w:pStyle w:val="TableBullet"/>
              <w:rPr>
                <w:rFonts w:cs="Arial"/>
              </w:rPr>
            </w:pPr>
            <w:r w:rsidRPr="00B438C3">
              <w:rPr>
                <w:rFonts w:cs="Arial"/>
              </w:rPr>
              <w:t>Create and promote a culture in which staff feel able to report apparent breaches of legislation, policies and guidelines and act promptly and visibly in response to such reports</w:t>
            </w:r>
          </w:p>
          <w:p w14:paraId="21F77F1C" w14:textId="77777777" w:rsidR="002D336D" w:rsidRPr="00B438C3" w:rsidRDefault="002D336D" w:rsidP="006D75C8">
            <w:pPr>
              <w:pStyle w:val="TableBullet"/>
              <w:rPr>
                <w:rFonts w:cs="Arial"/>
              </w:rPr>
            </w:pPr>
            <w:r w:rsidRPr="00B438C3">
              <w:rPr>
                <w:rFonts w:cs="Arial"/>
              </w:rPr>
              <w:t>Act promptly and visibly to prevent and respond to unethical behaviour</w:t>
            </w:r>
          </w:p>
        </w:tc>
        <w:tc>
          <w:tcPr>
            <w:tcW w:w="1606" w:type="dxa"/>
            <w:tcBorders>
              <w:bottom w:val="single" w:sz="4" w:space="0" w:color="BCBEC0"/>
            </w:tcBorders>
          </w:tcPr>
          <w:p w14:paraId="2ED421FA" w14:textId="77777777" w:rsidR="002D336D" w:rsidRPr="00B438C3" w:rsidRDefault="00F15669" w:rsidP="006D75C8">
            <w:pPr>
              <w:pStyle w:val="TableBullet"/>
              <w:numPr>
                <w:ilvl w:val="0"/>
                <w:numId w:val="0"/>
              </w:numPr>
              <w:jc w:val="both"/>
              <w:rPr>
                <w:rFonts w:cs="Arial"/>
              </w:rPr>
            </w:pPr>
            <w:r w:rsidRPr="00B438C3">
              <w:rPr>
                <w:rFonts w:cs="Arial"/>
              </w:rPr>
              <w:t>Highly Advanced</w:t>
            </w:r>
          </w:p>
        </w:tc>
      </w:tr>
      <w:tr w:rsidR="002D336D" w:rsidRPr="00B438C3" w14:paraId="1A4F3C6E" w14:textId="77777777" w:rsidTr="006D75C8">
        <w:tc>
          <w:tcPr>
            <w:tcW w:w="1406" w:type="dxa"/>
            <w:vMerge w:val="restart"/>
            <w:tcBorders>
              <w:bottom w:val="single" w:sz="4" w:space="0" w:color="BCBEC0"/>
            </w:tcBorders>
          </w:tcPr>
          <w:p w14:paraId="6F83B440" w14:textId="77777777" w:rsidR="002D336D" w:rsidRPr="00B438C3" w:rsidRDefault="002D336D" w:rsidP="006D75C8">
            <w:pPr>
              <w:keepNext/>
              <w:rPr>
                <w:rFonts w:cs="Arial"/>
              </w:rPr>
            </w:pPr>
            <w:r w:rsidRPr="00B438C3">
              <w:rPr>
                <w:rFonts w:cs="Arial"/>
                <w:noProof/>
                <w:lang w:eastAsia="en-AU"/>
              </w:rPr>
              <w:drawing>
                <wp:inline distT="0" distB="0" distL="0" distR="0" wp14:anchorId="10E74EEF" wp14:editId="14CBDBE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2AA6FB61" w14:textId="77777777" w:rsidR="002D336D" w:rsidRPr="00B438C3" w:rsidRDefault="002D336D" w:rsidP="006D75C8">
            <w:pPr>
              <w:pStyle w:val="TableText"/>
              <w:keepNext/>
              <w:rPr>
                <w:rFonts w:cs="Arial"/>
                <w:b/>
              </w:rPr>
            </w:pPr>
            <w:r w:rsidRPr="00B438C3">
              <w:rPr>
                <w:rFonts w:cs="Arial"/>
                <w:b/>
              </w:rPr>
              <w:t>Communicate Effectively</w:t>
            </w:r>
          </w:p>
          <w:p w14:paraId="63068317" w14:textId="77777777" w:rsidR="002D336D" w:rsidRPr="00B438C3" w:rsidRDefault="002D336D" w:rsidP="006D75C8">
            <w:pPr>
              <w:pStyle w:val="TableText"/>
              <w:keepNext/>
              <w:rPr>
                <w:rFonts w:cs="Arial"/>
              </w:rPr>
            </w:pPr>
            <w:r w:rsidRPr="00B438C3">
              <w:rPr>
                <w:rFonts w:cs="Arial"/>
              </w:rPr>
              <w:t>Communicate clearly, actively listen to others, and respond with understanding and respect</w:t>
            </w:r>
          </w:p>
        </w:tc>
        <w:tc>
          <w:tcPr>
            <w:tcW w:w="4770" w:type="dxa"/>
            <w:tcBorders>
              <w:bottom w:val="single" w:sz="4" w:space="0" w:color="BCBEC0"/>
            </w:tcBorders>
          </w:tcPr>
          <w:p w14:paraId="0BDFF4CE" w14:textId="77777777" w:rsidR="002D336D" w:rsidRPr="00B438C3" w:rsidRDefault="002D336D" w:rsidP="006D75C8">
            <w:pPr>
              <w:pStyle w:val="TableBullet"/>
              <w:rPr>
                <w:rFonts w:cs="Arial"/>
              </w:rPr>
            </w:pPr>
            <w:r w:rsidRPr="00B438C3">
              <w:rPr>
                <w:rFonts w:cs="Arial"/>
              </w:rPr>
              <w:t>Articulate complex concepts and put forward compelling arguments and rationales to all levels and types of audiences</w:t>
            </w:r>
          </w:p>
          <w:p w14:paraId="29BF4872" w14:textId="77777777" w:rsidR="002D336D" w:rsidRPr="00B438C3" w:rsidRDefault="002D336D" w:rsidP="006D75C8">
            <w:pPr>
              <w:pStyle w:val="TableBullet"/>
              <w:rPr>
                <w:rFonts w:cs="Arial"/>
              </w:rPr>
            </w:pPr>
            <w:r w:rsidRPr="00B438C3">
              <w:rPr>
                <w:rFonts w:cs="Arial"/>
              </w:rPr>
              <w:t>Speak in a highly articulate and influential manner</w:t>
            </w:r>
          </w:p>
          <w:p w14:paraId="2A4B0D70" w14:textId="77777777" w:rsidR="002D336D" w:rsidRPr="00B438C3" w:rsidRDefault="002D336D" w:rsidP="006D75C8">
            <w:pPr>
              <w:pStyle w:val="TableBullet"/>
              <w:rPr>
                <w:rFonts w:cs="Arial"/>
              </w:rPr>
            </w:pPr>
            <w:r w:rsidRPr="00B438C3">
              <w:rPr>
                <w:rFonts w:cs="Arial"/>
              </w:rPr>
              <w:t>State the facts and explain their implications for the organisation and key stakeholders</w:t>
            </w:r>
          </w:p>
          <w:p w14:paraId="1C4F5B3B" w14:textId="77777777" w:rsidR="002D336D" w:rsidRPr="00B438C3" w:rsidRDefault="002D336D" w:rsidP="006D75C8">
            <w:pPr>
              <w:pStyle w:val="TableBullet"/>
              <w:rPr>
                <w:rFonts w:cs="Arial"/>
              </w:rPr>
            </w:pPr>
            <w:r w:rsidRPr="00B438C3">
              <w:rPr>
                <w:rFonts w:cs="Arial"/>
              </w:rPr>
              <w:t>Promote the organisation’s position with authority and credibility across government, other jurisdictions and external organisations</w:t>
            </w:r>
          </w:p>
          <w:p w14:paraId="2B6B9C3C" w14:textId="77777777" w:rsidR="002D336D" w:rsidRPr="00B438C3" w:rsidRDefault="002D336D" w:rsidP="006D75C8">
            <w:pPr>
              <w:pStyle w:val="TableBullet"/>
              <w:rPr>
                <w:rFonts w:cs="Arial"/>
              </w:rPr>
            </w:pPr>
            <w:r w:rsidRPr="00B438C3">
              <w:rPr>
                <w:rFonts w:cs="Arial"/>
              </w:rPr>
              <w:t>Anticipate and address key areas of interest for the audience and adapt style under pressure</w:t>
            </w:r>
          </w:p>
        </w:tc>
        <w:tc>
          <w:tcPr>
            <w:tcW w:w="1606" w:type="dxa"/>
            <w:tcBorders>
              <w:bottom w:val="single" w:sz="4" w:space="0" w:color="BCBEC0"/>
            </w:tcBorders>
          </w:tcPr>
          <w:p w14:paraId="5A556D4E" w14:textId="77777777" w:rsidR="002D336D" w:rsidRPr="00B438C3" w:rsidRDefault="00F15669" w:rsidP="006D75C8">
            <w:pPr>
              <w:pStyle w:val="TableBullet"/>
              <w:numPr>
                <w:ilvl w:val="0"/>
                <w:numId w:val="0"/>
              </w:numPr>
              <w:jc w:val="both"/>
              <w:rPr>
                <w:rFonts w:cs="Arial"/>
              </w:rPr>
            </w:pPr>
            <w:r w:rsidRPr="00B438C3">
              <w:rPr>
                <w:rFonts w:cs="Arial"/>
              </w:rPr>
              <w:t>Highly Advanced</w:t>
            </w:r>
          </w:p>
        </w:tc>
      </w:tr>
      <w:tr w:rsidR="002D336D" w:rsidRPr="00B438C3" w14:paraId="095A834C" w14:textId="77777777" w:rsidTr="006D75C8">
        <w:tc>
          <w:tcPr>
            <w:tcW w:w="1406" w:type="dxa"/>
            <w:vMerge/>
            <w:tcBorders>
              <w:bottom w:val="single" w:sz="4" w:space="0" w:color="BCBEC0"/>
            </w:tcBorders>
          </w:tcPr>
          <w:p w14:paraId="6CCDFB6F" w14:textId="77777777" w:rsidR="002D336D" w:rsidRPr="00B438C3" w:rsidRDefault="002D336D" w:rsidP="006D75C8">
            <w:pPr>
              <w:keepNext/>
              <w:rPr>
                <w:rFonts w:cs="Arial"/>
                <w:noProof/>
                <w:lang w:eastAsia="en-AU"/>
              </w:rPr>
            </w:pPr>
          </w:p>
        </w:tc>
        <w:tc>
          <w:tcPr>
            <w:tcW w:w="2971" w:type="dxa"/>
            <w:gridSpan w:val="2"/>
            <w:tcBorders>
              <w:bottom w:val="single" w:sz="4" w:space="0" w:color="BCBEC0"/>
            </w:tcBorders>
          </w:tcPr>
          <w:p w14:paraId="3533C95C" w14:textId="77777777" w:rsidR="000411F6" w:rsidRPr="00B438C3" w:rsidRDefault="000411F6" w:rsidP="006D75C8">
            <w:pPr>
              <w:pStyle w:val="TableText"/>
              <w:keepNext/>
              <w:rPr>
                <w:rFonts w:cs="Arial"/>
                <w:b/>
              </w:rPr>
            </w:pPr>
            <w:r w:rsidRPr="00B438C3">
              <w:rPr>
                <w:rFonts w:cs="Arial"/>
                <w:b/>
              </w:rPr>
              <w:t>Influence and Negotiate</w:t>
            </w:r>
          </w:p>
          <w:p w14:paraId="1EC0A7F7" w14:textId="77777777" w:rsidR="002D336D" w:rsidRPr="00B438C3" w:rsidRDefault="000411F6" w:rsidP="006D75C8">
            <w:pPr>
              <w:pStyle w:val="TableText"/>
              <w:keepNext/>
              <w:rPr>
                <w:rFonts w:cs="Arial"/>
                <w:b/>
              </w:rPr>
            </w:pPr>
            <w:r w:rsidRPr="00B438C3">
              <w:rPr>
                <w:rFonts w:cs="Arial"/>
              </w:rPr>
              <w:t>Gain consensus and commitment from others, and resolve issues and conflicts</w:t>
            </w:r>
          </w:p>
        </w:tc>
        <w:tc>
          <w:tcPr>
            <w:tcW w:w="4770" w:type="dxa"/>
            <w:tcBorders>
              <w:bottom w:val="single" w:sz="4" w:space="0" w:color="BCBEC0"/>
            </w:tcBorders>
          </w:tcPr>
          <w:p w14:paraId="5FF86487" w14:textId="77777777" w:rsidR="002D336D" w:rsidRPr="00B438C3" w:rsidRDefault="002D336D" w:rsidP="006D75C8">
            <w:pPr>
              <w:pStyle w:val="TableBullet"/>
              <w:numPr>
                <w:ilvl w:val="0"/>
                <w:numId w:val="0"/>
              </w:numPr>
              <w:ind w:left="360"/>
              <w:rPr>
                <w:rFonts w:cs="Arial"/>
              </w:rPr>
            </w:pPr>
          </w:p>
          <w:p w14:paraId="573578EA" w14:textId="77777777" w:rsidR="002D336D" w:rsidRPr="00B438C3" w:rsidRDefault="002D336D" w:rsidP="006D75C8">
            <w:pPr>
              <w:pStyle w:val="TableBullet"/>
              <w:rPr>
                <w:rFonts w:cs="Arial"/>
              </w:rPr>
            </w:pPr>
            <w:r w:rsidRPr="00B438C3">
              <w:rPr>
                <w:rFonts w:cs="Arial"/>
              </w:rPr>
              <w:t>Engage in a range of approaches to generate solutions, seeking expert inputs and advice to inform negotiating strategy</w:t>
            </w:r>
          </w:p>
          <w:p w14:paraId="396C9C19" w14:textId="77777777" w:rsidR="002D336D" w:rsidRPr="00B438C3" w:rsidRDefault="002D336D" w:rsidP="006D75C8">
            <w:pPr>
              <w:pStyle w:val="TableBullet"/>
              <w:rPr>
                <w:rFonts w:cs="Arial"/>
              </w:rPr>
            </w:pPr>
            <w:r w:rsidRPr="00B438C3">
              <w:rPr>
                <w:rFonts w:cs="Arial"/>
              </w:rPr>
              <w:t>Use sound arguments, strong evidence and expert opinion to influence outcomes</w:t>
            </w:r>
          </w:p>
          <w:p w14:paraId="16AD44ED" w14:textId="77777777" w:rsidR="002D336D" w:rsidRPr="00B438C3" w:rsidRDefault="002D336D" w:rsidP="006D75C8">
            <w:pPr>
              <w:pStyle w:val="TableBullet"/>
              <w:rPr>
                <w:rFonts w:cs="Arial"/>
              </w:rPr>
            </w:pPr>
            <w:r w:rsidRPr="00B438C3">
              <w:rPr>
                <w:rFonts w:cs="Arial"/>
              </w:rPr>
              <w:t>Determine and communicate the organisation’s position and bargaining strategy</w:t>
            </w:r>
          </w:p>
          <w:p w14:paraId="1039E369" w14:textId="77777777" w:rsidR="002D336D" w:rsidRPr="00B438C3" w:rsidRDefault="002D336D" w:rsidP="006D75C8">
            <w:pPr>
              <w:pStyle w:val="TableBullet"/>
              <w:rPr>
                <w:rFonts w:cs="Arial"/>
              </w:rPr>
            </w:pPr>
            <w:r w:rsidRPr="00B438C3">
              <w:rPr>
                <w:rFonts w:cs="Arial"/>
              </w:rPr>
              <w:t>Represent the organisation in critical and challenging negotiations, including those that are cross-jurisdictional</w:t>
            </w:r>
          </w:p>
          <w:p w14:paraId="17D5E62C" w14:textId="77777777" w:rsidR="002D336D" w:rsidRPr="00B438C3" w:rsidRDefault="002D336D" w:rsidP="006D75C8">
            <w:pPr>
              <w:pStyle w:val="TableBullet"/>
              <w:rPr>
                <w:rFonts w:cs="Arial"/>
              </w:rPr>
            </w:pPr>
            <w:r w:rsidRPr="00B438C3">
              <w:rPr>
                <w:rFonts w:cs="Arial"/>
              </w:rPr>
              <w:t>Achieve effective solutions when dealing with ambiguous or conflicting positions</w:t>
            </w:r>
          </w:p>
          <w:p w14:paraId="03EBF437" w14:textId="77777777" w:rsidR="002D336D" w:rsidRPr="00B438C3" w:rsidRDefault="002D336D" w:rsidP="006D75C8">
            <w:pPr>
              <w:pStyle w:val="TableBullet"/>
              <w:rPr>
                <w:rFonts w:cs="Arial"/>
              </w:rPr>
            </w:pPr>
            <w:r w:rsidRPr="00B438C3">
              <w:rPr>
                <w:rFonts w:cs="Arial"/>
              </w:rPr>
              <w:lastRenderedPageBreak/>
              <w:t>Anticipate and avoid conflict across organisations and with senior internal and external stakeholders</w:t>
            </w:r>
          </w:p>
          <w:p w14:paraId="0E048760" w14:textId="77777777" w:rsidR="002D336D" w:rsidRPr="00B438C3" w:rsidRDefault="002D336D" w:rsidP="006D75C8">
            <w:pPr>
              <w:pStyle w:val="TableBullet"/>
              <w:rPr>
                <w:rFonts w:cs="Arial"/>
              </w:rPr>
            </w:pPr>
            <w:r w:rsidRPr="00B438C3">
              <w:rPr>
                <w:rFonts w:cs="Arial"/>
              </w:rPr>
              <w:t>Identify contentious issues, direct discussion and debate, and steer parties towards an effective resolution</w:t>
            </w:r>
          </w:p>
        </w:tc>
        <w:tc>
          <w:tcPr>
            <w:tcW w:w="1606" w:type="dxa"/>
            <w:tcBorders>
              <w:bottom w:val="single" w:sz="4" w:space="0" w:color="BCBEC0"/>
            </w:tcBorders>
          </w:tcPr>
          <w:p w14:paraId="5ECA137D" w14:textId="77777777" w:rsidR="002D336D" w:rsidRPr="00B438C3" w:rsidRDefault="007C0486" w:rsidP="006D75C8">
            <w:pPr>
              <w:pStyle w:val="TableBullet"/>
              <w:numPr>
                <w:ilvl w:val="0"/>
                <w:numId w:val="0"/>
              </w:numPr>
              <w:jc w:val="both"/>
              <w:rPr>
                <w:rFonts w:cs="Arial"/>
              </w:rPr>
            </w:pPr>
            <w:r w:rsidRPr="00B438C3">
              <w:rPr>
                <w:rFonts w:cs="Arial"/>
              </w:rPr>
              <w:lastRenderedPageBreak/>
              <w:t>Highly Advanced</w:t>
            </w:r>
          </w:p>
        </w:tc>
      </w:tr>
      <w:tr w:rsidR="002D336D" w:rsidRPr="00B438C3" w14:paraId="4A4B7725" w14:textId="77777777" w:rsidTr="006D75C8">
        <w:tc>
          <w:tcPr>
            <w:tcW w:w="1406" w:type="dxa"/>
            <w:vMerge w:val="restart"/>
            <w:tcBorders>
              <w:bottom w:val="single" w:sz="4" w:space="0" w:color="BCBEC0"/>
            </w:tcBorders>
          </w:tcPr>
          <w:p w14:paraId="706BA8C3" w14:textId="77777777" w:rsidR="002D336D" w:rsidRPr="00B438C3" w:rsidRDefault="002D336D" w:rsidP="006D75C8">
            <w:pPr>
              <w:keepNext/>
              <w:rPr>
                <w:rFonts w:cs="Arial"/>
              </w:rPr>
            </w:pPr>
            <w:r w:rsidRPr="00B438C3">
              <w:rPr>
                <w:rFonts w:cs="Arial"/>
                <w:noProof/>
                <w:lang w:eastAsia="en-AU"/>
              </w:rPr>
              <w:drawing>
                <wp:inline distT="0" distB="0" distL="0" distR="0" wp14:anchorId="6BBEEAED" wp14:editId="16477C0A">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6D363CD8" w14:textId="77777777" w:rsidR="002D336D" w:rsidRPr="00B438C3" w:rsidRDefault="002D336D" w:rsidP="006D75C8">
            <w:pPr>
              <w:pStyle w:val="TableText"/>
              <w:keepNext/>
              <w:rPr>
                <w:rFonts w:cs="Arial"/>
                <w:b/>
              </w:rPr>
            </w:pPr>
            <w:r w:rsidRPr="00B438C3">
              <w:rPr>
                <w:rFonts w:cs="Arial"/>
                <w:b/>
              </w:rPr>
              <w:t>Deliver Results</w:t>
            </w:r>
          </w:p>
          <w:p w14:paraId="54C91BFC" w14:textId="77777777" w:rsidR="002D336D" w:rsidRPr="00B438C3" w:rsidRDefault="002D336D" w:rsidP="006D75C8">
            <w:pPr>
              <w:pStyle w:val="TableText"/>
              <w:keepNext/>
              <w:rPr>
                <w:rFonts w:cs="Arial"/>
              </w:rPr>
            </w:pPr>
            <w:r w:rsidRPr="00B438C3">
              <w:rPr>
                <w:rFonts w:cs="Arial"/>
              </w:rPr>
              <w:t>Achieve results through the efficient use of resources and a commitment to quality outcomes</w:t>
            </w:r>
          </w:p>
        </w:tc>
        <w:tc>
          <w:tcPr>
            <w:tcW w:w="4770" w:type="dxa"/>
            <w:tcBorders>
              <w:bottom w:val="single" w:sz="4" w:space="0" w:color="BCBEC0"/>
            </w:tcBorders>
          </w:tcPr>
          <w:p w14:paraId="42437394" w14:textId="77777777" w:rsidR="002D336D" w:rsidRPr="00B438C3" w:rsidRDefault="002D336D" w:rsidP="006D75C8">
            <w:pPr>
              <w:pStyle w:val="TableBullet"/>
              <w:rPr>
                <w:rFonts w:cs="Arial"/>
              </w:rPr>
            </w:pPr>
            <w:r w:rsidRPr="00B438C3">
              <w:rPr>
                <w:rFonts w:cs="Arial"/>
              </w:rPr>
              <w:t>Use own professional knowledge and the expertise of others to drive forward organisational and government objectives</w:t>
            </w:r>
          </w:p>
          <w:p w14:paraId="30B5D739" w14:textId="77777777" w:rsidR="002D336D" w:rsidRPr="00B438C3" w:rsidRDefault="002D336D" w:rsidP="006D75C8">
            <w:pPr>
              <w:pStyle w:val="TableBullet"/>
              <w:rPr>
                <w:rFonts w:cs="Arial"/>
              </w:rPr>
            </w:pPr>
            <w:r w:rsidRPr="00B438C3">
              <w:rPr>
                <w:rFonts w:cs="Arial"/>
              </w:rPr>
              <w:t>Create a culture of achievement, fostering on-time and on-budget quality outcomes in the organisation</w:t>
            </w:r>
          </w:p>
          <w:p w14:paraId="4B0E731C" w14:textId="77777777" w:rsidR="002D336D" w:rsidRPr="00B438C3" w:rsidRDefault="002D336D" w:rsidP="006D75C8">
            <w:pPr>
              <w:pStyle w:val="TableBullet"/>
              <w:rPr>
                <w:rFonts w:cs="Arial"/>
              </w:rPr>
            </w:pPr>
            <w:r w:rsidRPr="00B438C3">
              <w:rPr>
                <w:rFonts w:cs="Arial"/>
              </w:rPr>
              <w:t>Identify, recognise and celebrate success</w:t>
            </w:r>
          </w:p>
          <w:p w14:paraId="0462C501" w14:textId="77777777" w:rsidR="002D336D" w:rsidRPr="00B438C3" w:rsidRDefault="002D336D" w:rsidP="006D75C8">
            <w:pPr>
              <w:pStyle w:val="TableBullet"/>
              <w:rPr>
                <w:rFonts w:cs="Arial"/>
              </w:rPr>
            </w:pPr>
            <w:r w:rsidRPr="00B438C3">
              <w:rPr>
                <w:rFonts w:cs="Arial"/>
              </w:rPr>
              <w:t>Establish systems to ensure all staff are able to identify direct connections between their efforts and organisational outcomes</w:t>
            </w:r>
          </w:p>
          <w:p w14:paraId="5C2C63F2" w14:textId="77777777" w:rsidR="002D336D" w:rsidRPr="00B438C3" w:rsidRDefault="002D336D" w:rsidP="006D75C8">
            <w:pPr>
              <w:pStyle w:val="TableBullet"/>
              <w:rPr>
                <w:rFonts w:cs="Arial"/>
              </w:rPr>
            </w:pPr>
            <w:r w:rsidRPr="00B438C3">
              <w:rPr>
                <w:rFonts w:cs="Arial"/>
              </w:rPr>
              <w:t>Identify and remove potential barriers or hurdles to achieving outcomes</w:t>
            </w:r>
          </w:p>
          <w:p w14:paraId="2E0317AD" w14:textId="77777777" w:rsidR="002D336D" w:rsidRPr="00B438C3" w:rsidRDefault="002D336D" w:rsidP="006D75C8">
            <w:pPr>
              <w:pStyle w:val="TableBullet"/>
              <w:rPr>
                <w:rFonts w:cs="Arial"/>
              </w:rPr>
            </w:pPr>
            <w:r w:rsidRPr="00B438C3">
              <w:rPr>
                <w:rFonts w:cs="Arial"/>
              </w:rPr>
              <w:t>Initiate and communicate high-level priorities for the organisation to achieve government outcomes</w:t>
            </w:r>
          </w:p>
        </w:tc>
        <w:tc>
          <w:tcPr>
            <w:tcW w:w="1606" w:type="dxa"/>
            <w:tcBorders>
              <w:bottom w:val="single" w:sz="4" w:space="0" w:color="BCBEC0"/>
            </w:tcBorders>
          </w:tcPr>
          <w:p w14:paraId="47B01CBE" w14:textId="77777777" w:rsidR="002D336D" w:rsidRPr="00B438C3" w:rsidRDefault="00F15669" w:rsidP="006D75C8">
            <w:pPr>
              <w:pStyle w:val="TableBullet"/>
              <w:numPr>
                <w:ilvl w:val="0"/>
                <w:numId w:val="0"/>
              </w:numPr>
              <w:jc w:val="both"/>
              <w:rPr>
                <w:rFonts w:cs="Arial"/>
              </w:rPr>
            </w:pPr>
            <w:r w:rsidRPr="00B438C3">
              <w:rPr>
                <w:rFonts w:cs="Arial"/>
              </w:rPr>
              <w:t>Highly Advanced</w:t>
            </w:r>
          </w:p>
        </w:tc>
      </w:tr>
      <w:tr w:rsidR="002D336D" w:rsidRPr="00B438C3" w14:paraId="75FDE3AE" w14:textId="77777777" w:rsidTr="006D75C8">
        <w:tc>
          <w:tcPr>
            <w:tcW w:w="1406" w:type="dxa"/>
            <w:vMerge/>
            <w:tcBorders>
              <w:bottom w:val="single" w:sz="4" w:space="0" w:color="BCBEC0"/>
            </w:tcBorders>
          </w:tcPr>
          <w:p w14:paraId="4C26A347" w14:textId="77777777" w:rsidR="002D336D" w:rsidRPr="00B438C3" w:rsidRDefault="002D336D" w:rsidP="006D75C8">
            <w:pPr>
              <w:keepNext/>
              <w:rPr>
                <w:rFonts w:cs="Arial"/>
                <w:noProof/>
                <w:lang w:eastAsia="en-AU"/>
              </w:rPr>
            </w:pPr>
          </w:p>
        </w:tc>
        <w:tc>
          <w:tcPr>
            <w:tcW w:w="2971" w:type="dxa"/>
            <w:gridSpan w:val="2"/>
            <w:tcBorders>
              <w:bottom w:val="single" w:sz="4" w:space="0" w:color="BCBEC0"/>
            </w:tcBorders>
          </w:tcPr>
          <w:p w14:paraId="0152B6A9" w14:textId="77777777" w:rsidR="000411F6" w:rsidRPr="00B438C3" w:rsidRDefault="000411F6" w:rsidP="006D75C8">
            <w:pPr>
              <w:pStyle w:val="TableText"/>
              <w:keepNext/>
              <w:rPr>
                <w:rFonts w:cs="Arial"/>
                <w:b/>
              </w:rPr>
            </w:pPr>
            <w:r w:rsidRPr="00B438C3">
              <w:rPr>
                <w:rFonts w:cs="Arial"/>
                <w:b/>
              </w:rPr>
              <w:t>Plan and Prioritise</w:t>
            </w:r>
          </w:p>
          <w:p w14:paraId="5D361908" w14:textId="77777777" w:rsidR="002D336D" w:rsidRPr="00B438C3" w:rsidRDefault="000411F6" w:rsidP="006D75C8">
            <w:pPr>
              <w:pStyle w:val="TableText"/>
              <w:keepNext/>
              <w:rPr>
                <w:rFonts w:cs="Arial"/>
                <w:b/>
              </w:rPr>
            </w:pPr>
            <w:r w:rsidRPr="00B438C3">
              <w:rPr>
                <w:rFonts w:cs="Arial"/>
              </w:rPr>
              <w:t>Plan to achieve priority outcomes and respond flexibly to changing circumstances</w:t>
            </w:r>
          </w:p>
        </w:tc>
        <w:tc>
          <w:tcPr>
            <w:tcW w:w="4770" w:type="dxa"/>
            <w:tcBorders>
              <w:bottom w:val="single" w:sz="4" w:space="0" w:color="BCBEC0"/>
            </w:tcBorders>
          </w:tcPr>
          <w:p w14:paraId="7F6B251D" w14:textId="77777777" w:rsidR="002D336D" w:rsidRPr="00B438C3" w:rsidRDefault="002D336D" w:rsidP="006D75C8">
            <w:pPr>
              <w:pStyle w:val="TableBullet"/>
              <w:numPr>
                <w:ilvl w:val="0"/>
                <w:numId w:val="0"/>
              </w:numPr>
              <w:ind w:left="360"/>
              <w:rPr>
                <w:rFonts w:cs="Arial"/>
              </w:rPr>
            </w:pPr>
          </w:p>
          <w:p w14:paraId="4C7BD3B4" w14:textId="77777777" w:rsidR="002D336D" w:rsidRPr="00B438C3" w:rsidRDefault="002D336D" w:rsidP="006D75C8">
            <w:pPr>
              <w:pStyle w:val="TableBullet"/>
              <w:rPr>
                <w:rFonts w:cs="Arial"/>
              </w:rPr>
            </w:pPr>
            <w:r w:rsidRPr="00B438C3">
              <w:rPr>
                <w:rFonts w:cs="Arial"/>
              </w:rPr>
              <w:t>Understand the links between the business unit, organisation and the whole-of-government agenda</w:t>
            </w:r>
          </w:p>
          <w:p w14:paraId="45757822" w14:textId="77777777" w:rsidR="002D336D" w:rsidRPr="00B438C3" w:rsidRDefault="002D336D" w:rsidP="006D75C8">
            <w:pPr>
              <w:pStyle w:val="TableBullet"/>
              <w:rPr>
                <w:rFonts w:cs="Arial"/>
              </w:rPr>
            </w:pPr>
            <w:r w:rsidRPr="00B438C3">
              <w:rPr>
                <w:rFonts w:cs="Arial"/>
              </w:rPr>
              <w:t>Ensure business plan goals are clear and appropriate and include contingency provisions</w:t>
            </w:r>
          </w:p>
          <w:p w14:paraId="468E7EBA" w14:textId="77777777" w:rsidR="002D336D" w:rsidRPr="00B438C3" w:rsidRDefault="002D336D" w:rsidP="006D75C8">
            <w:pPr>
              <w:pStyle w:val="TableBullet"/>
              <w:rPr>
                <w:rFonts w:cs="Arial"/>
              </w:rPr>
            </w:pPr>
            <w:r w:rsidRPr="00B438C3">
              <w:rPr>
                <w:rFonts w:cs="Arial"/>
              </w:rPr>
              <w:t>Monitor the progress of initiatives and make necessary adjustments</w:t>
            </w:r>
          </w:p>
          <w:p w14:paraId="63A07F42" w14:textId="77777777" w:rsidR="002D336D" w:rsidRPr="00B438C3" w:rsidRDefault="002D336D" w:rsidP="006D75C8">
            <w:pPr>
              <w:pStyle w:val="TableBullet"/>
              <w:rPr>
                <w:rFonts w:cs="Arial"/>
              </w:rPr>
            </w:pPr>
            <w:r w:rsidRPr="00B438C3">
              <w:rPr>
                <w:rFonts w:cs="Arial"/>
              </w:rPr>
              <w:t>Anticipate and assess the impact of changes, including government policy and economic conditions, on business plans and initiatives and respond appropriately</w:t>
            </w:r>
          </w:p>
          <w:p w14:paraId="1F3EF114" w14:textId="77777777" w:rsidR="002D336D" w:rsidRPr="00B438C3" w:rsidRDefault="002D336D" w:rsidP="006D75C8">
            <w:pPr>
              <w:pStyle w:val="TableBullet"/>
              <w:rPr>
                <w:rFonts w:cs="Arial"/>
              </w:rPr>
            </w:pPr>
            <w:r w:rsidRPr="00B438C3">
              <w:rPr>
                <w:rFonts w:cs="Arial"/>
              </w:rPr>
              <w:t>Consider the implications of a wide range of complex issues and shift business priorities when necessary</w:t>
            </w:r>
          </w:p>
          <w:p w14:paraId="4CB34789" w14:textId="77777777" w:rsidR="002D336D" w:rsidRPr="00B438C3" w:rsidRDefault="002D336D" w:rsidP="006D75C8">
            <w:pPr>
              <w:pStyle w:val="TableBullet"/>
              <w:rPr>
                <w:rFonts w:cs="Arial"/>
              </w:rPr>
            </w:pPr>
            <w:r w:rsidRPr="00B438C3">
              <w:rPr>
                <w:rFonts w:cs="Arial"/>
              </w:rPr>
              <w:t>Undertake planning to help the organisation transition through change initiatives, and evaluate progress and outcomes to inform future planning</w:t>
            </w:r>
          </w:p>
        </w:tc>
        <w:tc>
          <w:tcPr>
            <w:tcW w:w="1606" w:type="dxa"/>
            <w:tcBorders>
              <w:bottom w:val="single" w:sz="4" w:space="0" w:color="BCBEC0"/>
            </w:tcBorders>
          </w:tcPr>
          <w:p w14:paraId="14CC2040" w14:textId="77777777" w:rsidR="002D336D" w:rsidRPr="00B438C3" w:rsidRDefault="007C0486" w:rsidP="006D75C8">
            <w:pPr>
              <w:pStyle w:val="TableBullet"/>
              <w:numPr>
                <w:ilvl w:val="0"/>
                <w:numId w:val="0"/>
              </w:numPr>
              <w:jc w:val="both"/>
              <w:rPr>
                <w:rFonts w:cs="Arial"/>
              </w:rPr>
            </w:pPr>
            <w:r w:rsidRPr="00B438C3">
              <w:rPr>
                <w:rFonts w:cs="Arial"/>
              </w:rPr>
              <w:t>Advanced</w:t>
            </w:r>
          </w:p>
        </w:tc>
      </w:tr>
      <w:tr w:rsidR="002D336D" w:rsidRPr="00B438C3" w14:paraId="6DD91D58" w14:textId="77777777" w:rsidTr="006D75C8">
        <w:tc>
          <w:tcPr>
            <w:tcW w:w="1406" w:type="dxa"/>
            <w:vMerge w:val="restart"/>
            <w:tcBorders>
              <w:bottom w:val="single" w:sz="4" w:space="0" w:color="BCBEC0"/>
            </w:tcBorders>
          </w:tcPr>
          <w:p w14:paraId="28147F67" w14:textId="77777777" w:rsidR="002D336D" w:rsidRPr="00B438C3" w:rsidRDefault="002D336D" w:rsidP="006D75C8">
            <w:pPr>
              <w:keepNext/>
              <w:rPr>
                <w:rFonts w:cs="Arial"/>
              </w:rPr>
            </w:pPr>
            <w:r w:rsidRPr="00B438C3">
              <w:rPr>
                <w:rFonts w:cs="Arial"/>
                <w:noProof/>
                <w:lang w:eastAsia="en-AU"/>
              </w:rPr>
              <w:drawing>
                <wp:inline distT="0" distB="0" distL="0" distR="0" wp14:anchorId="4F6E3B83" wp14:editId="52EDED0D">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35684931" w14:textId="77777777" w:rsidR="002D336D" w:rsidRPr="00B438C3" w:rsidRDefault="002D336D" w:rsidP="006D75C8">
            <w:pPr>
              <w:pStyle w:val="TableText"/>
              <w:keepNext/>
              <w:rPr>
                <w:rFonts w:cs="Arial"/>
                <w:b/>
              </w:rPr>
            </w:pPr>
            <w:r w:rsidRPr="00B438C3">
              <w:rPr>
                <w:rFonts w:cs="Arial"/>
                <w:b/>
              </w:rPr>
              <w:t>Finance</w:t>
            </w:r>
          </w:p>
          <w:p w14:paraId="7CCCAE2B" w14:textId="77777777" w:rsidR="002D336D" w:rsidRPr="00B438C3" w:rsidRDefault="002D336D" w:rsidP="006D75C8">
            <w:pPr>
              <w:pStyle w:val="TableText"/>
              <w:keepNext/>
              <w:rPr>
                <w:rFonts w:cs="Arial"/>
              </w:rPr>
            </w:pPr>
            <w:r w:rsidRPr="00B438C3">
              <w:rPr>
                <w:rFonts w:cs="Arial"/>
              </w:rPr>
              <w:t>Understand and apply financial processes to achieve value for money and minimise financial risk</w:t>
            </w:r>
          </w:p>
        </w:tc>
        <w:tc>
          <w:tcPr>
            <w:tcW w:w="4770" w:type="dxa"/>
            <w:tcBorders>
              <w:bottom w:val="single" w:sz="4" w:space="0" w:color="BCBEC0"/>
            </w:tcBorders>
          </w:tcPr>
          <w:p w14:paraId="5342B1DD" w14:textId="77777777" w:rsidR="002D336D" w:rsidRPr="00B438C3" w:rsidRDefault="002D336D" w:rsidP="006D75C8">
            <w:pPr>
              <w:pStyle w:val="TableBullet"/>
              <w:rPr>
                <w:rFonts w:cs="Arial"/>
              </w:rPr>
            </w:pPr>
            <w:r w:rsidRPr="00B438C3">
              <w:rPr>
                <w:rFonts w:cs="Arial"/>
              </w:rPr>
              <w:t>Advocate for committed outcomes to be considered in decision making for project prioritisation and resourcing decisions</w:t>
            </w:r>
          </w:p>
          <w:p w14:paraId="40AE4A12" w14:textId="77777777" w:rsidR="002D336D" w:rsidRPr="00B438C3" w:rsidRDefault="002D336D" w:rsidP="006D75C8">
            <w:pPr>
              <w:pStyle w:val="TableBullet"/>
              <w:rPr>
                <w:rFonts w:cs="Arial"/>
              </w:rPr>
            </w:pPr>
            <w:r w:rsidRPr="00B438C3">
              <w:rPr>
                <w:rFonts w:cs="Arial"/>
              </w:rPr>
              <w:t>Define organisational directions and set priorities and business plans, referring to key financial indicators and non-financial committed outcomes</w:t>
            </w:r>
          </w:p>
          <w:p w14:paraId="795C65C2" w14:textId="77777777" w:rsidR="002D336D" w:rsidRPr="00B438C3" w:rsidRDefault="002D336D" w:rsidP="006D75C8">
            <w:pPr>
              <w:pStyle w:val="TableBullet"/>
              <w:rPr>
                <w:rFonts w:cs="Arial"/>
              </w:rPr>
            </w:pPr>
            <w:r w:rsidRPr="00B438C3">
              <w:rPr>
                <w:rFonts w:cs="Arial"/>
              </w:rPr>
              <w:t>Anticipate operational and capital needs, and identify the most appropriate financing and funding strategies to meet them</w:t>
            </w:r>
          </w:p>
          <w:p w14:paraId="68B8BFC8" w14:textId="77777777" w:rsidR="002D336D" w:rsidRPr="00B438C3" w:rsidRDefault="002D336D" w:rsidP="006D75C8">
            <w:pPr>
              <w:pStyle w:val="TableBullet"/>
              <w:rPr>
                <w:rFonts w:cs="Arial"/>
              </w:rPr>
            </w:pPr>
            <w:r w:rsidRPr="00B438C3">
              <w:rPr>
                <w:rFonts w:cs="Arial"/>
              </w:rPr>
              <w:t xml:space="preserve">Ensure that the organisation informs strategic </w:t>
            </w:r>
            <w:r w:rsidRPr="00B438C3">
              <w:rPr>
                <w:rFonts w:cs="Arial"/>
              </w:rPr>
              <w:lastRenderedPageBreak/>
              <w:t>decisions with appropriate advice from finance and risk professionals</w:t>
            </w:r>
          </w:p>
          <w:p w14:paraId="12A242B0" w14:textId="77777777" w:rsidR="002D336D" w:rsidRPr="00B438C3" w:rsidRDefault="002D336D" w:rsidP="006D75C8">
            <w:pPr>
              <w:pStyle w:val="TableBullet"/>
              <w:rPr>
                <w:rFonts w:cs="Arial"/>
              </w:rPr>
            </w:pPr>
            <w:r w:rsidRPr="00B438C3">
              <w:rPr>
                <w:rFonts w:cs="Arial"/>
              </w:rPr>
              <w:t>Establish effective governance to ensure that financial resources are used ethically and prudently across the organisation</w:t>
            </w:r>
          </w:p>
        </w:tc>
        <w:tc>
          <w:tcPr>
            <w:tcW w:w="1606" w:type="dxa"/>
            <w:tcBorders>
              <w:bottom w:val="single" w:sz="4" w:space="0" w:color="BCBEC0"/>
            </w:tcBorders>
          </w:tcPr>
          <w:p w14:paraId="75E5040B" w14:textId="77777777" w:rsidR="002D336D" w:rsidRPr="00B438C3" w:rsidRDefault="00F15669" w:rsidP="006D75C8">
            <w:pPr>
              <w:pStyle w:val="TableBullet"/>
              <w:numPr>
                <w:ilvl w:val="0"/>
                <w:numId w:val="0"/>
              </w:numPr>
              <w:jc w:val="both"/>
              <w:rPr>
                <w:rFonts w:cs="Arial"/>
              </w:rPr>
            </w:pPr>
            <w:r w:rsidRPr="00B438C3">
              <w:rPr>
                <w:rFonts w:cs="Arial"/>
              </w:rPr>
              <w:lastRenderedPageBreak/>
              <w:t>Highly Advanced</w:t>
            </w:r>
          </w:p>
        </w:tc>
      </w:tr>
      <w:tr w:rsidR="002D336D" w:rsidRPr="00B438C3" w14:paraId="01105F14" w14:textId="77777777" w:rsidTr="006D75C8">
        <w:tc>
          <w:tcPr>
            <w:tcW w:w="1406" w:type="dxa"/>
            <w:vMerge/>
            <w:tcBorders>
              <w:bottom w:val="single" w:sz="4" w:space="0" w:color="BCBEC0"/>
            </w:tcBorders>
          </w:tcPr>
          <w:p w14:paraId="3D47A2D8" w14:textId="77777777" w:rsidR="002D336D" w:rsidRPr="00B438C3" w:rsidRDefault="002D336D" w:rsidP="006D75C8">
            <w:pPr>
              <w:keepNext/>
              <w:rPr>
                <w:rFonts w:cs="Arial"/>
                <w:noProof/>
                <w:lang w:eastAsia="en-AU"/>
              </w:rPr>
            </w:pPr>
          </w:p>
        </w:tc>
        <w:tc>
          <w:tcPr>
            <w:tcW w:w="2971" w:type="dxa"/>
            <w:gridSpan w:val="2"/>
            <w:tcBorders>
              <w:bottom w:val="single" w:sz="4" w:space="0" w:color="BCBEC0"/>
            </w:tcBorders>
          </w:tcPr>
          <w:p w14:paraId="003F0546" w14:textId="77777777" w:rsidR="000411F6" w:rsidRPr="00B438C3" w:rsidRDefault="000411F6" w:rsidP="006D75C8">
            <w:pPr>
              <w:pStyle w:val="TableText"/>
              <w:keepNext/>
              <w:rPr>
                <w:rFonts w:cs="Arial"/>
                <w:b/>
              </w:rPr>
            </w:pPr>
            <w:r w:rsidRPr="00B438C3">
              <w:rPr>
                <w:rFonts w:cs="Arial"/>
                <w:b/>
              </w:rPr>
              <w:t>Technology</w:t>
            </w:r>
          </w:p>
          <w:p w14:paraId="0CBA08E1" w14:textId="77777777" w:rsidR="002D336D" w:rsidRPr="00B438C3" w:rsidRDefault="000411F6" w:rsidP="006D75C8">
            <w:pPr>
              <w:pStyle w:val="TableText"/>
              <w:keepNext/>
              <w:rPr>
                <w:rFonts w:cs="Arial"/>
                <w:b/>
              </w:rPr>
            </w:pPr>
            <w:r w:rsidRPr="00B438C3">
              <w:rPr>
                <w:rFonts w:cs="Arial"/>
              </w:rPr>
              <w:t>Understand and use available technologies to maximise efficiencies and effectiveness</w:t>
            </w:r>
          </w:p>
        </w:tc>
        <w:tc>
          <w:tcPr>
            <w:tcW w:w="4770" w:type="dxa"/>
            <w:tcBorders>
              <w:bottom w:val="single" w:sz="4" w:space="0" w:color="BCBEC0"/>
            </w:tcBorders>
          </w:tcPr>
          <w:p w14:paraId="57F346ED" w14:textId="77777777" w:rsidR="002D336D" w:rsidRPr="00B438C3" w:rsidRDefault="002D336D" w:rsidP="006D75C8">
            <w:pPr>
              <w:pStyle w:val="TableBullet"/>
              <w:numPr>
                <w:ilvl w:val="0"/>
                <w:numId w:val="0"/>
              </w:numPr>
              <w:ind w:left="360"/>
              <w:rPr>
                <w:rFonts w:cs="Arial"/>
              </w:rPr>
            </w:pPr>
          </w:p>
          <w:p w14:paraId="2AF4DA3D" w14:textId="77777777" w:rsidR="002D336D" w:rsidRPr="00B438C3" w:rsidRDefault="002D336D" w:rsidP="006D75C8">
            <w:pPr>
              <w:pStyle w:val="TableBullet"/>
              <w:rPr>
                <w:rFonts w:cs="Arial"/>
              </w:rPr>
            </w:pPr>
            <w:r w:rsidRPr="00B438C3">
              <w:rPr>
                <w:rFonts w:cs="Arial"/>
              </w:rPr>
              <w:t>Champion the use of innovative technologies in the workplace</w:t>
            </w:r>
          </w:p>
          <w:p w14:paraId="0E653326" w14:textId="77777777" w:rsidR="002D336D" w:rsidRPr="00B438C3" w:rsidRDefault="002D336D" w:rsidP="006D75C8">
            <w:pPr>
              <w:pStyle w:val="TableBullet"/>
              <w:rPr>
                <w:rFonts w:cs="Arial"/>
              </w:rPr>
            </w:pPr>
            <w:r w:rsidRPr="00B438C3">
              <w:rPr>
                <w:rFonts w:cs="Arial"/>
              </w:rPr>
              <w:t>Actively manage risk to ensure compliance with cyber security and acceptable use of technology policies</w:t>
            </w:r>
          </w:p>
          <w:p w14:paraId="5B67FC3D" w14:textId="77777777" w:rsidR="002D336D" w:rsidRPr="00B438C3" w:rsidRDefault="002D336D" w:rsidP="006D75C8">
            <w:pPr>
              <w:pStyle w:val="TableBullet"/>
              <w:rPr>
                <w:rFonts w:cs="Arial"/>
              </w:rPr>
            </w:pPr>
            <w:r w:rsidRPr="00B438C3">
              <w:rPr>
                <w:rFonts w:cs="Arial"/>
              </w:rPr>
              <w:t>Keep up to date with emerging technologies and technology trends to understand how their application can support business outcomes</w:t>
            </w:r>
          </w:p>
          <w:p w14:paraId="3F449C48" w14:textId="77777777" w:rsidR="002D336D" w:rsidRPr="00B438C3" w:rsidRDefault="002D336D" w:rsidP="006D75C8">
            <w:pPr>
              <w:pStyle w:val="TableBullet"/>
              <w:rPr>
                <w:rFonts w:cs="Arial"/>
              </w:rPr>
            </w:pPr>
            <w:r w:rsidRPr="00B438C3">
              <w:rPr>
                <w:rFonts w:cs="Arial"/>
              </w:rPr>
              <w:t>Seek advice from appropriate subject-matter experts on using technologies to achieve business strategies and outcomes</w:t>
            </w:r>
          </w:p>
          <w:p w14:paraId="462C541E" w14:textId="77777777" w:rsidR="002D336D" w:rsidRPr="00B438C3" w:rsidRDefault="002D336D" w:rsidP="006D75C8">
            <w:pPr>
              <w:pStyle w:val="TableBullet"/>
              <w:rPr>
                <w:rFonts w:cs="Arial"/>
              </w:rPr>
            </w:pPr>
            <w:r w:rsidRPr="00B438C3">
              <w:rPr>
                <w:rFonts w:cs="Arial"/>
              </w:rPr>
              <w:t>Actively manage risk of breaches to appropriate records, information and knowledge management systems, protocols and policies</w:t>
            </w:r>
          </w:p>
        </w:tc>
        <w:tc>
          <w:tcPr>
            <w:tcW w:w="1606" w:type="dxa"/>
            <w:tcBorders>
              <w:bottom w:val="single" w:sz="4" w:space="0" w:color="BCBEC0"/>
            </w:tcBorders>
          </w:tcPr>
          <w:p w14:paraId="2DA3D432" w14:textId="77777777" w:rsidR="002D336D" w:rsidRPr="00B438C3" w:rsidRDefault="007C0486" w:rsidP="006D75C8">
            <w:pPr>
              <w:pStyle w:val="TableBullet"/>
              <w:numPr>
                <w:ilvl w:val="0"/>
                <w:numId w:val="0"/>
              </w:numPr>
              <w:jc w:val="both"/>
              <w:rPr>
                <w:rFonts w:cs="Arial"/>
              </w:rPr>
            </w:pPr>
            <w:r w:rsidRPr="00B438C3">
              <w:rPr>
                <w:rFonts w:cs="Arial"/>
              </w:rPr>
              <w:t>Advanced</w:t>
            </w:r>
          </w:p>
        </w:tc>
      </w:tr>
      <w:tr w:rsidR="002D336D" w:rsidRPr="00B438C3" w14:paraId="455A6FFB" w14:textId="77777777" w:rsidTr="006D75C8">
        <w:tc>
          <w:tcPr>
            <w:tcW w:w="1406" w:type="dxa"/>
            <w:vMerge/>
            <w:tcBorders>
              <w:bottom w:val="single" w:sz="4" w:space="0" w:color="BCBEC0"/>
            </w:tcBorders>
          </w:tcPr>
          <w:p w14:paraId="6C1C3EBB" w14:textId="77777777" w:rsidR="002D336D" w:rsidRPr="00B438C3" w:rsidRDefault="002D336D" w:rsidP="006D75C8">
            <w:pPr>
              <w:keepNext/>
              <w:rPr>
                <w:rFonts w:cs="Arial"/>
                <w:noProof/>
                <w:lang w:eastAsia="en-AU"/>
              </w:rPr>
            </w:pPr>
          </w:p>
        </w:tc>
        <w:tc>
          <w:tcPr>
            <w:tcW w:w="2971" w:type="dxa"/>
            <w:gridSpan w:val="2"/>
            <w:tcBorders>
              <w:bottom w:val="single" w:sz="4" w:space="0" w:color="BCBEC0"/>
            </w:tcBorders>
          </w:tcPr>
          <w:p w14:paraId="129F7C2E" w14:textId="77777777" w:rsidR="000411F6" w:rsidRPr="00B438C3" w:rsidRDefault="000411F6" w:rsidP="006D75C8">
            <w:pPr>
              <w:pStyle w:val="TableText"/>
              <w:keepNext/>
              <w:rPr>
                <w:rFonts w:cs="Arial"/>
                <w:b/>
              </w:rPr>
            </w:pPr>
            <w:r w:rsidRPr="00B438C3">
              <w:rPr>
                <w:rFonts w:cs="Arial"/>
                <w:b/>
              </w:rPr>
              <w:t>Project Management</w:t>
            </w:r>
          </w:p>
          <w:p w14:paraId="0B6BB37A" w14:textId="77777777" w:rsidR="002D336D" w:rsidRPr="00B438C3" w:rsidRDefault="000411F6" w:rsidP="006D75C8">
            <w:pPr>
              <w:pStyle w:val="TableText"/>
              <w:keepNext/>
              <w:rPr>
                <w:rFonts w:cs="Arial"/>
                <w:b/>
              </w:rPr>
            </w:pPr>
            <w:r w:rsidRPr="00B438C3">
              <w:rPr>
                <w:rFonts w:cs="Arial"/>
              </w:rPr>
              <w:t>Understand and apply effective planning, coordination and control methods</w:t>
            </w:r>
          </w:p>
        </w:tc>
        <w:tc>
          <w:tcPr>
            <w:tcW w:w="4770" w:type="dxa"/>
            <w:tcBorders>
              <w:bottom w:val="single" w:sz="4" w:space="0" w:color="BCBEC0"/>
            </w:tcBorders>
          </w:tcPr>
          <w:p w14:paraId="3DD0FCBA" w14:textId="77777777" w:rsidR="002D336D" w:rsidRPr="00B438C3" w:rsidRDefault="002D336D" w:rsidP="006D75C8">
            <w:pPr>
              <w:pStyle w:val="TableBullet"/>
              <w:numPr>
                <w:ilvl w:val="0"/>
                <w:numId w:val="0"/>
              </w:numPr>
              <w:ind w:left="360"/>
              <w:rPr>
                <w:rFonts w:cs="Arial"/>
              </w:rPr>
            </w:pPr>
          </w:p>
          <w:p w14:paraId="157C4842" w14:textId="77777777" w:rsidR="002D336D" w:rsidRPr="00B438C3" w:rsidRDefault="002D336D" w:rsidP="006D75C8">
            <w:pPr>
              <w:pStyle w:val="TableBullet"/>
              <w:rPr>
                <w:rFonts w:cs="Arial"/>
              </w:rPr>
            </w:pPr>
            <w:r w:rsidRPr="00B438C3">
              <w:rPr>
                <w:rFonts w:cs="Arial"/>
              </w:rPr>
              <w:t>Prepare and review project scope and business cases for projects with multiple interdependencies</w:t>
            </w:r>
          </w:p>
          <w:p w14:paraId="5BECD9E7" w14:textId="77777777" w:rsidR="002D336D" w:rsidRPr="00B438C3" w:rsidRDefault="002D336D" w:rsidP="006D75C8">
            <w:pPr>
              <w:pStyle w:val="TableBullet"/>
              <w:rPr>
                <w:rFonts w:cs="Arial"/>
              </w:rPr>
            </w:pPr>
            <w:r w:rsidRPr="00B438C3">
              <w:rPr>
                <w:rFonts w:cs="Arial"/>
              </w:rPr>
              <w:t>Access key subject-matter experts’ knowledge to inform project plans and directions</w:t>
            </w:r>
          </w:p>
          <w:p w14:paraId="2870492A" w14:textId="77777777" w:rsidR="002D336D" w:rsidRPr="00B438C3" w:rsidRDefault="002D336D" w:rsidP="006D75C8">
            <w:pPr>
              <w:pStyle w:val="TableBullet"/>
              <w:rPr>
                <w:rFonts w:cs="Arial"/>
              </w:rPr>
            </w:pPr>
            <w:r w:rsidRPr="00B438C3">
              <w:rPr>
                <w:rFonts w:cs="Arial"/>
              </w:rPr>
              <w:t>Design and implement effective stakeholder engagement and communications strategies for all project stages</w:t>
            </w:r>
          </w:p>
          <w:p w14:paraId="76B3865A" w14:textId="77777777" w:rsidR="002D336D" w:rsidRPr="00B438C3" w:rsidRDefault="002D336D" w:rsidP="006D75C8">
            <w:pPr>
              <w:pStyle w:val="TableBullet"/>
              <w:rPr>
                <w:rFonts w:cs="Arial"/>
              </w:rPr>
            </w:pPr>
            <w:r w:rsidRPr="00B438C3">
              <w:rPr>
                <w:rFonts w:cs="Arial"/>
              </w:rPr>
              <w:t>Monitor project completion and implement effective and rigorous project evaluation methodologies to inform future planning</w:t>
            </w:r>
          </w:p>
          <w:p w14:paraId="60363071" w14:textId="77777777" w:rsidR="002D336D" w:rsidRPr="00B438C3" w:rsidRDefault="002D336D" w:rsidP="006D75C8">
            <w:pPr>
              <w:pStyle w:val="TableBullet"/>
              <w:rPr>
                <w:rFonts w:cs="Arial"/>
              </w:rPr>
            </w:pPr>
            <w:r w:rsidRPr="00B438C3">
              <w:rPr>
                <w:rFonts w:cs="Arial"/>
              </w:rPr>
              <w:t>Develop effective strategies to remedy variances from project plans and minimise impact</w:t>
            </w:r>
          </w:p>
          <w:p w14:paraId="19ED41BC" w14:textId="77777777" w:rsidR="002D336D" w:rsidRPr="00B438C3" w:rsidRDefault="002D336D" w:rsidP="006D75C8">
            <w:pPr>
              <w:pStyle w:val="TableBullet"/>
              <w:rPr>
                <w:rFonts w:cs="Arial"/>
              </w:rPr>
            </w:pPr>
            <w:r w:rsidRPr="00B438C3">
              <w:rPr>
                <w:rFonts w:cs="Arial"/>
              </w:rPr>
              <w:t>Manage transitions between project stages and ensure that changes are consistent with organisational goals</w:t>
            </w:r>
          </w:p>
          <w:p w14:paraId="3DFF853D" w14:textId="77777777" w:rsidR="002D336D" w:rsidRPr="00B438C3" w:rsidRDefault="002D336D" w:rsidP="006D75C8">
            <w:pPr>
              <w:pStyle w:val="TableBullet"/>
              <w:rPr>
                <w:rFonts w:cs="Arial"/>
              </w:rPr>
            </w:pPr>
            <w:r w:rsidRPr="00B438C3">
              <w:rPr>
                <w:rFonts w:cs="Arial"/>
              </w:rPr>
              <w:t>Participate in governance processes such as project steering groups</w:t>
            </w:r>
          </w:p>
        </w:tc>
        <w:tc>
          <w:tcPr>
            <w:tcW w:w="1606" w:type="dxa"/>
            <w:tcBorders>
              <w:bottom w:val="single" w:sz="4" w:space="0" w:color="BCBEC0"/>
            </w:tcBorders>
          </w:tcPr>
          <w:p w14:paraId="0EA75AFE" w14:textId="77777777" w:rsidR="002D336D" w:rsidRPr="00B438C3" w:rsidRDefault="007C0486" w:rsidP="006D75C8">
            <w:pPr>
              <w:pStyle w:val="TableBullet"/>
              <w:numPr>
                <w:ilvl w:val="0"/>
                <w:numId w:val="0"/>
              </w:numPr>
              <w:jc w:val="both"/>
              <w:rPr>
                <w:rFonts w:cs="Arial"/>
              </w:rPr>
            </w:pPr>
            <w:r w:rsidRPr="00B438C3">
              <w:rPr>
                <w:rFonts w:cs="Arial"/>
              </w:rPr>
              <w:t>Advanced</w:t>
            </w:r>
          </w:p>
        </w:tc>
      </w:tr>
      <w:tr w:rsidR="002D336D" w:rsidRPr="00B438C3" w14:paraId="658A8CBB" w14:textId="77777777" w:rsidTr="006D75C8">
        <w:tc>
          <w:tcPr>
            <w:tcW w:w="1406" w:type="dxa"/>
            <w:vMerge w:val="restart"/>
            <w:tcBorders>
              <w:bottom w:val="single" w:sz="4" w:space="0" w:color="BCBEC0"/>
            </w:tcBorders>
          </w:tcPr>
          <w:p w14:paraId="3986C261" w14:textId="77777777" w:rsidR="002D336D" w:rsidRPr="00B438C3" w:rsidRDefault="002D336D" w:rsidP="006D75C8">
            <w:pPr>
              <w:keepNext/>
              <w:rPr>
                <w:rFonts w:cs="Arial"/>
              </w:rPr>
            </w:pPr>
            <w:r w:rsidRPr="00B438C3">
              <w:rPr>
                <w:rFonts w:cs="Arial"/>
                <w:noProof/>
                <w:lang w:eastAsia="en-AU"/>
              </w:rPr>
              <w:drawing>
                <wp:inline distT="0" distB="0" distL="0" distR="0" wp14:anchorId="0CABEB1C" wp14:editId="3A674D6A">
                  <wp:extent cx="847725" cy="847725"/>
                  <wp:effectExtent l="0" t="0" r="9525" b="9525"/>
                  <wp:docPr id="8"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1DBE70C" w14:textId="77777777" w:rsidR="002D336D" w:rsidRPr="00B438C3" w:rsidRDefault="002D336D" w:rsidP="006D75C8">
            <w:pPr>
              <w:pStyle w:val="TableText"/>
              <w:keepNext/>
              <w:rPr>
                <w:rFonts w:cs="Arial"/>
                <w:b/>
              </w:rPr>
            </w:pPr>
            <w:r w:rsidRPr="00B438C3">
              <w:rPr>
                <w:rFonts w:cs="Arial"/>
                <w:b/>
              </w:rPr>
              <w:t>Inspire Direction and Purpose</w:t>
            </w:r>
          </w:p>
          <w:p w14:paraId="6C3B68BC" w14:textId="77777777" w:rsidR="002D336D" w:rsidRPr="00B438C3" w:rsidRDefault="002D336D" w:rsidP="006D75C8">
            <w:pPr>
              <w:pStyle w:val="TableText"/>
              <w:keepNext/>
              <w:rPr>
                <w:rFonts w:cs="Arial"/>
              </w:rPr>
            </w:pPr>
            <w:r w:rsidRPr="00B438C3">
              <w:rPr>
                <w:rFonts w:cs="Arial"/>
              </w:rPr>
              <w:t>Communicate goals, priorities and vision, and recognise achievements</w:t>
            </w:r>
          </w:p>
        </w:tc>
        <w:tc>
          <w:tcPr>
            <w:tcW w:w="4770" w:type="dxa"/>
            <w:tcBorders>
              <w:bottom w:val="single" w:sz="4" w:space="0" w:color="BCBEC0"/>
            </w:tcBorders>
          </w:tcPr>
          <w:p w14:paraId="3E2DE90A" w14:textId="77777777" w:rsidR="002D336D" w:rsidRPr="00B438C3" w:rsidRDefault="002D336D" w:rsidP="006D75C8">
            <w:pPr>
              <w:pStyle w:val="TableBullet"/>
              <w:rPr>
                <w:rFonts w:cs="Arial"/>
              </w:rPr>
            </w:pPr>
            <w:r w:rsidRPr="00B438C3">
              <w:rPr>
                <w:rFonts w:cs="Arial"/>
              </w:rPr>
              <w:t>Champion the organisational vision and strategy, and communicate the way forward</w:t>
            </w:r>
          </w:p>
          <w:p w14:paraId="0251EF0A" w14:textId="77777777" w:rsidR="002D336D" w:rsidRPr="00B438C3" w:rsidRDefault="002D336D" w:rsidP="006D75C8">
            <w:pPr>
              <w:pStyle w:val="TableBullet"/>
              <w:rPr>
                <w:rFonts w:cs="Arial"/>
              </w:rPr>
            </w:pPr>
            <w:r w:rsidRPr="00B438C3">
              <w:rPr>
                <w:rFonts w:cs="Arial"/>
              </w:rPr>
              <w:t>Create a culture of confidence and trust in the future direction</w:t>
            </w:r>
          </w:p>
          <w:p w14:paraId="1C4C1446" w14:textId="77777777" w:rsidR="002D336D" w:rsidRPr="00B438C3" w:rsidRDefault="002D336D" w:rsidP="006D75C8">
            <w:pPr>
              <w:pStyle w:val="TableBullet"/>
              <w:rPr>
                <w:rFonts w:cs="Arial"/>
              </w:rPr>
            </w:pPr>
            <w:r w:rsidRPr="00B438C3">
              <w:rPr>
                <w:rFonts w:cs="Arial"/>
              </w:rPr>
              <w:t>Generate enthusiasm and commitment to goals and cascade understanding throughout the organisation</w:t>
            </w:r>
          </w:p>
          <w:p w14:paraId="2DB27968" w14:textId="77777777" w:rsidR="002D336D" w:rsidRPr="00B438C3" w:rsidRDefault="002D336D" w:rsidP="006D75C8">
            <w:pPr>
              <w:pStyle w:val="TableBullet"/>
              <w:rPr>
                <w:rFonts w:cs="Arial"/>
              </w:rPr>
            </w:pPr>
            <w:r w:rsidRPr="00B438C3">
              <w:rPr>
                <w:rFonts w:cs="Arial"/>
              </w:rPr>
              <w:t>Communicate the parameters and expectations surrounding organisational strategies</w:t>
            </w:r>
          </w:p>
          <w:p w14:paraId="32E84933" w14:textId="77777777" w:rsidR="002D336D" w:rsidRPr="00B438C3" w:rsidRDefault="002D336D" w:rsidP="006D75C8">
            <w:pPr>
              <w:pStyle w:val="TableBullet"/>
              <w:rPr>
                <w:rFonts w:cs="Arial"/>
              </w:rPr>
            </w:pPr>
            <w:r w:rsidRPr="00B438C3">
              <w:rPr>
                <w:rFonts w:cs="Arial"/>
              </w:rPr>
              <w:t xml:space="preserve">Celebrate organisational success and high performance, and engage in activities to </w:t>
            </w:r>
            <w:r w:rsidRPr="00B438C3">
              <w:rPr>
                <w:rFonts w:cs="Arial"/>
              </w:rPr>
              <w:lastRenderedPageBreak/>
              <w:t>maintain morale</w:t>
            </w:r>
          </w:p>
        </w:tc>
        <w:tc>
          <w:tcPr>
            <w:tcW w:w="1606" w:type="dxa"/>
            <w:tcBorders>
              <w:bottom w:val="single" w:sz="4" w:space="0" w:color="BCBEC0"/>
            </w:tcBorders>
          </w:tcPr>
          <w:p w14:paraId="144CE8C5" w14:textId="77777777" w:rsidR="002D336D" w:rsidRPr="00B438C3" w:rsidRDefault="00F15669" w:rsidP="006D75C8">
            <w:pPr>
              <w:pStyle w:val="TableBullet"/>
              <w:numPr>
                <w:ilvl w:val="0"/>
                <w:numId w:val="0"/>
              </w:numPr>
              <w:jc w:val="both"/>
              <w:rPr>
                <w:rFonts w:cs="Arial"/>
              </w:rPr>
            </w:pPr>
            <w:r w:rsidRPr="00B438C3">
              <w:rPr>
                <w:rFonts w:cs="Arial"/>
              </w:rPr>
              <w:lastRenderedPageBreak/>
              <w:t>Highly Advanced</w:t>
            </w:r>
          </w:p>
        </w:tc>
      </w:tr>
      <w:tr w:rsidR="002D336D" w:rsidRPr="00B438C3" w14:paraId="3304F9F4" w14:textId="77777777" w:rsidTr="006D75C8">
        <w:tc>
          <w:tcPr>
            <w:tcW w:w="1406" w:type="dxa"/>
            <w:vMerge/>
            <w:tcBorders>
              <w:bottom w:val="single" w:sz="4" w:space="0" w:color="BCBEC0"/>
            </w:tcBorders>
          </w:tcPr>
          <w:p w14:paraId="0F45C07F" w14:textId="77777777" w:rsidR="002D336D" w:rsidRPr="00B438C3" w:rsidRDefault="002D336D" w:rsidP="006D75C8">
            <w:pPr>
              <w:keepNext/>
              <w:rPr>
                <w:rFonts w:cs="Arial"/>
                <w:noProof/>
                <w:lang w:eastAsia="en-AU"/>
              </w:rPr>
            </w:pPr>
          </w:p>
        </w:tc>
        <w:tc>
          <w:tcPr>
            <w:tcW w:w="2971" w:type="dxa"/>
            <w:gridSpan w:val="2"/>
            <w:tcBorders>
              <w:bottom w:val="single" w:sz="4" w:space="0" w:color="BCBEC0"/>
            </w:tcBorders>
          </w:tcPr>
          <w:p w14:paraId="01F68475" w14:textId="77777777" w:rsidR="000411F6" w:rsidRPr="00B438C3" w:rsidRDefault="000411F6" w:rsidP="006D75C8">
            <w:pPr>
              <w:pStyle w:val="TableText"/>
              <w:keepNext/>
              <w:rPr>
                <w:rFonts w:cs="Arial"/>
                <w:b/>
              </w:rPr>
            </w:pPr>
            <w:r w:rsidRPr="00B438C3">
              <w:rPr>
                <w:rFonts w:cs="Arial"/>
                <w:b/>
              </w:rPr>
              <w:t>Manage Reform and Change</w:t>
            </w:r>
          </w:p>
          <w:p w14:paraId="69443872" w14:textId="77777777" w:rsidR="002D336D" w:rsidRPr="00B438C3" w:rsidRDefault="000411F6" w:rsidP="006D75C8">
            <w:pPr>
              <w:pStyle w:val="TableText"/>
              <w:keepNext/>
              <w:rPr>
                <w:rFonts w:cs="Arial"/>
                <w:b/>
              </w:rPr>
            </w:pPr>
            <w:r w:rsidRPr="00B438C3">
              <w:rPr>
                <w:rFonts w:cs="Arial"/>
              </w:rPr>
              <w:t>Support, promote and champion change, and assist others to engage with change</w:t>
            </w:r>
          </w:p>
        </w:tc>
        <w:tc>
          <w:tcPr>
            <w:tcW w:w="4770" w:type="dxa"/>
            <w:tcBorders>
              <w:bottom w:val="single" w:sz="4" w:space="0" w:color="BCBEC0"/>
            </w:tcBorders>
          </w:tcPr>
          <w:p w14:paraId="7936533E" w14:textId="77777777" w:rsidR="002D336D" w:rsidRPr="00B438C3" w:rsidRDefault="002D336D" w:rsidP="006D75C8">
            <w:pPr>
              <w:pStyle w:val="TableBullet"/>
              <w:numPr>
                <w:ilvl w:val="0"/>
                <w:numId w:val="0"/>
              </w:numPr>
              <w:ind w:left="360"/>
              <w:rPr>
                <w:rFonts w:cs="Arial"/>
              </w:rPr>
            </w:pPr>
          </w:p>
          <w:p w14:paraId="34245C99" w14:textId="77777777" w:rsidR="002D336D" w:rsidRPr="00B438C3" w:rsidRDefault="002D336D" w:rsidP="006D75C8">
            <w:pPr>
              <w:pStyle w:val="TableBullet"/>
              <w:rPr>
                <w:rFonts w:cs="Arial"/>
              </w:rPr>
            </w:pPr>
            <w:r w:rsidRPr="00B438C3">
              <w:rPr>
                <w:rFonts w:cs="Arial"/>
              </w:rPr>
              <w:t>Clarify the purpose and benefits of continuous improvement for staff and provide coaching and leadership in times of uncertainty</w:t>
            </w:r>
          </w:p>
          <w:p w14:paraId="720122C9" w14:textId="77777777" w:rsidR="002D336D" w:rsidRPr="00B438C3" w:rsidRDefault="002D336D" w:rsidP="006D75C8">
            <w:pPr>
              <w:pStyle w:val="TableBullet"/>
              <w:rPr>
                <w:rFonts w:cs="Arial"/>
              </w:rPr>
            </w:pPr>
            <w:r w:rsidRPr="00B438C3">
              <w:rPr>
                <w:rFonts w:cs="Arial"/>
              </w:rPr>
              <w:t>Assist others to address emerging challenges and risks and generate support for change initiatives</w:t>
            </w:r>
          </w:p>
          <w:p w14:paraId="30A0649E" w14:textId="77777777" w:rsidR="002D336D" w:rsidRPr="00B438C3" w:rsidRDefault="002D336D" w:rsidP="006D75C8">
            <w:pPr>
              <w:pStyle w:val="TableBullet"/>
              <w:rPr>
                <w:rFonts w:cs="Arial"/>
              </w:rPr>
            </w:pPr>
            <w:r w:rsidRPr="00B438C3">
              <w:rPr>
                <w:rFonts w:cs="Arial"/>
              </w:rPr>
              <w:t>Translate change initiatives into practical strategies and explain these to staff, and their role in implementing them</w:t>
            </w:r>
          </w:p>
          <w:p w14:paraId="1440D4F2" w14:textId="77777777" w:rsidR="002D336D" w:rsidRPr="00B438C3" w:rsidRDefault="002D336D" w:rsidP="006D75C8">
            <w:pPr>
              <w:pStyle w:val="TableBullet"/>
              <w:rPr>
                <w:rFonts w:cs="Arial"/>
              </w:rPr>
            </w:pPr>
            <w:r w:rsidRPr="00B438C3">
              <w:rPr>
                <w:rFonts w:cs="Arial"/>
              </w:rPr>
              <w:t>Implement structured change management processes to identify and develop responses to cultural barriers</w:t>
            </w:r>
          </w:p>
        </w:tc>
        <w:tc>
          <w:tcPr>
            <w:tcW w:w="1606" w:type="dxa"/>
            <w:tcBorders>
              <w:bottom w:val="single" w:sz="4" w:space="0" w:color="BCBEC0"/>
            </w:tcBorders>
          </w:tcPr>
          <w:p w14:paraId="16360FB3" w14:textId="77777777" w:rsidR="002D336D" w:rsidRPr="00B438C3" w:rsidRDefault="007C0486" w:rsidP="006D75C8">
            <w:pPr>
              <w:pStyle w:val="TableBullet"/>
              <w:numPr>
                <w:ilvl w:val="0"/>
                <w:numId w:val="0"/>
              </w:numPr>
              <w:jc w:val="both"/>
              <w:rPr>
                <w:rFonts w:cs="Arial"/>
              </w:rPr>
            </w:pPr>
            <w:r w:rsidRPr="00B438C3">
              <w:rPr>
                <w:rFonts w:cs="Arial"/>
              </w:rPr>
              <w:t>Advanced</w:t>
            </w:r>
          </w:p>
        </w:tc>
      </w:tr>
    </w:tbl>
    <w:p w14:paraId="60F5DAC2" w14:textId="77777777" w:rsidR="00136C3A" w:rsidRPr="00B438C3" w:rsidRDefault="00136C3A" w:rsidP="003927AE">
      <w:pPr>
        <w:rPr>
          <w:rFonts w:cs="Arial"/>
        </w:rPr>
      </w:pPr>
    </w:p>
    <w:p w14:paraId="52D62B81" w14:textId="77777777" w:rsidR="003927AE" w:rsidRPr="00B438C3" w:rsidRDefault="003927AE" w:rsidP="003927AE">
      <w:pPr>
        <w:pStyle w:val="Heading1"/>
      </w:pPr>
      <w:r w:rsidRPr="00B438C3">
        <w:t>Complementary capabilities</w:t>
      </w:r>
    </w:p>
    <w:p w14:paraId="7D4FC455" w14:textId="77777777" w:rsidR="003927AE" w:rsidRPr="00B438C3" w:rsidRDefault="003927AE" w:rsidP="003927AE">
      <w:pPr>
        <w:pStyle w:val="PlainText"/>
        <w:spacing w:before="62" w:line="276" w:lineRule="auto"/>
        <w:rPr>
          <w:rFonts w:ascii="Arial" w:eastAsiaTheme="minorEastAsia" w:hAnsi="Arial" w:cs="Arial"/>
          <w:szCs w:val="22"/>
          <w:lang w:val="en-US"/>
        </w:rPr>
      </w:pPr>
      <w:r w:rsidRPr="00B438C3">
        <w:rPr>
          <w:rFonts w:ascii="Arial" w:eastAsiaTheme="minorEastAsia" w:hAnsi="Arial" w:cs="Arial"/>
          <w:i/>
          <w:szCs w:val="22"/>
          <w:lang w:val="en-US"/>
        </w:rPr>
        <w:t>Complementary capabilities</w:t>
      </w:r>
      <w:r w:rsidRPr="00B438C3">
        <w:rPr>
          <w:rFonts w:ascii="Arial" w:eastAsiaTheme="minorEastAsia" w:hAnsi="Arial" w:cs="Arial"/>
          <w:szCs w:val="22"/>
          <w:lang w:val="en-US"/>
        </w:rPr>
        <w:t xml:space="preserve"> are also identified from the Capability Framework and relevant occupation-specific capability sets. They are important to identifying performance required for the role and development opportunities. </w:t>
      </w:r>
    </w:p>
    <w:p w14:paraId="782BF43A" w14:textId="77777777" w:rsidR="003927AE" w:rsidRPr="00B438C3" w:rsidRDefault="003927AE" w:rsidP="003927AE">
      <w:pPr>
        <w:pStyle w:val="PlainText"/>
        <w:spacing w:before="62" w:line="276" w:lineRule="auto"/>
        <w:rPr>
          <w:rFonts w:ascii="Arial" w:eastAsiaTheme="minorEastAsia" w:hAnsi="Arial" w:cs="Arial"/>
          <w:szCs w:val="22"/>
          <w:lang w:val="en-US"/>
        </w:rPr>
      </w:pPr>
      <w:r w:rsidRPr="00B438C3">
        <w:rPr>
          <w:rFonts w:ascii="Arial" w:eastAsiaTheme="minorEastAsia" w:hAnsi="Arial" w:cs="Arial"/>
          <w:szCs w:val="22"/>
          <w:lang w:val="en-US"/>
        </w:rPr>
        <w:t>Note: capabilities listed as ‘not essential’ for this role are not relevant for recruitment purposes however may be relevant for future career development.</w:t>
      </w:r>
    </w:p>
    <w:p w14:paraId="49453EF2" w14:textId="77777777" w:rsidR="00336011" w:rsidRPr="00B438C3" w:rsidRDefault="00336011" w:rsidP="003927AE">
      <w:pPr>
        <w:pStyle w:val="PlainText"/>
        <w:spacing w:before="62" w:line="276" w:lineRule="auto"/>
        <w:rPr>
          <w:rFonts w:ascii="Arial" w:eastAsiaTheme="minorEastAsia" w:hAnsi="Arial" w:cs="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2B5704" w:rsidRPr="00B438C3" w14:paraId="2C7ECB4A" w14:textId="77777777" w:rsidTr="004F3EA9">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008C96B8" w14:textId="77777777" w:rsidR="002B5704" w:rsidRPr="00B438C3" w:rsidRDefault="002B5704" w:rsidP="006D75C8">
            <w:pPr>
              <w:pStyle w:val="TableTextWhite0"/>
              <w:keepNext/>
              <w:jc w:val="both"/>
              <w:rPr>
                <w:rFonts w:cs="Arial"/>
              </w:rPr>
            </w:pPr>
            <w:r w:rsidRPr="00B438C3">
              <w:rPr>
                <w:rFonts w:cs="Arial"/>
                <w:sz w:val="24"/>
                <w:szCs w:val="24"/>
              </w:rPr>
              <w:t>COMPLEMENTARY CAPABILITIES</w:t>
            </w:r>
          </w:p>
        </w:tc>
      </w:tr>
      <w:tr w:rsidR="002B5704" w:rsidRPr="00B438C3" w14:paraId="2FB56499" w14:textId="77777777" w:rsidTr="006D75C8">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749A370" w14:textId="77777777" w:rsidR="002B5704" w:rsidRPr="00B438C3" w:rsidRDefault="002B5704" w:rsidP="006D75C8">
            <w:pPr>
              <w:pStyle w:val="TableText"/>
              <w:keepNext/>
              <w:rPr>
                <w:rFonts w:cs="Arial"/>
                <w:b/>
                <w:sz w:val="24"/>
                <w:szCs w:val="24"/>
              </w:rPr>
            </w:pPr>
            <w:r w:rsidRPr="00B438C3">
              <w:rPr>
                <w:rFonts w:cs="Arial"/>
                <w:b/>
              </w:rPr>
              <w:t>Capability group/sets</w:t>
            </w:r>
          </w:p>
        </w:tc>
        <w:tc>
          <w:tcPr>
            <w:tcW w:w="2881" w:type="dxa"/>
            <w:tcBorders>
              <w:bottom w:val="single" w:sz="12" w:space="0" w:color="auto"/>
            </w:tcBorders>
            <w:shd w:val="clear" w:color="auto" w:fill="BCBEC0"/>
          </w:tcPr>
          <w:p w14:paraId="7F0FBE96" w14:textId="77777777" w:rsidR="002B5704" w:rsidRPr="00B438C3" w:rsidRDefault="002B5704" w:rsidP="006D75C8">
            <w:pPr>
              <w:pStyle w:val="TableText"/>
              <w:keepNext/>
              <w:rPr>
                <w:rFonts w:cs="Arial"/>
                <w:b/>
                <w:sz w:val="24"/>
                <w:szCs w:val="24"/>
              </w:rPr>
            </w:pPr>
            <w:r w:rsidRPr="00B438C3">
              <w:rPr>
                <w:rFonts w:cs="Arial"/>
                <w:b/>
              </w:rPr>
              <w:t>Capability name</w:t>
            </w:r>
          </w:p>
        </w:tc>
        <w:tc>
          <w:tcPr>
            <w:tcW w:w="90" w:type="dxa"/>
            <w:tcBorders>
              <w:bottom w:val="single" w:sz="12" w:space="0" w:color="auto"/>
            </w:tcBorders>
            <w:shd w:val="clear" w:color="auto" w:fill="BCBEC0"/>
          </w:tcPr>
          <w:p w14:paraId="1A0F8036" w14:textId="77777777" w:rsidR="002B5704" w:rsidRPr="00B438C3" w:rsidRDefault="002B5704" w:rsidP="006D75C8">
            <w:pPr>
              <w:pStyle w:val="TableText"/>
              <w:keepNext/>
              <w:rPr>
                <w:rFonts w:cs="Arial"/>
                <w:b/>
              </w:rPr>
            </w:pPr>
          </w:p>
        </w:tc>
        <w:tc>
          <w:tcPr>
            <w:tcW w:w="4770" w:type="dxa"/>
            <w:tcBorders>
              <w:bottom w:val="single" w:sz="12" w:space="0" w:color="auto"/>
            </w:tcBorders>
            <w:shd w:val="clear" w:color="auto" w:fill="BCBEC0"/>
          </w:tcPr>
          <w:p w14:paraId="5FB64F4A" w14:textId="77777777" w:rsidR="002B5704" w:rsidRPr="00B438C3" w:rsidRDefault="002B5704" w:rsidP="006D75C8">
            <w:pPr>
              <w:pStyle w:val="TableText"/>
              <w:keepNext/>
              <w:rPr>
                <w:rFonts w:cs="Arial"/>
                <w:b/>
              </w:rPr>
            </w:pPr>
            <w:r w:rsidRPr="00B438C3">
              <w:rPr>
                <w:rFonts w:cs="Arial"/>
                <w:b/>
              </w:rPr>
              <w:t>Description</w:t>
            </w:r>
          </w:p>
        </w:tc>
        <w:tc>
          <w:tcPr>
            <w:tcW w:w="1606" w:type="dxa"/>
            <w:tcBorders>
              <w:bottom w:val="single" w:sz="12" w:space="0" w:color="auto"/>
            </w:tcBorders>
            <w:shd w:val="clear" w:color="auto" w:fill="BCBEC0"/>
          </w:tcPr>
          <w:p w14:paraId="700CA225" w14:textId="77777777" w:rsidR="002B5704" w:rsidRPr="00B438C3" w:rsidRDefault="002B5704" w:rsidP="006D75C8">
            <w:pPr>
              <w:pStyle w:val="TableText"/>
              <w:keepNext/>
              <w:jc w:val="both"/>
              <w:rPr>
                <w:rFonts w:cs="Arial"/>
                <w:b/>
              </w:rPr>
            </w:pPr>
            <w:r w:rsidRPr="00B438C3">
              <w:rPr>
                <w:rFonts w:cs="Arial"/>
                <w:b/>
              </w:rPr>
              <w:t xml:space="preserve">Level </w:t>
            </w:r>
          </w:p>
        </w:tc>
      </w:tr>
      <w:tr w:rsidR="002B5704" w:rsidRPr="00B438C3" w14:paraId="4B1F6970" w14:textId="77777777" w:rsidTr="006D75C8">
        <w:tc>
          <w:tcPr>
            <w:tcW w:w="1406" w:type="dxa"/>
            <w:vMerge w:val="restart"/>
            <w:tcBorders>
              <w:bottom w:val="single" w:sz="4" w:space="0" w:color="BCBEC0"/>
            </w:tcBorders>
          </w:tcPr>
          <w:p w14:paraId="5CE0FE7F" w14:textId="77777777" w:rsidR="002B5704" w:rsidRPr="00B438C3" w:rsidRDefault="002B5704" w:rsidP="006D75C8">
            <w:pPr>
              <w:keepNext/>
              <w:rPr>
                <w:rFonts w:cs="Arial"/>
              </w:rPr>
            </w:pPr>
            <w:r w:rsidRPr="00B438C3">
              <w:rPr>
                <w:rFonts w:cs="Arial"/>
                <w:noProof/>
                <w:lang w:eastAsia="en-AU"/>
              </w:rPr>
              <w:drawing>
                <wp:inline distT="0" distB="0" distL="0" distR="0" wp14:anchorId="2811B6D9" wp14:editId="4AA0666B">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14:paraId="3E9041D4" w14:textId="77777777" w:rsidR="002B5704" w:rsidRPr="00B438C3" w:rsidRDefault="002B5704" w:rsidP="006D75C8">
            <w:pPr>
              <w:rPr>
                <w:rFonts w:cs="Arial"/>
              </w:rPr>
            </w:pPr>
            <w:r w:rsidRPr="00B438C3">
              <w:rPr>
                <w:rFonts w:cs="Arial"/>
              </w:rPr>
              <w:t>Display Resilience and Courage</w:t>
            </w:r>
          </w:p>
        </w:tc>
        <w:tc>
          <w:tcPr>
            <w:tcW w:w="4770" w:type="dxa"/>
            <w:tcBorders>
              <w:bottom w:val="single" w:sz="4" w:space="0" w:color="BCBEC0"/>
            </w:tcBorders>
          </w:tcPr>
          <w:p w14:paraId="3F3A26E0" w14:textId="77777777" w:rsidR="002B5704" w:rsidRPr="00B438C3" w:rsidRDefault="002B5704" w:rsidP="006D75C8">
            <w:pPr>
              <w:rPr>
                <w:rFonts w:cs="Arial"/>
              </w:rPr>
            </w:pPr>
            <w:r w:rsidRPr="00B438C3">
              <w:rPr>
                <w:rFonts w:cs="Arial"/>
              </w:rPr>
              <w:t>Be open and honest, prepared to express your views, and willing to accept and commit to change</w:t>
            </w:r>
          </w:p>
        </w:tc>
        <w:tc>
          <w:tcPr>
            <w:tcW w:w="1606" w:type="dxa"/>
            <w:tcBorders>
              <w:bottom w:val="single" w:sz="4" w:space="0" w:color="BCBEC0"/>
            </w:tcBorders>
          </w:tcPr>
          <w:p w14:paraId="34F23671" w14:textId="77777777" w:rsidR="002B5704" w:rsidRPr="00B438C3" w:rsidRDefault="002B5704" w:rsidP="006D75C8">
            <w:pPr>
              <w:pStyle w:val="TableBullet"/>
              <w:numPr>
                <w:ilvl w:val="0"/>
                <w:numId w:val="0"/>
              </w:numPr>
              <w:jc w:val="both"/>
              <w:rPr>
                <w:rFonts w:cs="Arial"/>
              </w:rPr>
            </w:pPr>
            <w:r w:rsidRPr="00B438C3">
              <w:rPr>
                <w:rFonts w:cs="Arial"/>
              </w:rPr>
              <w:t>Advanced</w:t>
            </w:r>
          </w:p>
        </w:tc>
      </w:tr>
      <w:tr w:rsidR="002B5704" w:rsidRPr="00B438C3" w14:paraId="698A88E6" w14:textId="77777777" w:rsidTr="006D75C8">
        <w:tc>
          <w:tcPr>
            <w:tcW w:w="1406" w:type="dxa"/>
            <w:vMerge/>
            <w:tcBorders>
              <w:bottom w:val="single" w:sz="4" w:space="0" w:color="BCBEC0"/>
            </w:tcBorders>
          </w:tcPr>
          <w:p w14:paraId="0F1CC61B"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5DE8BA2C" w14:textId="77777777" w:rsidR="002B5704" w:rsidRPr="00B438C3" w:rsidRDefault="002B5704" w:rsidP="006D75C8">
            <w:pPr>
              <w:rPr>
                <w:rFonts w:cs="Arial"/>
              </w:rPr>
            </w:pPr>
            <w:r w:rsidRPr="00B438C3">
              <w:rPr>
                <w:rFonts w:cs="Arial"/>
              </w:rPr>
              <w:t>Manage Self</w:t>
            </w:r>
          </w:p>
        </w:tc>
        <w:tc>
          <w:tcPr>
            <w:tcW w:w="4770" w:type="dxa"/>
            <w:tcBorders>
              <w:bottom w:val="single" w:sz="4" w:space="0" w:color="BCBEC0"/>
            </w:tcBorders>
          </w:tcPr>
          <w:p w14:paraId="443B04F3" w14:textId="77777777" w:rsidR="002B5704" w:rsidRPr="00B438C3" w:rsidRDefault="002B5704" w:rsidP="006D75C8">
            <w:pPr>
              <w:rPr>
                <w:rFonts w:cs="Arial"/>
              </w:rPr>
            </w:pPr>
            <w:r w:rsidRPr="00B438C3">
              <w:rPr>
                <w:rFonts w:cs="Arial"/>
              </w:rPr>
              <w:t>Show drive and motivation, an ability to self-reflect and a commitment to learning</w:t>
            </w:r>
          </w:p>
        </w:tc>
        <w:tc>
          <w:tcPr>
            <w:tcW w:w="1606" w:type="dxa"/>
            <w:tcBorders>
              <w:bottom w:val="single" w:sz="4" w:space="0" w:color="BCBEC0"/>
            </w:tcBorders>
          </w:tcPr>
          <w:p w14:paraId="2739A563" w14:textId="77777777" w:rsidR="002B5704" w:rsidRPr="00B438C3" w:rsidRDefault="002B5704" w:rsidP="006D75C8">
            <w:pPr>
              <w:pStyle w:val="TableBullet"/>
              <w:numPr>
                <w:ilvl w:val="0"/>
                <w:numId w:val="0"/>
              </w:numPr>
              <w:jc w:val="both"/>
              <w:rPr>
                <w:rFonts w:cs="Arial"/>
              </w:rPr>
            </w:pPr>
            <w:r w:rsidRPr="00B438C3">
              <w:rPr>
                <w:rFonts w:cs="Arial"/>
              </w:rPr>
              <w:t>Advanced</w:t>
            </w:r>
          </w:p>
        </w:tc>
      </w:tr>
      <w:tr w:rsidR="002B5704" w:rsidRPr="00B438C3" w14:paraId="46D334DC" w14:textId="77777777" w:rsidTr="006D75C8">
        <w:tc>
          <w:tcPr>
            <w:tcW w:w="1406" w:type="dxa"/>
            <w:vMerge/>
            <w:tcBorders>
              <w:bottom w:val="single" w:sz="4" w:space="0" w:color="BCBEC0"/>
            </w:tcBorders>
          </w:tcPr>
          <w:p w14:paraId="02B2D9C4"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2258F17F" w14:textId="77777777" w:rsidR="002B5704" w:rsidRPr="00B438C3" w:rsidRDefault="002B5704" w:rsidP="006D75C8">
            <w:pPr>
              <w:rPr>
                <w:rFonts w:cs="Arial"/>
              </w:rPr>
            </w:pPr>
            <w:r w:rsidRPr="00B438C3">
              <w:rPr>
                <w:rFonts w:cs="Arial"/>
              </w:rPr>
              <w:t>Value Diversity and Inclusion</w:t>
            </w:r>
          </w:p>
        </w:tc>
        <w:tc>
          <w:tcPr>
            <w:tcW w:w="4770" w:type="dxa"/>
            <w:tcBorders>
              <w:bottom w:val="single" w:sz="4" w:space="0" w:color="BCBEC0"/>
            </w:tcBorders>
          </w:tcPr>
          <w:p w14:paraId="49355EF1" w14:textId="77777777" w:rsidR="002B5704" w:rsidRPr="00B438C3" w:rsidRDefault="002B5704" w:rsidP="006D75C8">
            <w:pPr>
              <w:rPr>
                <w:rFonts w:cs="Arial"/>
              </w:rPr>
            </w:pPr>
            <w:r w:rsidRPr="00B438C3">
              <w:rPr>
                <w:rFonts w:cs="Arial"/>
              </w:rPr>
              <w:t>Demonstrate inclusive behaviour and show respect for diverse backgrounds, experiences and perspectives</w:t>
            </w:r>
          </w:p>
        </w:tc>
        <w:tc>
          <w:tcPr>
            <w:tcW w:w="1606" w:type="dxa"/>
            <w:tcBorders>
              <w:bottom w:val="single" w:sz="4" w:space="0" w:color="BCBEC0"/>
            </w:tcBorders>
          </w:tcPr>
          <w:p w14:paraId="1F88312C" w14:textId="77777777" w:rsidR="002B5704" w:rsidRPr="00B438C3" w:rsidRDefault="002B5704" w:rsidP="006D75C8">
            <w:pPr>
              <w:pStyle w:val="TableBullet"/>
              <w:numPr>
                <w:ilvl w:val="0"/>
                <w:numId w:val="0"/>
              </w:numPr>
              <w:jc w:val="both"/>
              <w:rPr>
                <w:rFonts w:cs="Arial"/>
              </w:rPr>
            </w:pPr>
            <w:r w:rsidRPr="00B438C3">
              <w:rPr>
                <w:rFonts w:cs="Arial"/>
              </w:rPr>
              <w:t>Advanced</w:t>
            </w:r>
          </w:p>
        </w:tc>
      </w:tr>
      <w:tr w:rsidR="002B5704" w:rsidRPr="00B438C3" w14:paraId="3A594FCA" w14:textId="77777777" w:rsidTr="006D75C8">
        <w:tc>
          <w:tcPr>
            <w:tcW w:w="1406" w:type="dxa"/>
            <w:vMerge w:val="restart"/>
            <w:tcBorders>
              <w:bottom w:val="single" w:sz="4" w:space="0" w:color="BCBEC0"/>
            </w:tcBorders>
          </w:tcPr>
          <w:p w14:paraId="2F9FA787" w14:textId="77777777" w:rsidR="002B5704" w:rsidRPr="00B438C3" w:rsidRDefault="002B5704" w:rsidP="006D75C8">
            <w:pPr>
              <w:keepNext/>
              <w:rPr>
                <w:rFonts w:cs="Arial"/>
              </w:rPr>
            </w:pPr>
            <w:r w:rsidRPr="00B438C3">
              <w:rPr>
                <w:rFonts w:cs="Arial"/>
                <w:noProof/>
                <w:lang w:eastAsia="en-AU"/>
              </w:rPr>
              <w:drawing>
                <wp:inline distT="0" distB="0" distL="0" distR="0" wp14:anchorId="0685EA92" wp14:editId="5A849264">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14:paraId="1AEAA416" w14:textId="77777777" w:rsidR="002B5704" w:rsidRPr="00B438C3" w:rsidRDefault="002B5704" w:rsidP="006D75C8">
            <w:pPr>
              <w:rPr>
                <w:rFonts w:cs="Arial"/>
              </w:rPr>
            </w:pPr>
            <w:r w:rsidRPr="00B438C3">
              <w:rPr>
                <w:rFonts w:cs="Arial"/>
              </w:rPr>
              <w:t>Commit to Customer Service</w:t>
            </w:r>
          </w:p>
        </w:tc>
        <w:tc>
          <w:tcPr>
            <w:tcW w:w="4770" w:type="dxa"/>
            <w:tcBorders>
              <w:bottom w:val="single" w:sz="4" w:space="0" w:color="BCBEC0"/>
            </w:tcBorders>
          </w:tcPr>
          <w:p w14:paraId="36A5A2C1" w14:textId="77777777" w:rsidR="002B5704" w:rsidRPr="00B438C3" w:rsidRDefault="002B5704" w:rsidP="006D75C8">
            <w:pPr>
              <w:rPr>
                <w:rFonts w:cs="Arial"/>
              </w:rPr>
            </w:pPr>
            <w:r w:rsidRPr="00B438C3">
              <w:rPr>
                <w:rFonts w:cs="Arial"/>
              </w:rPr>
              <w:t>Provide customer-focused services in line with public sector and organisational objectives</w:t>
            </w:r>
          </w:p>
        </w:tc>
        <w:tc>
          <w:tcPr>
            <w:tcW w:w="1606" w:type="dxa"/>
            <w:tcBorders>
              <w:bottom w:val="single" w:sz="4" w:space="0" w:color="BCBEC0"/>
            </w:tcBorders>
          </w:tcPr>
          <w:p w14:paraId="0B6199E3" w14:textId="77777777" w:rsidR="002B5704" w:rsidRPr="00B438C3" w:rsidRDefault="002B5704" w:rsidP="006D75C8">
            <w:pPr>
              <w:pStyle w:val="TableBullet"/>
              <w:numPr>
                <w:ilvl w:val="0"/>
                <w:numId w:val="0"/>
              </w:numPr>
              <w:jc w:val="both"/>
              <w:rPr>
                <w:rFonts w:cs="Arial"/>
              </w:rPr>
            </w:pPr>
            <w:r w:rsidRPr="00B438C3">
              <w:rPr>
                <w:rFonts w:cs="Arial"/>
              </w:rPr>
              <w:t>Highly Advanced</w:t>
            </w:r>
          </w:p>
        </w:tc>
      </w:tr>
      <w:tr w:rsidR="002B5704" w:rsidRPr="00B438C3" w14:paraId="32851AA4" w14:textId="77777777" w:rsidTr="006D75C8">
        <w:tc>
          <w:tcPr>
            <w:tcW w:w="1406" w:type="dxa"/>
            <w:vMerge/>
            <w:tcBorders>
              <w:bottom w:val="single" w:sz="4" w:space="0" w:color="BCBEC0"/>
            </w:tcBorders>
          </w:tcPr>
          <w:p w14:paraId="0F56C650"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0F029AF2" w14:textId="77777777" w:rsidR="002B5704" w:rsidRPr="00B438C3" w:rsidRDefault="002B5704" w:rsidP="006D75C8">
            <w:pPr>
              <w:rPr>
                <w:rFonts w:cs="Arial"/>
              </w:rPr>
            </w:pPr>
            <w:r w:rsidRPr="00B438C3">
              <w:rPr>
                <w:rFonts w:cs="Arial"/>
              </w:rPr>
              <w:t>Work Collaboratively</w:t>
            </w:r>
          </w:p>
        </w:tc>
        <w:tc>
          <w:tcPr>
            <w:tcW w:w="4770" w:type="dxa"/>
            <w:tcBorders>
              <w:bottom w:val="single" w:sz="4" w:space="0" w:color="BCBEC0"/>
            </w:tcBorders>
          </w:tcPr>
          <w:p w14:paraId="71FEEC02" w14:textId="77777777" w:rsidR="002B5704" w:rsidRPr="00B438C3" w:rsidRDefault="002B5704" w:rsidP="006D75C8">
            <w:pPr>
              <w:rPr>
                <w:rFonts w:cs="Arial"/>
              </w:rPr>
            </w:pPr>
            <w:r w:rsidRPr="00B438C3">
              <w:rPr>
                <w:rFonts w:cs="Arial"/>
              </w:rPr>
              <w:t>Collaborate with others and value their contribution</w:t>
            </w:r>
          </w:p>
        </w:tc>
        <w:tc>
          <w:tcPr>
            <w:tcW w:w="1606" w:type="dxa"/>
            <w:tcBorders>
              <w:bottom w:val="single" w:sz="4" w:space="0" w:color="BCBEC0"/>
            </w:tcBorders>
          </w:tcPr>
          <w:p w14:paraId="5BB10E79" w14:textId="77777777" w:rsidR="002B5704" w:rsidRPr="00B438C3" w:rsidRDefault="002B5704" w:rsidP="006D75C8">
            <w:pPr>
              <w:pStyle w:val="TableBullet"/>
              <w:numPr>
                <w:ilvl w:val="0"/>
                <w:numId w:val="0"/>
              </w:numPr>
              <w:jc w:val="both"/>
              <w:rPr>
                <w:rFonts w:cs="Arial"/>
              </w:rPr>
            </w:pPr>
            <w:r w:rsidRPr="00B438C3">
              <w:rPr>
                <w:rFonts w:cs="Arial"/>
              </w:rPr>
              <w:t>Highly Advanced</w:t>
            </w:r>
          </w:p>
        </w:tc>
      </w:tr>
      <w:tr w:rsidR="002B5704" w:rsidRPr="00B438C3" w14:paraId="1F6A15D4" w14:textId="77777777" w:rsidTr="006D75C8">
        <w:tc>
          <w:tcPr>
            <w:tcW w:w="1406" w:type="dxa"/>
            <w:vMerge w:val="restart"/>
            <w:tcBorders>
              <w:bottom w:val="single" w:sz="4" w:space="0" w:color="BCBEC0"/>
            </w:tcBorders>
          </w:tcPr>
          <w:p w14:paraId="375BC186" w14:textId="77777777" w:rsidR="002B5704" w:rsidRPr="00B438C3" w:rsidRDefault="002B5704" w:rsidP="006D75C8">
            <w:pPr>
              <w:keepNext/>
              <w:rPr>
                <w:rFonts w:cs="Arial"/>
              </w:rPr>
            </w:pPr>
            <w:r w:rsidRPr="00B438C3">
              <w:rPr>
                <w:rFonts w:cs="Arial"/>
                <w:noProof/>
                <w:lang w:eastAsia="en-AU"/>
              </w:rPr>
              <w:drawing>
                <wp:inline distT="0" distB="0" distL="0" distR="0" wp14:anchorId="2AF0FEBD" wp14:editId="7A696E86">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14:paraId="561BF125" w14:textId="77777777" w:rsidR="002B5704" w:rsidRPr="00B438C3" w:rsidRDefault="002B5704" w:rsidP="006D75C8">
            <w:pPr>
              <w:rPr>
                <w:rFonts w:cs="Arial"/>
              </w:rPr>
            </w:pPr>
            <w:r w:rsidRPr="00B438C3">
              <w:rPr>
                <w:rFonts w:cs="Arial"/>
              </w:rPr>
              <w:t>Think and Solve Problems</w:t>
            </w:r>
          </w:p>
        </w:tc>
        <w:tc>
          <w:tcPr>
            <w:tcW w:w="4770" w:type="dxa"/>
            <w:tcBorders>
              <w:bottom w:val="single" w:sz="4" w:space="0" w:color="BCBEC0"/>
            </w:tcBorders>
          </w:tcPr>
          <w:p w14:paraId="08FEEC84" w14:textId="77777777" w:rsidR="002B5704" w:rsidRPr="00B438C3" w:rsidRDefault="002B5704" w:rsidP="006D75C8">
            <w:pPr>
              <w:rPr>
                <w:rFonts w:cs="Arial"/>
              </w:rPr>
            </w:pPr>
            <w:r w:rsidRPr="00B438C3">
              <w:rPr>
                <w:rFonts w:cs="Arial"/>
              </w:rPr>
              <w:t>Think, analyse and consider the broader context to develop practical solutions</w:t>
            </w:r>
          </w:p>
        </w:tc>
        <w:tc>
          <w:tcPr>
            <w:tcW w:w="1606" w:type="dxa"/>
            <w:tcBorders>
              <w:bottom w:val="single" w:sz="4" w:space="0" w:color="BCBEC0"/>
            </w:tcBorders>
          </w:tcPr>
          <w:p w14:paraId="36C42FC9" w14:textId="77777777" w:rsidR="002B5704" w:rsidRPr="00B438C3" w:rsidRDefault="002B5704" w:rsidP="006D75C8">
            <w:pPr>
              <w:pStyle w:val="TableBullet"/>
              <w:numPr>
                <w:ilvl w:val="0"/>
                <w:numId w:val="0"/>
              </w:numPr>
              <w:jc w:val="both"/>
              <w:rPr>
                <w:rFonts w:cs="Arial"/>
              </w:rPr>
            </w:pPr>
            <w:r w:rsidRPr="00B438C3">
              <w:rPr>
                <w:rFonts w:cs="Arial"/>
              </w:rPr>
              <w:t>Advanced</w:t>
            </w:r>
          </w:p>
        </w:tc>
      </w:tr>
      <w:tr w:rsidR="002B5704" w:rsidRPr="00B438C3" w14:paraId="5BE7423B" w14:textId="77777777" w:rsidTr="006D75C8">
        <w:tc>
          <w:tcPr>
            <w:tcW w:w="1406" w:type="dxa"/>
            <w:vMerge/>
            <w:tcBorders>
              <w:bottom w:val="single" w:sz="4" w:space="0" w:color="BCBEC0"/>
            </w:tcBorders>
          </w:tcPr>
          <w:p w14:paraId="43D41765"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3A924C11" w14:textId="77777777" w:rsidR="002B5704" w:rsidRPr="00B438C3" w:rsidRDefault="002B5704" w:rsidP="006D75C8">
            <w:pPr>
              <w:rPr>
                <w:rFonts w:cs="Arial"/>
              </w:rPr>
            </w:pPr>
            <w:r w:rsidRPr="00B438C3">
              <w:rPr>
                <w:rFonts w:cs="Arial"/>
              </w:rPr>
              <w:t>Demonstrate Accountability</w:t>
            </w:r>
          </w:p>
        </w:tc>
        <w:tc>
          <w:tcPr>
            <w:tcW w:w="4770" w:type="dxa"/>
            <w:tcBorders>
              <w:bottom w:val="single" w:sz="4" w:space="0" w:color="BCBEC0"/>
            </w:tcBorders>
          </w:tcPr>
          <w:p w14:paraId="197D01DE" w14:textId="77777777" w:rsidR="002B5704" w:rsidRPr="00B438C3" w:rsidRDefault="002B5704" w:rsidP="006D75C8">
            <w:pPr>
              <w:rPr>
                <w:rFonts w:cs="Arial"/>
              </w:rPr>
            </w:pPr>
            <w:r w:rsidRPr="00B438C3">
              <w:rPr>
                <w:rFonts w:cs="Arial"/>
              </w:rPr>
              <w:t>Be proactive and responsible for own actions, and adhere to legislation, policy and guidelines</w:t>
            </w:r>
          </w:p>
        </w:tc>
        <w:tc>
          <w:tcPr>
            <w:tcW w:w="1606" w:type="dxa"/>
            <w:tcBorders>
              <w:bottom w:val="single" w:sz="4" w:space="0" w:color="BCBEC0"/>
            </w:tcBorders>
          </w:tcPr>
          <w:p w14:paraId="6BBD6562" w14:textId="77777777" w:rsidR="002B5704" w:rsidRPr="00B438C3" w:rsidRDefault="002B5704" w:rsidP="006D75C8">
            <w:pPr>
              <w:pStyle w:val="TableBullet"/>
              <w:numPr>
                <w:ilvl w:val="0"/>
                <w:numId w:val="0"/>
              </w:numPr>
              <w:jc w:val="both"/>
              <w:rPr>
                <w:rFonts w:cs="Arial"/>
              </w:rPr>
            </w:pPr>
            <w:r w:rsidRPr="00B438C3">
              <w:rPr>
                <w:rFonts w:cs="Arial"/>
              </w:rPr>
              <w:t>Advanced</w:t>
            </w:r>
          </w:p>
        </w:tc>
      </w:tr>
      <w:tr w:rsidR="002B5704" w:rsidRPr="00B438C3" w14:paraId="1B521142" w14:textId="77777777" w:rsidTr="006D75C8">
        <w:tc>
          <w:tcPr>
            <w:tcW w:w="1406" w:type="dxa"/>
            <w:vMerge w:val="restart"/>
            <w:tcBorders>
              <w:bottom w:val="single" w:sz="4" w:space="0" w:color="BCBEC0"/>
            </w:tcBorders>
          </w:tcPr>
          <w:p w14:paraId="51E4C559" w14:textId="77777777" w:rsidR="002B5704" w:rsidRPr="00B438C3" w:rsidRDefault="002B5704" w:rsidP="006D75C8">
            <w:pPr>
              <w:keepNext/>
              <w:rPr>
                <w:rFonts w:cs="Arial"/>
              </w:rPr>
            </w:pPr>
            <w:r w:rsidRPr="00B438C3">
              <w:rPr>
                <w:rFonts w:cs="Arial"/>
                <w:noProof/>
                <w:lang w:eastAsia="en-AU"/>
              </w:rPr>
              <w:drawing>
                <wp:inline distT="0" distB="0" distL="0" distR="0" wp14:anchorId="39C21107" wp14:editId="6514073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14:paraId="5073C118" w14:textId="77777777" w:rsidR="002B5704" w:rsidRPr="00B438C3" w:rsidRDefault="002B5704" w:rsidP="006D75C8">
            <w:pPr>
              <w:rPr>
                <w:rFonts w:cs="Arial"/>
              </w:rPr>
            </w:pPr>
            <w:r w:rsidRPr="00B438C3">
              <w:rPr>
                <w:rFonts w:cs="Arial"/>
              </w:rPr>
              <w:t>Procurement and Contract Management</w:t>
            </w:r>
          </w:p>
        </w:tc>
        <w:tc>
          <w:tcPr>
            <w:tcW w:w="4770" w:type="dxa"/>
            <w:tcBorders>
              <w:bottom w:val="single" w:sz="4" w:space="0" w:color="BCBEC0"/>
            </w:tcBorders>
          </w:tcPr>
          <w:p w14:paraId="03C3A6CA" w14:textId="77777777" w:rsidR="002B5704" w:rsidRPr="00B438C3" w:rsidRDefault="002B5704" w:rsidP="006D75C8">
            <w:pPr>
              <w:rPr>
                <w:rFonts w:cs="Arial"/>
              </w:rPr>
            </w:pPr>
            <w:r w:rsidRPr="00B438C3">
              <w:rPr>
                <w:rFonts w:cs="Arial"/>
              </w:rPr>
              <w:t>Understand and apply procurement processes to ensure effective purchasing and contract performance</w:t>
            </w:r>
          </w:p>
        </w:tc>
        <w:tc>
          <w:tcPr>
            <w:tcW w:w="1606" w:type="dxa"/>
            <w:tcBorders>
              <w:bottom w:val="single" w:sz="4" w:space="0" w:color="BCBEC0"/>
            </w:tcBorders>
          </w:tcPr>
          <w:p w14:paraId="03E24A89" w14:textId="77777777" w:rsidR="002B5704" w:rsidRPr="00B438C3" w:rsidRDefault="002B5704" w:rsidP="006D75C8">
            <w:pPr>
              <w:pStyle w:val="TableBullet"/>
              <w:numPr>
                <w:ilvl w:val="0"/>
                <w:numId w:val="0"/>
              </w:numPr>
              <w:jc w:val="both"/>
              <w:rPr>
                <w:rFonts w:cs="Arial"/>
              </w:rPr>
            </w:pPr>
            <w:r w:rsidRPr="00B438C3">
              <w:rPr>
                <w:rFonts w:cs="Arial"/>
              </w:rPr>
              <w:t>Advanced</w:t>
            </w:r>
          </w:p>
        </w:tc>
      </w:tr>
      <w:tr w:rsidR="002B5704" w:rsidRPr="00B438C3" w14:paraId="15C37B4D" w14:textId="77777777" w:rsidTr="006D75C8">
        <w:tc>
          <w:tcPr>
            <w:tcW w:w="1406" w:type="dxa"/>
            <w:vMerge w:val="restart"/>
            <w:tcBorders>
              <w:bottom w:val="single" w:sz="4" w:space="0" w:color="BCBEC0"/>
            </w:tcBorders>
          </w:tcPr>
          <w:p w14:paraId="366CE040" w14:textId="77777777" w:rsidR="002B5704" w:rsidRPr="00B438C3" w:rsidRDefault="002B5704" w:rsidP="006D75C8">
            <w:pPr>
              <w:keepNext/>
              <w:rPr>
                <w:rFonts w:cs="Arial"/>
              </w:rPr>
            </w:pPr>
            <w:r w:rsidRPr="00B438C3">
              <w:rPr>
                <w:rFonts w:cs="Arial"/>
                <w:noProof/>
                <w:lang w:eastAsia="en-AU"/>
              </w:rPr>
              <w:drawing>
                <wp:inline distT="0" distB="0" distL="0" distR="0" wp14:anchorId="4C66BD39" wp14:editId="1C761C89">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sz="4" w:space="0" w:color="BCBEC0"/>
            </w:tcBorders>
          </w:tcPr>
          <w:p w14:paraId="09E3D7D6" w14:textId="77777777" w:rsidR="002B5704" w:rsidRPr="00B438C3" w:rsidRDefault="002B5704" w:rsidP="006D75C8">
            <w:pPr>
              <w:rPr>
                <w:rFonts w:cs="Arial"/>
              </w:rPr>
            </w:pPr>
            <w:r w:rsidRPr="00B438C3">
              <w:rPr>
                <w:rFonts w:cs="Arial"/>
              </w:rPr>
              <w:t>Manage and Develop People</w:t>
            </w:r>
          </w:p>
        </w:tc>
        <w:tc>
          <w:tcPr>
            <w:tcW w:w="4770" w:type="dxa"/>
            <w:tcBorders>
              <w:bottom w:val="single" w:sz="4" w:space="0" w:color="BCBEC0"/>
            </w:tcBorders>
          </w:tcPr>
          <w:p w14:paraId="04DBE564" w14:textId="77777777" w:rsidR="002B5704" w:rsidRPr="00B438C3" w:rsidRDefault="002B5704" w:rsidP="006D75C8">
            <w:pPr>
              <w:rPr>
                <w:rFonts w:cs="Arial"/>
              </w:rPr>
            </w:pPr>
            <w:r w:rsidRPr="00B438C3">
              <w:rPr>
                <w:rFonts w:cs="Arial"/>
              </w:rPr>
              <w:t xml:space="preserve">Engage and motivate staff, and develop capability </w:t>
            </w:r>
            <w:r w:rsidRPr="00B438C3">
              <w:rPr>
                <w:rFonts w:cs="Arial"/>
              </w:rPr>
              <w:lastRenderedPageBreak/>
              <w:t>and potential in others</w:t>
            </w:r>
          </w:p>
        </w:tc>
        <w:tc>
          <w:tcPr>
            <w:tcW w:w="1606" w:type="dxa"/>
            <w:tcBorders>
              <w:bottom w:val="single" w:sz="4" w:space="0" w:color="BCBEC0"/>
            </w:tcBorders>
          </w:tcPr>
          <w:p w14:paraId="02FBED19" w14:textId="77777777" w:rsidR="002B5704" w:rsidRPr="00B438C3" w:rsidRDefault="002B5704" w:rsidP="006D75C8">
            <w:pPr>
              <w:pStyle w:val="TableBullet"/>
              <w:numPr>
                <w:ilvl w:val="0"/>
                <w:numId w:val="0"/>
              </w:numPr>
              <w:jc w:val="both"/>
              <w:rPr>
                <w:rFonts w:cs="Arial"/>
              </w:rPr>
            </w:pPr>
            <w:r w:rsidRPr="00B438C3">
              <w:rPr>
                <w:rFonts w:cs="Arial"/>
              </w:rPr>
              <w:lastRenderedPageBreak/>
              <w:t>Highly Advanced</w:t>
            </w:r>
          </w:p>
        </w:tc>
      </w:tr>
      <w:tr w:rsidR="002B5704" w:rsidRPr="00B438C3" w14:paraId="5DE8A404" w14:textId="77777777" w:rsidTr="006D75C8">
        <w:tc>
          <w:tcPr>
            <w:tcW w:w="1406" w:type="dxa"/>
            <w:vMerge/>
            <w:tcBorders>
              <w:bottom w:val="single" w:sz="4" w:space="0" w:color="BCBEC0"/>
            </w:tcBorders>
          </w:tcPr>
          <w:p w14:paraId="075DFAB1"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3B6707E1" w14:textId="77777777" w:rsidR="002B5704" w:rsidRPr="00B438C3" w:rsidRDefault="002B5704" w:rsidP="006D75C8">
            <w:pPr>
              <w:rPr>
                <w:rFonts w:cs="Arial"/>
              </w:rPr>
            </w:pPr>
            <w:r w:rsidRPr="00B438C3">
              <w:rPr>
                <w:rFonts w:cs="Arial"/>
              </w:rPr>
              <w:t>Optimise Business Outcomes</w:t>
            </w:r>
          </w:p>
        </w:tc>
        <w:tc>
          <w:tcPr>
            <w:tcW w:w="4770" w:type="dxa"/>
            <w:tcBorders>
              <w:bottom w:val="single" w:sz="4" w:space="0" w:color="BCBEC0"/>
            </w:tcBorders>
          </w:tcPr>
          <w:p w14:paraId="7AA629B0" w14:textId="77777777" w:rsidR="002B5704" w:rsidRPr="00B438C3" w:rsidRDefault="002B5704" w:rsidP="006D75C8">
            <w:pPr>
              <w:rPr>
                <w:rFonts w:cs="Arial"/>
              </w:rPr>
            </w:pPr>
            <w:r w:rsidRPr="00B438C3">
              <w:rPr>
                <w:rFonts w:cs="Arial"/>
              </w:rPr>
              <w:t>Manage people and resources effectively to achieve public value</w:t>
            </w:r>
          </w:p>
        </w:tc>
        <w:tc>
          <w:tcPr>
            <w:tcW w:w="1606" w:type="dxa"/>
            <w:tcBorders>
              <w:bottom w:val="single" w:sz="4" w:space="0" w:color="BCBEC0"/>
            </w:tcBorders>
          </w:tcPr>
          <w:p w14:paraId="539A34CE" w14:textId="77777777" w:rsidR="002B5704" w:rsidRPr="00B438C3" w:rsidRDefault="002B5704" w:rsidP="006D75C8">
            <w:pPr>
              <w:pStyle w:val="TableBullet"/>
              <w:numPr>
                <w:ilvl w:val="0"/>
                <w:numId w:val="0"/>
              </w:numPr>
              <w:jc w:val="both"/>
              <w:rPr>
                <w:rFonts w:cs="Arial"/>
              </w:rPr>
            </w:pPr>
            <w:r w:rsidRPr="00B438C3">
              <w:rPr>
                <w:rFonts w:cs="Arial"/>
              </w:rPr>
              <w:t>Highly Advanced</w:t>
            </w:r>
          </w:p>
        </w:tc>
      </w:tr>
      <w:tr w:rsidR="002B5704" w:rsidRPr="00B438C3" w14:paraId="4A2AD2FE" w14:textId="77777777" w:rsidTr="006D75C8">
        <w:tblPrEx>
          <w:tblBorders>
            <w:top w:val="single" w:sz="8" w:space="0" w:color="auto"/>
            <w:bottom w:val="single" w:sz="8" w:space="0" w:color="BCBEC0"/>
          </w:tblBorders>
        </w:tblPrEx>
        <w:tc>
          <w:tcPr>
            <w:tcW w:w="10753" w:type="dxa"/>
            <w:gridSpan w:val="5"/>
            <w:shd w:val="clear" w:color="auto" w:fill="6D276A"/>
          </w:tcPr>
          <w:p w14:paraId="40E91DD9" w14:textId="77777777" w:rsidR="002B5704" w:rsidRPr="00B438C3" w:rsidRDefault="002B5704" w:rsidP="006D75C8">
            <w:pPr>
              <w:pStyle w:val="TableBullet"/>
              <w:numPr>
                <w:ilvl w:val="0"/>
                <w:numId w:val="0"/>
              </w:numPr>
              <w:spacing w:line="240" w:lineRule="auto"/>
              <w:jc w:val="both"/>
              <w:rPr>
                <w:rFonts w:cs="Arial"/>
                <w:b/>
                <w:bCs/>
                <w:noProof/>
                <w:color w:val="FF0000"/>
                <w:highlight w:val="yellow"/>
                <w:lang w:eastAsia="en-AU"/>
              </w:rPr>
            </w:pPr>
            <w:r w:rsidRPr="00B438C3">
              <w:rPr>
                <w:rFonts w:cs="Arial"/>
                <w:b/>
                <w:bCs/>
                <w:color w:val="FFFFFF" w:themeColor="background1"/>
                <w:sz w:val="24"/>
                <w:szCs w:val="24"/>
              </w:rPr>
              <w:t>Occupation specific capability set</w:t>
            </w:r>
          </w:p>
        </w:tc>
      </w:tr>
      <w:tr w:rsidR="002B5704" w:rsidRPr="00B438C3" w14:paraId="1DDE9D10" w14:textId="77777777" w:rsidTr="006D75C8">
        <w:tc>
          <w:tcPr>
            <w:tcW w:w="1406" w:type="dxa"/>
            <w:vMerge w:val="restart"/>
            <w:tcBorders>
              <w:bottom w:val="single" w:sz="4" w:space="0" w:color="BCBEC0"/>
            </w:tcBorders>
          </w:tcPr>
          <w:p w14:paraId="67ED26D9" w14:textId="77777777" w:rsidR="002B5704" w:rsidRPr="00B438C3" w:rsidRDefault="002B5704" w:rsidP="006D75C8">
            <w:pPr>
              <w:keepNext/>
              <w:rPr>
                <w:rFonts w:cs="Arial"/>
              </w:rPr>
            </w:pPr>
            <w:r w:rsidRPr="00B438C3">
              <w:rPr>
                <w:rFonts w:cs="Arial"/>
                <w:noProof/>
                <w:lang w:eastAsia="en-AU"/>
              </w:rPr>
              <w:drawing>
                <wp:inline distT="0" distB="0" distL="0" distR="0" wp14:anchorId="7A316BAA" wp14:editId="54FC45ED">
                  <wp:extent cx="847725" cy="847725"/>
                  <wp:effectExtent l="0" t="0" r="9525" b="9525"/>
                  <wp:docPr id="7" name="human-resources-professionals-capability-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0731" cy="860731"/>
                          </a:xfrm>
                          <a:prstGeom prst="rect">
                            <a:avLst/>
                          </a:prstGeom>
                          <a:noFill/>
                          <a:ln>
                            <a:noFill/>
                          </a:ln>
                        </pic:spPr>
                      </pic:pic>
                    </a:graphicData>
                  </a:graphic>
                </wp:inline>
              </w:drawing>
            </w:r>
          </w:p>
        </w:tc>
        <w:tc>
          <w:tcPr>
            <w:tcW w:w="2971" w:type="dxa"/>
            <w:gridSpan w:val="2"/>
            <w:tcBorders>
              <w:bottom w:val="single" w:sz="4" w:space="0" w:color="BCBEC0"/>
            </w:tcBorders>
          </w:tcPr>
          <w:p w14:paraId="0FF8451A" w14:textId="77777777" w:rsidR="002B5704" w:rsidRPr="00B438C3" w:rsidRDefault="002B5704" w:rsidP="006D75C8">
            <w:pPr>
              <w:rPr>
                <w:rFonts w:cs="Arial"/>
              </w:rPr>
            </w:pPr>
            <w:r w:rsidRPr="00B438C3">
              <w:rPr>
                <w:rFonts w:cs="Arial"/>
              </w:rPr>
              <w:t>Workforce strategy</w:t>
            </w:r>
          </w:p>
        </w:tc>
        <w:tc>
          <w:tcPr>
            <w:tcW w:w="4770" w:type="dxa"/>
            <w:tcBorders>
              <w:bottom w:val="single" w:sz="4" w:space="0" w:color="BCBEC0"/>
            </w:tcBorders>
          </w:tcPr>
          <w:p w14:paraId="427FA9FF" w14:textId="77777777" w:rsidR="002B5704" w:rsidRPr="00B438C3" w:rsidRDefault="002B5704" w:rsidP="006D75C8">
            <w:pPr>
              <w:rPr>
                <w:rFonts w:cs="Arial"/>
              </w:rPr>
            </w:pPr>
            <w:r w:rsidRPr="00B438C3">
              <w:rPr>
                <w:rFonts w:cs="Arial"/>
              </w:rPr>
              <w:t>Contribute to defining business objectives, create evidence based workforce strategies to achieve outcomes and guide the organisation through the required change</w:t>
            </w:r>
          </w:p>
        </w:tc>
        <w:tc>
          <w:tcPr>
            <w:tcW w:w="1606" w:type="dxa"/>
            <w:tcBorders>
              <w:bottom w:val="single" w:sz="4" w:space="0" w:color="BCBEC0"/>
            </w:tcBorders>
          </w:tcPr>
          <w:p w14:paraId="36A97447" w14:textId="77777777" w:rsidR="002B5704" w:rsidRPr="00B438C3" w:rsidRDefault="002B5704" w:rsidP="006D75C8">
            <w:pPr>
              <w:pStyle w:val="TableBullet"/>
              <w:numPr>
                <w:ilvl w:val="0"/>
                <w:numId w:val="0"/>
              </w:numPr>
              <w:jc w:val="both"/>
              <w:rPr>
                <w:rFonts w:cs="Arial"/>
              </w:rPr>
            </w:pPr>
            <w:r w:rsidRPr="00B438C3">
              <w:rPr>
                <w:rFonts w:cs="Arial"/>
              </w:rPr>
              <w:t>Level 4</w:t>
            </w:r>
          </w:p>
        </w:tc>
      </w:tr>
      <w:tr w:rsidR="002B5704" w:rsidRPr="00B438C3" w14:paraId="431085DC" w14:textId="77777777" w:rsidTr="006D75C8">
        <w:tc>
          <w:tcPr>
            <w:tcW w:w="1406" w:type="dxa"/>
            <w:vMerge/>
            <w:tcBorders>
              <w:bottom w:val="single" w:sz="4" w:space="0" w:color="BCBEC0"/>
            </w:tcBorders>
          </w:tcPr>
          <w:p w14:paraId="003C3D6B"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220CD3BE" w14:textId="77777777" w:rsidR="002B5704" w:rsidRPr="00B438C3" w:rsidRDefault="002B5704" w:rsidP="006D75C8">
            <w:pPr>
              <w:rPr>
                <w:rFonts w:cs="Arial"/>
              </w:rPr>
            </w:pPr>
            <w:r w:rsidRPr="00B438C3">
              <w:rPr>
                <w:rFonts w:cs="Arial"/>
              </w:rPr>
              <w:t>Organisational culture</w:t>
            </w:r>
          </w:p>
        </w:tc>
        <w:tc>
          <w:tcPr>
            <w:tcW w:w="4770" w:type="dxa"/>
            <w:tcBorders>
              <w:bottom w:val="single" w:sz="4" w:space="0" w:color="BCBEC0"/>
            </w:tcBorders>
          </w:tcPr>
          <w:p w14:paraId="6123D765" w14:textId="77777777" w:rsidR="002B5704" w:rsidRPr="00B438C3" w:rsidRDefault="002B5704" w:rsidP="006D75C8">
            <w:pPr>
              <w:rPr>
                <w:rFonts w:cs="Arial"/>
              </w:rPr>
            </w:pPr>
            <w:r w:rsidRPr="00B438C3">
              <w:rPr>
                <w:rFonts w:cs="Arial"/>
              </w:rPr>
              <w:t>Identify, assess and encourage workplace values and behaviours to foster an engaged, inclusive and high performing workforce</w:t>
            </w:r>
          </w:p>
        </w:tc>
        <w:tc>
          <w:tcPr>
            <w:tcW w:w="1606" w:type="dxa"/>
            <w:tcBorders>
              <w:bottom w:val="single" w:sz="4" w:space="0" w:color="BCBEC0"/>
            </w:tcBorders>
          </w:tcPr>
          <w:p w14:paraId="370B2ED6" w14:textId="77777777" w:rsidR="002B5704" w:rsidRPr="00B438C3" w:rsidRDefault="002B5704" w:rsidP="006D75C8">
            <w:pPr>
              <w:pStyle w:val="TableBullet"/>
              <w:numPr>
                <w:ilvl w:val="0"/>
                <w:numId w:val="0"/>
              </w:numPr>
              <w:jc w:val="both"/>
              <w:rPr>
                <w:rFonts w:cs="Arial"/>
              </w:rPr>
            </w:pPr>
            <w:r w:rsidRPr="00B438C3">
              <w:rPr>
                <w:rFonts w:cs="Arial"/>
              </w:rPr>
              <w:t>Level 4</w:t>
            </w:r>
          </w:p>
        </w:tc>
      </w:tr>
      <w:tr w:rsidR="002B5704" w:rsidRPr="00B438C3" w14:paraId="1D2AAE75" w14:textId="77777777" w:rsidTr="006D75C8">
        <w:tc>
          <w:tcPr>
            <w:tcW w:w="1406" w:type="dxa"/>
            <w:vMerge/>
            <w:tcBorders>
              <w:bottom w:val="single" w:sz="4" w:space="0" w:color="BCBEC0"/>
            </w:tcBorders>
          </w:tcPr>
          <w:p w14:paraId="6BEC12A6"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5A946051" w14:textId="77777777" w:rsidR="002B5704" w:rsidRPr="00B438C3" w:rsidRDefault="002B5704" w:rsidP="006D75C8">
            <w:pPr>
              <w:rPr>
                <w:rFonts w:cs="Arial"/>
              </w:rPr>
            </w:pPr>
            <w:r w:rsidRPr="00B438C3">
              <w:rPr>
                <w:rFonts w:cs="Arial"/>
              </w:rPr>
              <w:t>Workforce Relations</w:t>
            </w:r>
          </w:p>
        </w:tc>
        <w:tc>
          <w:tcPr>
            <w:tcW w:w="4770" w:type="dxa"/>
            <w:tcBorders>
              <w:bottom w:val="single" w:sz="4" w:space="0" w:color="BCBEC0"/>
            </w:tcBorders>
          </w:tcPr>
          <w:p w14:paraId="093FE091" w14:textId="77777777" w:rsidR="002B5704" w:rsidRPr="00B438C3" w:rsidRDefault="002B5704" w:rsidP="006D75C8">
            <w:pPr>
              <w:rPr>
                <w:rFonts w:cs="Arial"/>
              </w:rPr>
            </w:pPr>
            <w:r w:rsidRPr="00B438C3">
              <w:rPr>
                <w:rFonts w:cs="Arial"/>
              </w:rPr>
              <w:t>Develop and deliver effective workplace practices aligned with organisational objectives and regulatory and legislative requirements</w:t>
            </w:r>
          </w:p>
        </w:tc>
        <w:tc>
          <w:tcPr>
            <w:tcW w:w="1606" w:type="dxa"/>
            <w:tcBorders>
              <w:bottom w:val="single" w:sz="4" w:space="0" w:color="BCBEC0"/>
            </w:tcBorders>
          </w:tcPr>
          <w:p w14:paraId="7296C5AF" w14:textId="77777777" w:rsidR="002B5704" w:rsidRPr="00B438C3" w:rsidRDefault="002B5704" w:rsidP="006D75C8">
            <w:pPr>
              <w:pStyle w:val="TableBullet"/>
              <w:numPr>
                <w:ilvl w:val="0"/>
                <w:numId w:val="0"/>
              </w:numPr>
              <w:jc w:val="both"/>
              <w:rPr>
                <w:rFonts w:cs="Arial"/>
              </w:rPr>
            </w:pPr>
            <w:r w:rsidRPr="00B438C3">
              <w:rPr>
                <w:rFonts w:cs="Arial"/>
              </w:rPr>
              <w:t>Level 4</w:t>
            </w:r>
          </w:p>
        </w:tc>
      </w:tr>
      <w:tr w:rsidR="002B5704" w:rsidRPr="00B438C3" w14:paraId="44C7DFF8" w14:textId="77777777" w:rsidTr="006D75C8">
        <w:tc>
          <w:tcPr>
            <w:tcW w:w="1406" w:type="dxa"/>
            <w:vMerge/>
            <w:tcBorders>
              <w:bottom w:val="single" w:sz="4" w:space="0" w:color="BCBEC0"/>
            </w:tcBorders>
          </w:tcPr>
          <w:p w14:paraId="097376EE"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2DA63352" w14:textId="77777777" w:rsidR="002B5704" w:rsidRPr="00B438C3" w:rsidRDefault="002B5704" w:rsidP="006D75C8">
            <w:pPr>
              <w:rPr>
                <w:rFonts w:cs="Arial"/>
              </w:rPr>
            </w:pPr>
            <w:r w:rsidRPr="00B438C3">
              <w:rPr>
                <w:rFonts w:cs="Arial"/>
              </w:rPr>
              <w:t>Workforce insights</w:t>
            </w:r>
          </w:p>
        </w:tc>
        <w:tc>
          <w:tcPr>
            <w:tcW w:w="4770" w:type="dxa"/>
            <w:tcBorders>
              <w:bottom w:val="single" w:sz="4" w:space="0" w:color="BCBEC0"/>
            </w:tcBorders>
          </w:tcPr>
          <w:p w14:paraId="5C0BA6BB" w14:textId="77777777" w:rsidR="002B5704" w:rsidRPr="00B438C3" w:rsidRDefault="002B5704" w:rsidP="006D75C8">
            <w:pPr>
              <w:rPr>
                <w:rFonts w:cs="Arial"/>
              </w:rPr>
            </w:pPr>
            <w:r w:rsidRPr="00B438C3">
              <w:rPr>
                <w:rFonts w:cs="Arial"/>
              </w:rPr>
              <w:t>Establish and maintain workforce management systems, data and analysis to support evidence-based decision making</w:t>
            </w:r>
          </w:p>
        </w:tc>
        <w:tc>
          <w:tcPr>
            <w:tcW w:w="1606" w:type="dxa"/>
            <w:tcBorders>
              <w:bottom w:val="single" w:sz="4" w:space="0" w:color="BCBEC0"/>
            </w:tcBorders>
          </w:tcPr>
          <w:p w14:paraId="46083AE3" w14:textId="77777777" w:rsidR="002B5704" w:rsidRPr="00B438C3" w:rsidRDefault="002B5704" w:rsidP="006D75C8">
            <w:pPr>
              <w:pStyle w:val="TableBullet"/>
              <w:numPr>
                <w:ilvl w:val="0"/>
                <w:numId w:val="0"/>
              </w:numPr>
              <w:jc w:val="both"/>
              <w:rPr>
                <w:rFonts w:cs="Arial"/>
              </w:rPr>
            </w:pPr>
            <w:r w:rsidRPr="00B438C3">
              <w:rPr>
                <w:rFonts w:cs="Arial"/>
              </w:rPr>
              <w:t>Level 4</w:t>
            </w:r>
          </w:p>
        </w:tc>
      </w:tr>
      <w:tr w:rsidR="002B5704" w:rsidRPr="00B438C3" w14:paraId="5ADDBB9C" w14:textId="77777777" w:rsidTr="006D75C8">
        <w:tc>
          <w:tcPr>
            <w:tcW w:w="1406" w:type="dxa"/>
            <w:vMerge w:val="restart"/>
            <w:tcBorders>
              <w:bottom w:val="single" w:sz="4" w:space="0" w:color="BCBEC0"/>
            </w:tcBorders>
          </w:tcPr>
          <w:p w14:paraId="42E80E33" w14:textId="77777777" w:rsidR="002B5704" w:rsidRPr="00B438C3" w:rsidRDefault="002B5704" w:rsidP="006D75C8">
            <w:pPr>
              <w:keepNext/>
              <w:rPr>
                <w:rFonts w:cs="Arial"/>
              </w:rPr>
            </w:pPr>
            <w:r w:rsidRPr="00B438C3">
              <w:rPr>
                <w:rFonts w:cs="Arial"/>
                <w:noProof/>
                <w:lang w:eastAsia="en-AU"/>
              </w:rPr>
              <w:drawing>
                <wp:inline distT="0" distB="0" distL="0" distR="0" wp14:anchorId="6D1387F6" wp14:editId="2153D3AB">
                  <wp:extent cx="848995" cy="848995"/>
                  <wp:effectExtent l="0" t="0" r="8255" b="8255"/>
                  <wp:docPr id="9" name="finance-professionals-capability-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857775" cy="857775"/>
                          </a:xfrm>
                          <a:prstGeom prst="rect">
                            <a:avLst/>
                          </a:prstGeom>
                          <a:noFill/>
                          <a:ln>
                            <a:noFill/>
                          </a:ln>
                        </pic:spPr>
                      </pic:pic>
                    </a:graphicData>
                  </a:graphic>
                </wp:inline>
              </w:drawing>
            </w:r>
          </w:p>
        </w:tc>
        <w:tc>
          <w:tcPr>
            <w:tcW w:w="2971" w:type="dxa"/>
            <w:gridSpan w:val="2"/>
            <w:tcBorders>
              <w:bottom w:val="single" w:sz="4" w:space="0" w:color="BCBEC0"/>
            </w:tcBorders>
          </w:tcPr>
          <w:p w14:paraId="5B75A3F3" w14:textId="77777777" w:rsidR="002B5704" w:rsidRPr="00B438C3" w:rsidRDefault="002B5704" w:rsidP="006D75C8">
            <w:pPr>
              <w:rPr>
                <w:rFonts w:cs="Arial"/>
              </w:rPr>
            </w:pPr>
            <w:r w:rsidRPr="00B438C3">
              <w:rPr>
                <w:rFonts w:cs="Arial"/>
              </w:rPr>
              <w:t>Financial Strategy, Governance and Risk Management</w:t>
            </w:r>
          </w:p>
        </w:tc>
        <w:tc>
          <w:tcPr>
            <w:tcW w:w="4770" w:type="dxa"/>
            <w:tcBorders>
              <w:bottom w:val="single" w:sz="4" w:space="0" w:color="BCBEC0"/>
            </w:tcBorders>
          </w:tcPr>
          <w:p w14:paraId="4B1F90EC" w14:textId="77777777" w:rsidR="002B5704" w:rsidRPr="00B438C3" w:rsidRDefault="002B5704" w:rsidP="006D75C8">
            <w:pPr>
              <w:rPr>
                <w:rFonts w:cs="Arial"/>
              </w:rPr>
            </w:pPr>
            <w:r w:rsidRPr="00B438C3">
              <w:rPr>
                <w:rFonts w:cs="Arial"/>
              </w:rPr>
              <w:t>Establish effective and appropriate governance, assess the organisation’s strategic financial position, and ensure effective investment and financing decisions</w:t>
            </w:r>
          </w:p>
        </w:tc>
        <w:tc>
          <w:tcPr>
            <w:tcW w:w="1606" w:type="dxa"/>
            <w:tcBorders>
              <w:bottom w:val="single" w:sz="4" w:space="0" w:color="BCBEC0"/>
            </w:tcBorders>
          </w:tcPr>
          <w:p w14:paraId="150779F0" w14:textId="77777777" w:rsidR="002B5704" w:rsidRPr="00B438C3" w:rsidRDefault="002B5704" w:rsidP="006D75C8">
            <w:pPr>
              <w:pStyle w:val="TableBullet"/>
              <w:numPr>
                <w:ilvl w:val="0"/>
                <w:numId w:val="0"/>
              </w:numPr>
              <w:jc w:val="both"/>
              <w:rPr>
                <w:rFonts w:cs="Arial"/>
              </w:rPr>
            </w:pPr>
            <w:r w:rsidRPr="00B438C3">
              <w:rPr>
                <w:rFonts w:cs="Arial"/>
              </w:rPr>
              <w:t>Level 5</w:t>
            </w:r>
          </w:p>
        </w:tc>
      </w:tr>
      <w:tr w:rsidR="002B5704" w:rsidRPr="00B438C3" w14:paraId="6A57F95C" w14:textId="77777777" w:rsidTr="006D75C8">
        <w:tc>
          <w:tcPr>
            <w:tcW w:w="1406" w:type="dxa"/>
            <w:vMerge/>
            <w:tcBorders>
              <w:bottom w:val="single" w:sz="4" w:space="0" w:color="BCBEC0"/>
            </w:tcBorders>
          </w:tcPr>
          <w:p w14:paraId="07733E32"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6B25B491" w14:textId="77777777" w:rsidR="002B5704" w:rsidRPr="00B438C3" w:rsidRDefault="002B5704" w:rsidP="006D75C8">
            <w:pPr>
              <w:rPr>
                <w:rFonts w:cs="Arial"/>
              </w:rPr>
            </w:pPr>
            <w:r w:rsidRPr="00B438C3">
              <w:rPr>
                <w:rFonts w:cs="Arial"/>
              </w:rPr>
              <w:t>Financial Accounting and Statutory Reporting</w:t>
            </w:r>
          </w:p>
        </w:tc>
        <w:tc>
          <w:tcPr>
            <w:tcW w:w="4770" w:type="dxa"/>
            <w:tcBorders>
              <w:bottom w:val="single" w:sz="4" w:space="0" w:color="BCBEC0"/>
            </w:tcBorders>
          </w:tcPr>
          <w:p w14:paraId="208D058E" w14:textId="77777777" w:rsidR="002B5704" w:rsidRPr="00B438C3" w:rsidRDefault="002B5704" w:rsidP="006D75C8">
            <w:pPr>
              <w:rPr>
                <w:rFonts w:cs="Arial"/>
              </w:rPr>
            </w:pPr>
            <w:r w:rsidRPr="00B438C3">
              <w:rPr>
                <w:rFonts w:cs="Arial"/>
              </w:rPr>
              <w:t>Apply and comply with accounting standards, legislation and specific organisational policies, standards and protocols, and implement effective statutory and other external reporting requirements</w:t>
            </w:r>
          </w:p>
        </w:tc>
        <w:tc>
          <w:tcPr>
            <w:tcW w:w="1606" w:type="dxa"/>
            <w:tcBorders>
              <w:bottom w:val="single" w:sz="4" w:space="0" w:color="BCBEC0"/>
            </w:tcBorders>
          </w:tcPr>
          <w:p w14:paraId="5D1ADB32" w14:textId="77777777" w:rsidR="002B5704" w:rsidRPr="00B438C3" w:rsidRDefault="002B5704" w:rsidP="006D75C8">
            <w:pPr>
              <w:pStyle w:val="TableBullet"/>
              <w:numPr>
                <w:ilvl w:val="0"/>
                <w:numId w:val="0"/>
              </w:numPr>
              <w:jc w:val="both"/>
              <w:rPr>
                <w:rFonts w:cs="Arial"/>
              </w:rPr>
            </w:pPr>
            <w:r w:rsidRPr="00B438C3">
              <w:rPr>
                <w:rFonts w:cs="Arial"/>
              </w:rPr>
              <w:t>Level 5</w:t>
            </w:r>
          </w:p>
        </w:tc>
      </w:tr>
      <w:tr w:rsidR="002B5704" w:rsidRPr="00B438C3" w14:paraId="6BED9502" w14:textId="77777777" w:rsidTr="006D75C8">
        <w:tc>
          <w:tcPr>
            <w:tcW w:w="1406" w:type="dxa"/>
            <w:vMerge/>
            <w:tcBorders>
              <w:bottom w:val="single" w:sz="4" w:space="0" w:color="BCBEC0"/>
            </w:tcBorders>
          </w:tcPr>
          <w:p w14:paraId="4C06235A"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228700E0" w14:textId="77777777" w:rsidR="002B5704" w:rsidRPr="00B438C3" w:rsidRDefault="002B5704" w:rsidP="006D75C8">
            <w:pPr>
              <w:rPr>
                <w:rFonts w:cs="Arial"/>
              </w:rPr>
            </w:pPr>
            <w:r w:rsidRPr="00B438C3">
              <w:rPr>
                <w:rFonts w:cs="Arial"/>
              </w:rPr>
              <w:t>Management Accounting</w:t>
            </w:r>
          </w:p>
        </w:tc>
        <w:tc>
          <w:tcPr>
            <w:tcW w:w="4770" w:type="dxa"/>
            <w:tcBorders>
              <w:bottom w:val="single" w:sz="4" w:space="0" w:color="BCBEC0"/>
            </w:tcBorders>
          </w:tcPr>
          <w:p w14:paraId="3039484C" w14:textId="77777777" w:rsidR="002B5704" w:rsidRPr="00B438C3" w:rsidRDefault="002B5704" w:rsidP="006D75C8">
            <w:pPr>
              <w:rPr>
                <w:rFonts w:cs="Arial"/>
              </w:rPr>
            </w:pPr>
            <w:r w:rsidRPr="00B438C3">
              <w:rPr>
                <w:rFonts w:cs="Arial"/>
              </w:rPr>
              <w:t>Provide high quality analysis and evaluation of financial and operational performance to inform management decisions, and to underpin effective budget formulation, forecasting and projections</w:t>
            </w:r>
          </w:p>
        </w:tc>
        <w:tc>
          <w:tcPr>
            <w:tcW w:w="1606" w:type="dxa"/>
            <w:tcBorders>
              <w:bottom w:val="single" w:sz="4" w:space="0" w:color="BCBEC0"/>
            </w:tcBorders>
          </w:tcPr>
          <w:p w14:paraId="20976AEC" w14:textId="77777777" w:rsidR="002B5704" w:rsidRPr="00B438C3" w:rsidRDefault="002B5704" w:rsidP="006D75C8">
            <w:pPr>
              <w:pStyle w:val="TableBullet"/>
              <w:numPr>
                <w:ilvl w:val="0"/>
                <w:numId w:val="0"/>
              </w:numPr>
              <w:jc w:val="both"/>
              <w:rPr>
                <w:rFonts w:cs="Arial"/>
              </w:rPr>
            </w:pPr>
            <w:r w:rsidRPr="00B438C3">
              <w:rPr>
                <w:rFonts w:cs="Arial"/>
              </w:rPr>
              <w:t>Level 5</w:t>
            </w:r>
          </w:p>
        </w:tc>
      </w:tr>
      <w:tr w:rsidR="002B5704" w:rsidRPr="00B438C3" w14:paraId="554BCC28" w14:textId="77777777" w:rsidTr="006D75C8">
        <w:tc>
          <w:tcPr>
            <w:tcW w:w="1406" w:type="dxa"/>
            <w:vMerge/>
            <w:tcBorders>
              <w:bottom w:val="single" w:sz="4" w:space="0" w:color="BCBEC0"/>
            </w:tcBorders>
          </w:tcPr>
          <w:p w14:paraId="147A4D30"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32EFEDCD" w14:textId="77777777" w:rsidR="002B5704" w:rsidRPr="00B438C3" w:rsidRDefault="002B5704" w:rsidP="006D75C8">
            <w:pPr>
              <w:rPr>
                <w:rFonts w:cs="Arial"/>
              </w:rPr>
            </w:pPr>
            <w:r w:rsidRPr="00B438C3">
              <w:rPr>
                <w:rFonts w:cs="Arial"/>
              </w:rPr>
              <w:t>Audit and Assurance</w:t>
            </w:r>
          </w:p>
        </w:tc>
        <w:tc>
          <w:tcPr>
            <w:tcW w:w="4770" w:type="dxa"/>
            <w:tcBorders>
              <w:bottom w:val="single" w:sz="4" w:space="0" w:color="BCBEC0"/>
            </w:tcBorders>
          </w:tcPr>
          <w:p w14:paraId="39829043" w14:textId="77777777" w:rsidR="002B5704" w:rsidRPr="00B438C3" w:rsidRDefault="002B5704" w:rsidP="006D75C8">
            <w:pPr>
              <w:rPr>
                <w:rFonts w:cs="Arial"/>
              </w:rPr>
            </w:pPr>
            <w:r w:rsidRPr="00B438C3">
              <w:rPr>
                <w:rFonts w:cs="Arial"/>
              </w:rPr>
              <w:t>Evaluate overall governance frameworks, financial and program information systems, and internal controls and practices to identify potential deficiencies or opportunities</w:t>
            </w:r>
          </w:p>
        </w:tc>
        <w:tc>
          <w:tcPr>
            <w:tcW w:w="1606" w:type="dxa"/>
            <w:tcBorders>
              <w:bottom w:val="single" w:sz="4" w:space="0" w:color="BCBEC0"/>
            </w:tcBorders>
          </w:tcPr>
          <w:p w14:paraId="60E53C6B" w14:textId="77777777" w:rsidR="002B5704" w:rsidRPr="00B438C3" w:rsidRDefault="002B5704" w:rsidP="006D75C8">
            <w:pPr>
              <w:pStyle w:val="TableBullet"/>
              <w:numPr>
                <w:ilvl w:val="0"/>
                <w:numId w:val="0"/>
              </w:numPr>
              <w:jc w:val="both"/>
              <w:rPr>
                <w:rFonts w:cs="Arial"/>
              </w:rPr>
            </w:pPr>
            <w:r w:rsidRPr="00B438C3">
              <w:rPr>
                <w:rFonts w:cs="Arial"/>
              </w:rPr>
              <w:t>Level 5</w:t>
            </w:r>
          </w:p>
        </w:tc>
      </w:tr>
      <w:tr w:rsidR="002B5704" w:rsidRPr="00B438C3" w14:paraId="036B11BB" w14:textId="77777777" w:rsidTr="006D75C8">
        <w:tc>
          <w:tcPr>
            <w:tcW w:w="1406" w:type="dxa"/>
            <w:vMerge/>
            <w:tcBorders>
              <w:bottom w:val="single" w:sz="4" w:space="0" w:color="BCBEC0"/>
            </w:tcBorders>
          </w:tcPr>
          <w:p w14:paraId="57E3FAF6"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601FA6CD" w14:textId="77777777" w:rsidR="002B5704" w:rsidRPr="00B438C3" w:rsidRDefault="002B5704" w:rsidP="006D75C8">
            <w:pPr>
              <w:rPr>
                <w:rFonts w:cs="Arial"/>
              </w:rPr>
            </w:pPr>
            <w:r w:rsidRPr="00B438C3">
              <w:rPr>
                <w:rFonts w:cs="Arial"/>
              </w:rPr>
              <w:t>Taxation</w:t>
            </w:r>
          </w:p>
        </w:tc>
        <w:tc>
          <w:tcPr>
            <w:tcW w:w="4770" w:type="dxa"/>
            <w:tcBorders>
              <w:bottom w:val="single" w:sz="4" w:space="0" w:color="BCBEC0"/>
            </w:tcBorders>
          </w:tcPr>
          <w:p w14:paraId="394EF4D8" w14:textId="77777777" w:rsidR="002B5704" w:rsidRPr="00B438C3" w:rsidRDefault="002B5704" w:rsidP="006D75C8">
            <w:pPr>
              <w:rPr>
                <w:rFonts w:cs="Arial"/>
              </w:rPr>
            </w:pPr>
            <w:r w:rsidRPr="00B438C3">
              <w:rPr>
                <w:rFonts w:cs="Arial"/>
              </w:rPr>
              <w:t>Comply with taxation regulations and systems and implement effective taxation planning</w:t>
            </w:r>
          </w:p>
        </w:tc>
        <w:tc>
          <w:tcPr>
            <w:tcW w:w="1606" w:type="dxa"/>
            <w:tcBorders>
              <w:bottom w:val="single" w:sz="4" w:space="0" w:color="BCBEC0"/>
            </w:tcBorders>
          </w:tcPr>
          <w:p w14:paraId="2513CB4D" w14:textId="77777777" w:rsidR="002B5704" w:rsidRPr="00B438C3" w:rsidRDefault="002B5704" w:rsidP="006D75C8">
            <w:pPr>
              <w:pStyle w:val="TableBullet"/>
              <w:numPr>
                <w:ilvl w:val="0"/>
                <w:numId w:val="0"/>
              </w:numPr>
              <w:jc w:val="both"/>
              <w:rPr>
                <w:rFonts w:cs="Arial"/>
              </w:rPr>
            </w:pPr>
            <w:r w:rsidRPr="00B438C3">
              <w:rPr>
                <w:rFonts w:cs="Arial"/>
              </w:rPr>
              <w:t>Level 5</w:t>
            </w:r>
          </w:p>
        </w:tc>
      </w:tr>
      <w:tr w:rsidR="002B5704" w:rsidRPr="00B438C3" w14:paraId="336858E6" w14:textId="77777777" w:rsidTr="006D75C8">
        <w:tc>
          <w:tcPr>
            <w:tcW w:w="1406" w:type="dxa"/>
            <w:vMerge/>
            <w:tcBorders>
              <w:bottom w:val="single" w:sz="4" w:space="0" w:color="BCBEC0"/>
            </w:tcBorders>
          </w:tcPr>
          <w:p w14:paraId="3D93F4B9"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7020231D" w14:textId="77777777" w:rsidR="002B5704" w:rsidRPr="00B438C3" w:rsidRDefault="002B5704" w:rsidP="006D75C8">
            <w:pPr>
              <w:rPr>
                <w:rFonts w:cs="Arial"/>
              </w:rPr>
            </w:pPr>
            <w:r w:rsidRPr="00B438C3">
              <w:rPr>
                <w:rFonts w:cs="Arial"/>
              </w:rPr>
              <w:t>Finance Operations and Systems</w:t>
            </w:r>
          </w:p>
        </w:tc>
        <w:tc>
          <w:tcPr>
            <w:tcW w:w="4770" w:type="dxa"/>
            <w:tcBorders>
              <w:bottom w:val="single" w:sz="4" w:space="0" w:color="BCBEC0"/>
            </w:tcBorders>
          </w:tcPr>
          <w:p w14:paraId="1BEFFB6F" w14:textId="77777777" w:rsidR="002B5704" w:rsidRPr="00B438C3" w:rsidRDefault="002B5704" w:rsidP="006D75C8">
            <w:pPr>
              <w:rPr>
                <w:rFonts w:cs="Arial"/>
              </w:rPr>
            </w:pPr>
            <w:r w:rsidRPr="00B438C3">
              <w:rPr>
                <w:rFonts w:cs="Arial"/>
              </w:rPr>
              <w:t>Ensure appropriateness and reliability of financial information systems, and effective governance, cash management and controls over transactional processes</w:t>
            </w:r>
          </w:p>
        </w:tc>
        <w:tc>
          <w:tcPr>
            <w:tcW w:w="1606" w:type="dxa"/>
            <w:tcBorders>
              <w:bottom w:val="single" w:sz="4" w:space="0" w:color="BCBEC0"/>
            </w:tcBorders>
          </w:tcPr>
          <w:p w14:paraId="608D9A61" w14:textId="77777777" w:rsidR="002B5704" w:rsidRPr="00B438C3" w:rsidRDefault="002B5704" w:rsidP="006D75C8">
            <w:pPr>
              <w:pStyle w:val="TableBullet"/>
              <w:numPr>
                <w:ilvl w:val="0"/>
                <w:numId w:val="0"/>
              </w:numPr>
              <w:jc w:val="both"/>
              <w:rPr>
                <w:rFonts w:cs="Arial"/>
              </w:rPr>
            </w:pPr>
            <w:r w:rsidRPr="00B438C3">
              <w:rPr>
                <w:rFonts w:cs="Arial"/>
              </w:rPr>
              <w:t>Level 5</w:t>
            </w:r>
          </w:p>
        </w:tc>
      </w:tr>
      <w:tr w:rsidR="002B5704" w:rsidRPr="00B438C3" w14:paraId="6764BCBF" w14:textId="77777777" w:rsidTr="006D75C8">
        <w:tc>
          <w:tcPr>
            <w:tcW w:w="1406" w:type="dxa"/>
            <w:vMerge w:val="restart"/>
            <w:tcBorders>
              <w:bottom w:val="single" w:sz="4" w:space="0" w:color="BCBEC0"/>
            </w:tcBorders>
          </w:tcPr>
          <w:p w14:paraId="45274B58" w14:textId="77777777" w:rsidR="002B5704" w:rsidRPr="00B438C3" w:rsidRDefault="002B5704" w:rsidP="006D75C8">
            <w:pPr>
              <w:keepNext/>
              <w:rPr>
                <w:rFonts w:cs="Arial"/>
              </w:rPr>
            </w:pPr>
            <w:r w:rsidRPr="00B438C3">
              <w:rPr>
                <w:rFonts w:cs="Arial"/>
                <w:noProof/>
                <w:lang w:eastAsia="en-AU"/>
              </w:rPr>
              <w:drawing>
                <wp:inline distT="0" distB="0" distL="0" distR="0" wp14:anchorId="27EBFECB" wp14:editId="239A8A04">
                  <wp:extent cx="838559" cy="838559"/>
                  <wp:effectExtent l="0" t="0" r="0" b="0"/>
                  <wp:docPr id="10" name="infrastructure-and-construction-project-leadership-capability-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838559" cy="838559"/>
                          </a:xfrm>
                          <a:prstGeom prst="rect">
                            <a:avLst/>
                          </a:prstGeom>
                          <a:noFill/>
                          <a:ln>
                            <a:noFill/>
                          </a:ln>
                        </pic:spPr>
                      </pic:pic>
                    </a:graphicData>
                  </a:graphic>
                </wp:inline>
              </w:drawing>
            </w:r>
          </w:p>
        </w:tc>
        <w:tc>
          <w:tcPr>
            <w:tcW w:w="2971" w:type="dxa"/>
            <w:gridSpan w:val="2"/>
            <w:tcBorders>
              <w:bottom w:val="single" w:sz="4" w:space="0" w:color="BCBEC0"/>
            </w:tcBorders>
          </w:tcPr>
          <w:p w14:paraId="0F823601" w14:textId="77777777" w:rsidR="002B5704" w:rsidRPr="00B438C3" w:rsidRDefault="002B5704" w:rsidP="006D75C8">
            <w:pPr>
              <w:rPr>
                <w:rFonts w:cs="Arial"/>
              </w:rPr>
            </w:pPr>
            <w:r w:rsidRPr="00B438C3">
              <w:rPr>
                <w:rFonts w:cs="Arial"/>
              </w:rPr>
              <w:t>Lead project teams and temporary organisations</w:t>
            </w:r>
          </w:p>
        </w:tc>
        <w:tc>
          <w:tcPr>
            <w:tcW w:w="4770" w:type="dxa"/>
            <w:tcBorders>
              <w:bottom w:val="single" w:sz="4" w:space="0" w:color="BCBEC0"/>
            </w:tcBorders>
          </w:tcPr>
          <w:p w14:paraId="115E7F56" w14:textId="77777777" w:rsidR="002B5704" w:rsidRPr="00B438C3" w:rsidRDefault="002B5704" w:rsidP="006D75C8">
            <w:pPr>
              <w:rPr>
                <w:rFonts w:cs="Arial"/>
              </w:rPr>
            </w:pPr>
            <w:r w:rsidRPr="00B438C3">
              <w:rPr>
                <w:rFonts w:cs="Arial"/>
              </w:rPr>
              <w:t>Create and lead innovative, multidisciplinary project teams. Set clear directions, and engage, motivate and empower team members to work collaboratively to deliver the project</w:t>
            </w:r>
          </w:p>
        </w:tc>
        <w:tc>
          <w:tcPr>
            <w:tcW w:w="1606" w:type="dxa"/>
            <w:tcBorders>
              <w:bottom w:val="single" w:sz="4" w:space="0" w:color="BCBEC0"/>
            </w:tcBorders>
          </w:tcPr>
          <w:p w14:paraId="7147B7D8" w14:textId="77777777" w:rsidR="002B5704" w:rsidRPr="00B438C3" w:rsidRDefault="002B5704" w:rsidP="006D75C8">
            <w:pPr>
              <w:pStyle w:val="TableBullet"/>
              <w:numPr>
                <w:ilvl w:val="0"/>
                <w:numId w:val="0"/>
              </w:numPr>
              <w:jc w:val="both"/>
              <w:rPr>
                <w:rFonts w:cs="Arial"/>
              </w:rPr>
            </w:pPr>
            <w:r w:rsidRPr="00B438C3">
              <w:rPr>
                <w:rFonts w:cs="Arial"/>
              </w:rPr>
              <w:t>Leading Expert</w:t>
            </w:r>
          </w:p>
        </w:tc>
      </w:tr>
      <w:tr w:rsidR="002B5704" w:rsidRPr="00B438C3" w14:paraId="20EE9E98" w14:textId="77777777" w:rsidTr="006D75C8">
        <w:tc>
          <w:tcPr>
            <w:tcW w:w="1406" w:type="dxa"/>
            <w:vMerge/>
            <w:tcBorders>
              <w:bottom w:val="single" w:sz="4" w:space="0" w:color="BCBEC0"/>
            </w:tcBorders>
          </w:tcPr>
          <w:p w14:paraId="1EA9DF27"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75E2A6FE" w14:textId="77777777" w:rsidR="002B5704" w:rsidRPr="00B438C3" w:rsidRDefault="002B5704" w:rsidP="006D75C8">
            <w:pPr>
              <w:rPr>
                <w:rFonts w:cs="Arial"/>
              </w:rPr>
            </w:pPr>
            <w:r w:rsidRPr="00B438C3">
              <w:rPr>
                <w:rFonts w:cs="Arial"/>
              </w:rPr>
              <w:t>Apply commercial acumen and management</w:t>
            </w:r>
          </w:p>
        </w:tc>
        <w:tc>
          <w:tcPr>
            <w:tcW w:w="4770" w:type="dxa"/>
            <w:tcBorders>
              <w:bottom w:val="single" w:sz="4" w:space="0" w:color="BCBEC0"/>
            </w:tcBorders>
          </w:tcPr>
          <w:p w14:paraId="132D5796" w14:textId="77777777" w:rsidR="002B5704" w:rsidRPr="00B438C3" w:rsidRDefault="002B5704" w:rsidP="006D75C8">
            <w:pPr>
              <w:rPr>
                <w:rFonts w:cs="Arial"/>
              </w:rPr>
            </w:pPr>
            <w:r w:rsidRPr="00B438C3">
              <w:rPr>
                <w:rFonts w:cs="Arial"/>
              </w:rPr>
              <w:t>Determine and manage contractual, commercial and procurement dimensions of the project – including supply and partnering arrangements, business relationships and spending against project budgets – to achieve value for money.</w:t>
            </w:r>
          </w:p>
        </w:tc>
        <w:tc>
          <w:tcPr>
            <w:tcW w:w="1606" w:type="dxa"/>
            <w:tcBorders>
              <w:bottom w:val="single" w:sz="4" w:space="0" w:color="BCBEC0"/>
            </w:tcBorders>
          </w:tcPr>
          <w:p w14:paraId="4D85CBF7" w14:textId="77777777" w:rsidR="002B5704" w:rsidRPr="00B438C3" w:rsidRDefault="002B5704" w:rsidP="006D75C8">
            <w:pPr>
              <w:pStyle w:val="TableBullet"/>
              <w:numPr>
                <w:ilvl w:val="0"/>
                <w:numId w:val="0"/>
              </w:numPr>
              <w:jc w:val="both"/>
              <w:rPr>
                <w:rFonts w:cs="Arial"/>
              </w:rPr>
            </w:pPr>
            <w:r w:rsidRPr="00B438C3">
              <w:rPr>
                <w:rFonts w:cs="Arial"/>
              </w:rPr>
              <w:t>Expert</w:t>
            </w:r>
          </w:p>
        </w:tc>
      </w:tr>
      <w:tr w:rsidR="002B5704" w:rsidRPr="00B438C3" w14:paraId="35432EA5" w14:textId="77777777" w:rsidTr="006D75C8">
        <w:tc>
          <w:tcPr>
            <w:tcW w:w="1406" w:type="dxa"/>
            <w:vMerge/>
            <w:tcBorders>
              <w:bottom w:val="single" w:sz="4" w:space="0" w:color="BCBEC0"/>
            </w:tcBorders>
          </w:tcPr>
          <w:p w14:paraId="7D46FB37"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2720708E" w14:textId="77777777" w:rsidR="002B5704" w:rsidRPr="00B438C3" w:rsidRDefault="002B5704" w:rsidP="006D75C8">
            <w:pPr>
              <w:rPr>
                <w:rFonts w:cs="Arial"/>
              </w:rPr>
            </w:pPr>
            <w:r w:rsidRPr="00B438C3">
              <w:rPr>
                <w:rFonts w:cs="Arial"/>
              </w:rPr>
              <w:t>Manage clients and stakeholders</w:t>
            </w:r>
          </w:p>
        </w:tc>
        <w:tc>
          <w:tcPr>
            <w:tcW w:w="4770" w:type="dxa"/>
            <w:tcBorders>
              <w:bottom w:val="single" w:sz="4" w:space="0" w:color="BCBEC0"/>
            </w:tcBorders>
          </w:tcPr>
          <w:p w14:paraId="228ACFEE" w14:textId="77777777" w:rsidR="002B5704" w:rsidRPr="00B438C3" w:rsidRDefault="002B5704" w:rsidP="006D75C8">
            <w:pPr>
              <w:rPr>
                <w:rFonts w:cs="Arial"/>
              </w:rPr>
            </w:pPr>
            <w:r w:rsidRPr="00B438C3">
              <w:rPr>
                <w:rFonts w:cs="Arial"/>
              </w:rPr>
              <w:t>Systematically identify, analyse and engage with clients and stakeholders to determine project requirements. Ensure continuing communication throughout the life of the project to monitor, manage and improve stakeholder relationships and achieve customer-centric project outcomes.</w:t>
            </w:r>
          </w:p>
        </w:tc>
        <w:tc>
          <w:tcPr>
            <w:tcW w:w="1606" w:type="dxa"/>
            <w:tcBorders>
              <w:bottom w:val="single" w:sz="4" w:space="0" w:color="BCBEC0"/>
            </w:tcBorders>
          </w:tcPr>
          <w:p w14:paraId="425796DB" w14:textId="77777777" w:rsidR="002B5704" w:rsidRPr="00B438C3" w:rsidRDefault="002B5704" w:rsidP="006D75C8">
            <w:pPr>
              <w:pStyle w:val="TableBullet"/>
              <w:numPr>
                <w:ilvl w:val="0"/>
                <w:numId w:val="0"/>
              </w:numPr>
              <w:jc w:val="both"/>
              <w:rPr>
                <w:rFonts w:cs="Arial"/>
              </w:rPr>
            </w:pPr>
            <w:r w:rsidRPr="00B438C3">
              <w:rPr>
                <w:rFonts w:cs="Arial"/>
              </w:rPr>
              <w:t>Leading Expert</w:t>
            </w:r>
          </w:p>
        </w:tc>
      </w:tr>
      <w:tr w:rsidR="002B5704" w:rsidRPr="00B438C3" w14:paraId="4280E5C7" w14:textId="77777777" w:rsidTr="006D75C8">
        <w:tc>
          <w:tcPr>
            <w:tcW w:w="1406" w:type="dxa"/>
            <w:vMerge/>
            <w:tcBorders>
              <w:bottom w:val="single" w:sz="4" w:space="0" w:color="BCBEC0"/>
            </w:tcBorders>
          </w:tcPr>
          <w:p w14:paraId="6D6136AC"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457B504E" w14:textId="77777777" w:rsidR="002B5704" w:rsidRPr="00B438C3" w:rsidRDefault="002B5704" w:rsidP="006D75C8">
            <w:pPr>
              <w:rPr>
                <w:rFonts w:cs="Arial"/>
              </w:rPr>
            </w:pPr>
            <w:r w:rsidRPr="00B438C3">
              <w:rPr>
                <w:rFonts w:cs="Arial"/>
              </w:rPr>
              <w:t>Manage risks and opportunities</w:t>
            </w:r>
          </w:p>
        </w:tc>
        <w:tc>
          <w:tcPr>
            <w:tcW w:w="4770" w:type="dxa"/>
            <w:tcBorders>
              <w:bottom w:val="single" w:sz="4" w:space="0" w:color="BCBEC0"/>
            </w:tcBorders>
          </w:tcPr>
          <w:p w14:paraId="26C4A8DD" w14:textId="77777777" w:rsidR="002B5704" w:rsidRPr="00B438C3" w:rsidRDefault="002B5704" w:rsidP="006D75C8">
            <w:pPr>
              <w:rPr>
                <w:rFonts w:cs="Arial"/>
              </w:rPr>
            </w:pPr>
            <w:r w:rsidRPr="00B438C3">
              <w:rPr>
                <w:rFonts w:cs="Arial"/>
              </w:rPr>
              <w:t>Systematically identify risks and opportunities; plan how to mitigate and manage risks and respond to opportunities</w:t>
            </w:r>
          </w:p>
        </w:tc>
        <w:tc>
          <w:tcPr>
            <w:tcW w:w="1606" w:type="dxa"/>
            <w:tcBorders>
              <w:bottom w:val="single" w:sz="4" w:space="0" w:color="BCBEC0"/>
            </w:tcBorders>
          </w:tcPr>
          <w:p w14:paraId="618EE8AB" w14:textId="77777777" w:rsidR="002B5704" w:rsidRPr="00B438C3" w:rsidRDefault="002B5704" w:rsidP="006D75C8">
            <w:pPr>
              <w:pStyle w:val="TableBullet"/>
              <w:numPr>
                <w:ilvl w:val="0"/>
                <w:numId w:val="0"/>
              </w:numPr>
              <w:jc w:val="both"/>
              <w:rPr>
                <w:rFonts w:cs="Arial"/>
              </w:rPr>
            </w:pPr>
            <w:r w:rsidRPr="00B438C3">
              <w:rPr>
                <w:rFonts w:cs="Arial"/>
              </w:rPr>
              <w:t>Leading Expert</w:t>
            </w:r>
          </w:p>
        </w:tc>
      </w:tr>
      <w:tr w:rsidR="002B5704" w:rsidRPr="00B438C3" w14:paraId="77251B06" w14:textId="77777777" w:rsidTr="006D75C8">
        <w:tc>
          <w:tcPr>
            <w:tcW w:w="1406" w:type="dxa"/>
            <w:vMerge/>
            <w:tcBorders>
              <w:bottom w:val="single" w:sz="4" w:space="0" w:color="BCBEC0"/>
            </w:tcBorders>
          </w:tcPr>
          <w:p w14:paraId="65FBCE38" w14:textId="77777777" w:rsidR="002B5704" w:rsidRPr="00B438C3" w:rsidRDefault="002B5704" w:rsidP="006D75C8">
            <w:pPr>
              <w:keepNext/>
              <w:rPr>
                <w:rFonts w:cs="Arial"/>
                <w:noProof/>
                <w:lang w:eastAsia="en-AU"/>
              </w:rPr>
            </w:pPr>
          </w:p>
        </w:tc>
        <w:tc>
          <w:tcPr>
            <w:tcW w:w="2971" w:type="dxa"/>
            <w:gridSpan w:val="2"/>
            <w:tcBorders>
              <w:bottom w:val="single" w:sz="4" w:space="0" w:color="BCBEC0"/>
            </w:tcBorders>
          </w:tcPr>
          <w:p w14:paraId="08232CC3" w14:textId="77777777" w:rsidR="002B5704" w:rsidRPr="00B438C3" w:rsidRDefault="002B5704" w:rsidP="006D75C8">
            <w:pPr>
              <w:rPr>
                <w:rFonts w:cs="Arial"/>
              </w:rPr>
            </w:pPr>
            <w:r w:rsidRPr="00B438C3">
              <w:rPr>
                <w:rFonts w:cs="Arial"/>
              </w:rPr>
              <w:t>Execute business solutions (technical)</w:t>
            </w:r>
          </w:p>
        </w:tc>
        <w:tc>
          <w:tcPr>
            <w:tcW w:w="4770" w:type="dxa"/>
            <w:tcBorders>
              <w:bottom w:val="single" w:sz="4" w:space="0" w:color="BCBEC0"/>
            </w:tcBorders>
          </w:tcPr>
          <w:p w14:paraId="4878F654" w14:textId="77777777" w:rsidR="002B5704" w:rsidRPr="00B438C3" w:rsidRDefault="002B5704" w:rsidP="006D75C8">
            <w:pPr>
              <w:rPr>
                <w:rFonts w:cs="Arial"/>
              </w:rPr>
            </w:pPr>
            <w:r w:rsidRPr="00B438C3">
              <w:rPr>
                <w:rFonts w:cs="Arial"/>
              </w:rPr>
              <w:t xml:space="preserve">Drive implementation of the project or program plan, monitoring performance and compliance, and </w:t>
            </w:r>
            <w:r w:rsidRPr="00B438C3">
              <w:rPr>
                <w:rFonts w:cs="Arial"/>
              </w:rPr>
              <w:lastRenderedPageBreak/>
              <w:t>intervening to address risks and opportunities as they emerge.</w:t>
            </w:r>
          </w:p>
        </w:tc>
        <w:tc>
          <w:tcPr>
            <w:tcW w:w="1606" w:type="dxa"/>
            <w:tcBorders>
              <w:bottom w:val="single" w:sz="4" w:space="0" w:color="BCBEC0"/>
            </w:tcBorders>
          </w:tcPr>
          <w:p w14:paraId="638EC4E9" w14:textId="77777777" w:rsidR="002B5704" w:rsidRPr="00B438C3" w:rsidRDefault="002B5704" w:rsidP="006D75C8">
            <w:pPr>
              <w:pStyle w:val="TableBullet"/>
              <w:numPr>
                <w:ilvl w:val="0"/>
                <w:numId w:val="0"/>
              </w:numPr>
              <w:jc w:val="both"/>
              <w:rPr>
                <w:rFonts w:cs="Arial"/>
              </w:rPr>
            </w:pPr>
            <w:r w:rsidRPr="00B438C3">
              <w:rPr>
                <w:rFonts w:cs="Arial"/>
              </w:rPr>
              <w:lastRenderedPageBreak/>
              <w:t>Leading Expert</w:t>
            </w:r>
          </w:p>
        </w:tc>
      </w:tr>
    </w:tbl>
    <w:p w14:paraId="658AA319" w14:textId="77777777" w:rsidR="004D15E4" w:rsidRPr="00B438C3" w:rsidRDefault="004D15E4" w:rsidP="003927AE">
      <w:pPr>
        <w:rPr>
          <w:rFonts w:cs="Arial"/>
        </w:rPr>
      </w:pPr>
    </w:p>
    <w:sectPr w:rsidR="004D15E4" w:rsidRPr="00B438C3" w:rsidSect="009D747B">
      <w:footerReference w:type="default" r:id="rId20"/>
      <w:headerReference w:type="first" r:id="rId21"/>
      <w:footerReference w:type="first" r:id="rId22"/>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E923D" w14:textId="77777777" w:rsidR="00DF2624" w:rsidRDefault="00DF2624" w:rsidP="00BB532F">
      <w:pPr>
        <w:spacing w:after="0" w:line="240" w:lineRule="auto"/>
      </w:pPr>
      <w:r>
        <w:separator/>
      </w:r>
    </w:p>
  </w:endnote>
  <w:endnote w:type="continuationSeparator" w:id="0">
    <w:p w14:paraId="0C5E2EB3" w14:textId="77777777" w:rsidR="00DF2624" w:rsidRDefault="00DF2624"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C03AFD" w14:paraId="2436B34F" w14:textId="77777777" w:rsidTr="00C03AFD">
      <w:tc>
        <w:tcPr>
          <w:tcW w:w="2250" w:type="pct"/>
          <w:vAlign w:val="center"/>
        </w:tcPr>
        <w:p w14:paraId="785FC6EE" w14:textId="1A4053D2" w:rsidR="00C03AFD" w:rsidRPr="00C04775" w:rsidRDefault="00C03AFD" w:rsidP="00C03AFD">
          <w:pPr>
            <w:pStyle w:val="Footer"/>
            <w:rPr>
              <w:color w:val="928B81"/>
              <w:sz w:val="18"/>
            </w:rPr>
          </w:pPr>
          <w:r w:rsidRPr="00C03AFD">
            <w:rPr>
              <w:color w:val="928B81"/>
              <w:sz w:val="18"/>
            </w:rPr>
            <w:t>Role Description</w:t>
          </w:r>
          <w:r w:rsidR="00443BCB">
            <w:rPr>
              <w:color w:val="928B81"/>
              <w:sz w:val="18"/>
            </w:rPr>
            <w:t xml:space="preserve"> </w:t>
          </w:r>
          <w:r w:rsidR="00C04775">
            <w:rPr>
              <w:color w:val="928B81"/>
              <w:sz w:val="18"/>
            </w:rPr>
            <w:t xml:space="preserve">– </w:t>
          </w:r>
          <w:r w:rsidR="00443BCB" w:rsidRPr="00443BCB">
            <w:rPr>
              <w:b/>
              <w:color w:val="928B81"/>
              <w:sz w:val="18"/>
            </w:rPr>
            <w:t>Chief Operating Officer</w:t>
          </w:r>
        </w:p>
      </w:tc>
      <w:tc>
        <w:tcPr>
          <w:tcW w:w="250" w:type="pct"/>
          <w:vAlign w:val="center"/>
        </w:tcPr>
        <w:p w14:paraId="0D5FA03C"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AF3FE7">
            <w:rPr>
              <w:noProof/>
              <w:color w:val="928B81"/>
              <w:sz w:val="18"/>
              <w:lang w:eastAsia="en-AU"/>
            </w:rPr>
            <w:t>3</w:t>
          </w:r>
          <w:r w:rsidRPr="00C03AFD">
            <w:rPr>
              <w:noProof/>
              <w:color w:val="928B81"/>
              <w:sz w:val="18"/>
              <w:lang w:eastAsia="en-AU"/>
            </w:rPr>
            <w:fldChar w:fldCharType="end"/>
          </w:r>
        </w:p>
      </w:tc>
      <w:tc>
        <w:tcPr>
          <w:tcW w:w="2350" w:type="pct"/>
        </w:tcPr>
        <w:p w14:paraId="2892D65F" w14:textId="77777777" w:rsidR="00C03AFD" w:rsidRDefault="00C03AFD" w:rsidP="00C03AFD">
          <w:pPr>
            <w:pStyle w:val="Footer"/>
            <w:jc w:val="right"/>
          </w:pPr>
          <w:r>
            <w:rPr>
              <w:noProof/>
            </w:rPr>
            <w:drawing>
              <wp:inline distT="0" distB="0" distL="0" distR="0" wp14:anchorId="1D74B9FB" wp14:editId="220F99E4">
                <wp:extent cx="432000" cy="452144"/>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189AB66"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659A5751" w14:textId="77777777" w:rsidTr="0047547E">
      <w:trPr>
        <w:trHeight w:val="811"/>
      </w:trPr>
      <w:tc>
        <w:tcPr>
          <w:tcW w:w="10005" w:type="dxa"/>
          <w:vAlign w:val="bottom"/>
        </w:tcPr>
        <w:p w14:paraId="6507A184"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AF3FE7">
            <w:rPr>
              <w:noProof/>
              <w:lang w:eastAsia="en-AU"/>
            </w:rPr>
            <w:t>1</w:t>
          </w:r>
          <w:r>
            <w:rPr>
              <w:noProof/>
              <w:lang w:eastAsia="en-AU"/>
            </w:rPr>
            <w:fldChar w:fldCharType="end"/>
          </w:r>
        </w:p>
      </w:tc>
      <w:tc>
        <w:tcPr>
          <w:tcW w:w="875" w:type="dxa"/>
        </w:tcPr>
        <w:p w14:paraId="70CC3857" w14:textId="77777777" w:rsidR="00BB532F" w:rsidRDefault="003A1185" w:rsidP="00BD7BA7">
          <w:pPr>
            <w:pStyle w:val="Footer"/>
            <w:jc w:val="right"/>
          </w:pPr>
          <w:r>
            <w:rPr>
              <w:noProof/>
            </w:rPr>
            <w:drawing>
              <wp:inline distT="0" distB="0" distL="0" distR="0" wp14:anchorId="31AE76A6" wp14:editId="0D0A924E">
                <wp:extent cx="555625" cy="581660"/>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6D14A60D"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12093" w14:textId="77777777" w:rsidR="00DF2624" w:rsidRDefault="00DF2624" w:rsidP="00BB532F">
      <w:pPr>
        <w:spacing w:after="0" w:line="240" w:lineRule="auto"/>
      </w:pPr>
      <w:r>
        <w:separator/>
      </w:r>
    </w:p>
  </w:footnote>
  <w:footnote w:type="continuationSeparator" w:id="0">
    <w:p w14:paraId="0542CEB9" w14:textId="77777777" w:rsidR="00DF2624" w:rsidRDefault="00DF2624"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2"/>
      <w:gridCol w:w="3688"/>
    </w:tblGrid>
    <w:tr w:rsidR="007E2FB7" w14:paraId="34032AC2" w14:textId="77777777" w:rsidTr="00894A73">
      <w:trPr>
        <w:trHeight w:val="813"/>
      </w:trPr>
      <w:tc>
        <w:tcPr>
          <w:tcW w:w="7082" w:type="dxa"/>
        </w:tcPr>
        <w:p w14:paraId="70DD87EF" w14:textId="77777777" w:rsidR="007E2FB7" w:rsidRDefault="007E2FB7" w:rsidP="001C2248">
          <w:pPr>
            <w:pStyle w:val="TitleSub"/>
            <w:spacing w:after="0"/>
            <w:rPr>
              <w:rFonts w:ascii="Arial" w:hAnsi="Arial" w:cs="Arial"/>
            </w:rPr>
          </w:pPr>
          <w:r w:rsidRPr="001E49B2">
            <w:rPr>
              <w:rFonts w:ascii="Arial" w:hAnsi="Arial" w:cs="Arial"/>
            </w:rPr>
            <w:t>Role Description</w:t>
          </w:r>
        </w:p>
        <w:p w14:paraId="7DB4E085" w14:textId="77777777" w:rsidR="00935EE2" w:rsidRPr="00935EE2" w:rsidRDefault="00935EE2" w:rsidP="001C2248">
          <w:pPr>
            <w:pStyle w:val="TitleSub"/>
            <w:spacing w:after="0"/>
            <w:rPr>
              <w:rFonts w:ascii="Arial" w:hAnsi="Arial" w:cs="Arial"/>
              <w:b/>
            </w:rPr>
          </w:pPr>
          <w:r w:rsidRPr="00935EE2">
            <w:rPr>
              <w:rFonts w:ascii="Arial" w:hAnsi="Arial" w:cs="Arial"/>
              <w:b/>
            </w:rPr>
            <w:t>Chief Operating Officer</w:t>
          </w:r>
        </w:p>
      </w:tc>
      <w:tc>
        <w:tcPr>
          <w:tcW w:w="3688" w:type="dxa"/>
        </w:tcPr>
        <w:p w14:paraId="1F164288" w14:textId="77777777" w:rsidR="000477E1" w:rsidRPr="000477E1" w:rsidRDefault="000477E1" w:rsidP="00030565">
          <w:pPr>
            <w:jc w:val="right"/>
          </w:pPr>
          <w:r>
            <w:rPr>
              <w:noProof/>
            </w:rPr>
            <w:drawing>
              <wp:inline distT="0" distB="0" distL="0" distR="0" wp14:anchorId="4B8F9326" wp14:editId="5E0CF20B">
                <wp:extent cx="1562100" cy="1000125"/>
                <wp:effectExtent l="0" t="0" r="0" b="0"/>
                <wp:docPr id="15" name="08317952-1b18-4196-8ba9-995765157a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317952-1b18-4196-8ba9-995765157aaf.jpg"/>
                        <pic:cNvPicPr/>
                      </pic:nvPicPr>
                      <pic:blipFill>
                        <a:blip r:embed="rId1" cstate="print"/>
                        <a:stretch>
                          <a:fillRect/>
                        </a:stretch>
                      </pic:blipFill>
                      <pic:spPr>
                        <a:xfrm>
                          <a:off x="0" y="0"/>
                          <a:ext cx="1562100" cy="1000125"/>
                        </a:xfrm>
                        <a:prstGeom prst="rect">
                          <a:avLst/>
                        </a:prstGeom>
                      </pic:spPr>
                    </pic:pic>
                  </a:graphicData>
                </a:graphic>
              </wp:inline>
            </w:drawing>
          </w:r>
        </w:p>
      </w:tc>
    </w:tr>
  </w:tbl>
  <w:p w14:paraId="788C15A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7DB6283"/>
    <w:multiLevelType w:val="hybridMultilevel"/>
    <w:tmpl w:val="CC86B140"/>
    <w:lvl w:ilvl="0" w:tplc="2ED623D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50AC8"/>
    <w:multiLevelType w:val="hybridMultilevel"/>
    <w:tmpl w:val="0B5656BE"/>
    <w:lvl w:ilvl="0" w:tplc="172C5D1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A222A8"/>
    <w:multiLevelType w:val="hybridMultilevel"/>
    <w:tmpl w:val="62B66D20"/>
    <w:lvl w:ilvl="0" w:tplc="9D705ED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4D23D8"/>
    <w:multiLevelType w:val="hybridMultilevel"/>
    <w:tmpl w:val="8302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0"/>
  </w:num>
  <w:num w:numId="6">
    <w:abstractNumId w:val="0"/>
  </w:num>
  <w:num w:numId="7">
    <w:abstractNumId w:val="0"/>
  </w:num>
  <w:num w:numId="8">
    <w:abstractNumId w:val="0"/>
  </w:num>
  <w:num w:numId="9">
    <w:abstractNumId w:val="0"/>
  </w:num>
  <w:num w:numId="10">
    <w:abstractNumId w:val="3"/>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4E73"/>
    <w:rsid w:val="00026543"/>
    <w:rsid w:val="00027E23"/>
    <w:rsid w:val="00030565"/>
    <w:rsid w:val="0003263C"/>
    <w:rsid w:val="00035639"/>
    <w:rsid w:val="0003564E"/>
    <w:rsid w:val="00037FD5"/>
    <w:rsid w:val="000411F6"/>
    <w:rsid w:val="000477E1"/>
    <w:rsid w:val="00060B58"/>
    <w:rsid w:val="000645C8"/>
    <w:rsid w:val="00067161"/>
    <w:rsid w:val="00071332"/>
    <w:rsid w:val="0007179B"/>
    <w:rsid w:val="000A2621"/>
    <w:rsid w:val="000C00E5"/>
    <w:rsid w:val="000C3CC8"/>
    <w:rsid w:val="000D12B3"/>
    <w:rsid w:val="000D799A"/>
    <w:rsid w:val="000F231F"/>
    <w:rsid w:val="00104EC7"/>
    <w:rsid w:val="001336E8"/>
    <w:rsid w:val="0013413E"/>
    <w:rsid w:val="00134F5E"/>
    <w:rsid w:val="00136C3A"/>
    <w:rsid w:val="00153F10"/>
    <w:rsid w:val="00157D26"/>
    <w:rsid w:val="00162560"/>
    <w:rsid w:val="00165754"/>
    <w:rsid w:val="001671DC"/>
    <w:rsid w:val="00172DFE"/>
    <w:rsid w:val="0017585A"/>
    <w:rsid w:val="0018091E"/>
    <w:rsid w:val="001815E8"/>
    <w:rsid w:val="00185ABC"/>
    <w:rsid w:val="00194A32"/>
    <w:rsid w:val="00194E98"/>
    <w:rsid w:val="001A00F1"/>
    <w:rsid w:val="001A1AA1"/>
    <w:rsid w:val="001A1EC8"/>
    <w:rsid w:val="001A4F0B"/>
    <w:rsid w:val="001B1F0F"/>
    <w:rsid w:val="001B5DFD"/>
    <w:rsid w:val="001B75A6"/>
    <w:rsid w:val="001C0E5F"/>
    <w:rsid w:val="001C2248"/>
    <w:rsid w:val="001C23F4"/>
    <w:rsid w:val="001C5166"/>
    <w:rsid w:val="001C5A46"/>
    <w:rsid w:val="001D097C"/>
    <w:rsid w:val="001E2792"/>
    <w:rsid w:val="001E27DB"/>
    <w:rsid w:val="001E49B2"/>
    <w:rsid w:val="001F2503"/>
    <w:rsid w:val="001F4B2B"/>
    <w:rsid w:val="00201E8B"/>
    <w:rsid w:val="00205A8A"/>
    <w:rsid w:val="00211F68"/>
    <w:rsid w:val="00220421"/>
    <w:rsid w:val="002309B5"/>
    <w:rsid w:val="00235672"/>
    <w:rsid w:val="00237421"/>
    <w:rsid w:val="00240A8E"/>
    <w:rsid w:val="002570D7"/>
    <w:rsid w:val="00263ACB"/>
    <w:rsid w:val="00266912"/>
    <w:rsid w:val="00280887"/>
    <w:rsid w:val="0028314F"/>
    <w:rsid w:val="00287C54"/>
    <w:rsid w:val="002A648F"/>
    <w:rsid w:val="002B0B83"/>
    <w:rsid w:val="002B1F76"/>
    <w:rsid w:val="002B3C53"/>
    <w:rsid w:val="002B5704"/>
    <w:rsid w:val="002C2823"/>
    <w:rsid w:val="002C616A"/>
    <w:rsid w:val="002D336D"/>
    <w:rsid w:val="002D36BB"/>
    <w:rsid w:val="002F64AC"/>
    <w:rsid w:val="00300C40"/>
    <w:rsid w:val="00301747"/>
    <w:rsid w:val="00301945"/>
    <w:rsid w:val="00322DB8"/>
    <w:rsid w:val="00325E9D"/>
    <w:rsid w:val="00327F5C"/>
    <w:rsid w:val="00336011"/>
    <w:rsid w:val="00340ADC"/>
    <w:rsid w:val="00343491"/>
    <w:rsid w:val="00345199"/>
    <w:rsid w:val="00346D51"/>
    <w:rsid w:val="00351826"/>
    <w:rsid w:val="00351C3F"/>
    <w:rsid w:val="00351D50"/>
    <w:rsid w:val="00361F4E"/>
    <w:rsid w:val="00372A99"/>
    <w:rsid w:val="00373737"/>
    <w:rsid w:val="00375289"/>
    <w:rsid w:val="00377118"/>
    <w:rsid w:val="003927AE"/>
    <w:rsid w:val="0039395B"/>
    <w:rsid w:val="003A1185"/>
    <w:rsid w:val="003A2AFA"/>
    <w:rsid w:val="003A3538"/>
    <w:rsid w:val="003B0F42"/>
    <w:rsid w:val="003B403A"/>
    <w:rsid w:val="003C00FD"/>
    <w:rsid w:val="003C031F"/>
    <w:rsid w:val="003C2846"/>
    <w:rsid w:val="003C476D"/>
    <w:rsid w:val="003C5EB3"/>
    <w:rsid w:val="003D3521"/>
    <w:rsid w:val="003D5227"/>
    <w:rsid w:val="003E2663"/>
    <w:rsid w:val="003E3A75"/>
    <w:rsid w:val="00411F3E"/>
    <w:rsid w:val="0041525E"/>
    <w:rsid w:val="00416D58"/>
    <w:rsid w:val="004203B4"/>
    <w:rsid w:val="00431E22"/>
    <w:rsid w:val="00436621"/>
    <w:rsid w:val="00442732"/>
    <w:rsid w:val="00443BCB"/>
    <w:rsid w:val="0045299A"/>
    <w:rsid w:val="00466287"/>
    <w:rsid w:val="0047547E"/>
    <w:rsid w:val="00477EB1"/>
    <w:rsid w:val="00486B03"/>
    <w:rsid w:val="0049028E"/>
    <w:rsid w:val="00492AA6"/>
    <w:rsid w:val="004951A1"/>
    <w:rsid w:val="00497EC1"/>
    <w:rsid w:val="004C45E2"/>
    <w:rsid w:val="004D0C22"/>
    <w:rsid w:val="004D15E4"/>
    <w:rsid w:val="004D20F2"/>
    <w:rsid w:val="004D27C8"/>
    <w:rsid w:val="004D68A6"/>
    <w:rsid w:val="004E44A5"/>
    <w:rsid w:val="004E474E"/>
    <w:rsid w:val="004E7F32"/>
    <w:rsid w:val="004F3EA9"/>
    <w:rsid w:val="00502DBF"/>
    <w:rsid w:val="00506B3A"/>
    <w:rsid w:val="00521D19"/>
    <w:rsid w:val="00523CFF"/>
    <w:rsid w:val="00527FCF"/>
    <w:rsid w:val="005307BA"/>
    <w:rsid w:val="00545AC6"/>
    <w:rsid w:val="00551038"/>
    <w:rsid w:val="0059035B"/>
    <w:rsid w:val="00590D1D"/>
    <w:rsid w:val="005A397B"/>
    <w:rsid w:val="005B10E1"/>
    <w:rsid w:val="005B5053"/>
    <w:rsid w:val="005C7AF5"/>
    <w:rsid w:val="005D4AF1"/>
    <w:rsid w:val="005D71EA"/>
    <w:rsid w:val="005E6C59"/>
    <w:rsid w:val="005E75FC"/>
    <w:rsid w:val="005F4B69"/>
    <w:rsid w:val="005F5FD1"/>
    <w:rsid w:val="005F7EE8"/>
    <w:rsid w:val="00600C7E"/>
    <w:rsid w:val="006022B4"/>
    <w:rsid w:val="00603D53"/>
    <w:rsid w:val="00612673"/>
    <w:rsid w:val="00612AFA"/>
    <w:rsid w:val="00614552"/>
    <w:rsid w:val="00621D45"/>
    <w:rsid w:val="00623950"/>
    <w:rsid w:val="00626492"/>
    <w:rsid w:val="00630798"/>
    <w:rsid w:val="0063544E"/>
    <w:rsid w:val="00640189"/>
    <w:rsid w:val="006538BF"/>
    <w:rsid w:val="00674D4C"/>
    <w:rsid w:val="00683870"/>
    <w:rsid w:val="00695EAB"/>
    <w:rsid w:val="006A2280"/>
    <w:rsid w:val="006A2A7F"/>
    <w:rsid w:val="006B723B"/>
    <w:rsid w:val="006C2473"/>
    <w:rsid w:val="006C4218"/>
    <w:rsid w:val="006D1FBC"/>
    <w:rsid w:val="006D75C8"/>
    <w:rsid w:val="006E28E7"/>
    <w:rsid w:val="006F1E5D"/>
    <w:rsid w:val="006F6652"/>
    <w:rsid w:val="006F7124"/>
    <w:rsid w:val="006F7FA4"/>
    <w:rsid w:val="00701F8B"/>
    <w:rsid w:val="007041EA"/>
    <w:rsid w:val="007057B7"/>
    <w:rsid w:val="007249EC"/>
    <w:rsid w:val="0073124E"/>
    <w:rsid w:val="00735B28"/>
    <w:rsid w:val="00735E89"/>
    <w:rsid w:val="00742966"/>
    <w:rsid w:val="007520D2"/>
    <w:rsid w:val="00753EEE"/>
    <w:rsid w:val="00767553"/>
    <w:rsid w:val="007726EF"/>
    <w:rsid w:val="007736B4"/>
    <w:rsid w:val="00773975"/>
    <w:rsid w:val="00776DCB"/>
    <w:rsid w:val="00780299"/>
    <w:rsid w:val="007862DE"/>
    <w:rsid w:val="00786A0F"/>
    <w:rsid w:val="00787556"/>
    <w:rsid w:val="0079076A"/>
    <w:rsid w:val="00792A3E"/>
    <w:rsid w:val="00794CC1"/>
    <w:rsid w:val="00794E0E"/>
    <w:rsid w:val="00795244"/>
    <w:rsid w:val="007B32AB"/>
    <w:rsid w:val="007B7C1F"/>
    <w:rsid w:val="007C0486"/>
    <w:rsid w:val="007C21C8"/>
    <w:rsid w:val="007C23E6"/>
    <w:rsid w:val="007D008C"/>
    <w:rsid w:val="007D0E2E"/>
    <w:rsid w:val="007E2FB7"/>
    <w:rsid w:val="007E77DC"/>
    <w:rsid w:val="00801E41"/>
    <w:rsid w:val="008044BB"/>
    <w:rsid w:val="00805561"/>
    <w:rsid w:val="00806FE1"/>
    <w:rsid w:val="00807ED1"/>
    <w:rsid w:val="00817B11"/>
    <w:rsid w:val="008203EE"/>
    <w:rsid w:val="008267A0"/>
    <w:rsid w:val="008308A7"/>
    <w:rsid w:val="0083547C"/>
    <w:rsid w:val="00843197"/>
    <w:rsid w:val="008476E6"/>
    <w:rsid w:val="0085706D"/>
    <w:rsid w:val="00860904"/>
    <w:rsid w:val="00861804"/>
    <w:rsid w:val="00865E50"/>
    <w:rsid w:val="00894A73"/>
    <w:rsid w:val="00895190"/>
    <w:rsid w:val="008A0EBB"/>
    <w:rsid w:val="008A13AC"/>
    <w:rsid w:val="008B2BE2"/>
    <w:rsid w:val="008B74C1"/>
    <w:rsid w:val="008C0B4D"/>
    <w:rsid w:val="008C37C8"/>
    <w:rsid w:val="008C3F33"/>
    <w:rsid w:val="008D7766"/>
    <w:rsid w:val="008E054D"/>
    <w:rsid w:val="008E08E3"/>
    <w:rsid w:val="008F23E9"/>
    <w:rsid w:val="00902EC0"/>
    <w:rsid w:val="009077E2"/>
    <w:rsid w:val="00910F45"/>
    <w:rsid w:val="00911725"/>
    <w:rsid w:val="00917E5E"/>
    <w:rsid w:val="00926AD1"/>
    <w:rsid w:val="009351E9"/>
    <w:rsid w:val="00935EE2"/>
    <w:rsid w:val="00940C04"/>
    <w:rsid w:val="009478AB"/>
    <w:rsid w:val="009523EC"/>
    <w:rsid w:val="00956E94"/>
    <w:rsid w:val="00957666"/>
    <w:rsid w:val="00963288"/>
    <w:rsid w:val="00964A6C"/>
    <w:rsid w:val="00970179"/>
    <w:rsid w:val="00976639"/>
    <w:rsid w:val="00977E40"/>
    <w:rsid w:val="00981D06"/>
    <w:rsid w:val="00982D33"/>
    <w:rsid w:val="00985984"/>
    <w:rsid w:val="00994DCE"/>
    <w:rsid w:val="0099587E"/>
    <w:rsid w:val="0099693E"/>
    <w:rsid w:val="009979FA"/>
    <w:rsid w:val="009B3103"/>
    <w:rsid w:val="009C12FA"/>
    <w:rsid w:val="009C2202"/>
    <w:rsid w:val="009C3544"/>
    <w:rsid w:val="009D72FE"/>
    <w:rsid w:val="009D747B"/>
    <w:rsid w:val="009F61B1"/>
    <w:rsid w:val="00A00C30"/>
    <w:rsid w:val="00A02AEF"/>
    <w:rsid w:val="00A14A03"/>
    <w:rsid w:val="00A2122C"/>
    <w:rsid w:val="00A24264"/>
    <w:rsid w:val="00A32CD7"/>
    <w:rsid w:val="00A40DED"/>
    <w:rsid w:val="00A41E4E"/>
    <w:rsid w:val="00A4412E"/>
    <w:rsid w:val="00A47353"/>
    <w:rsid w:val="00A6675F"/>
    <w:rsid w:val="00A707E0"/>
    <w:rsid w:val="00A73C38"/>
    <w:rsid w:val="00A77B0C"/>
    <w:rsid w:val="00A83932"/>
    <w:rsid w:val="00A85305"/>
    <w:rsid w:val="00A8686E"/>
    <w:rsid w:val="00A8732A"/>
    <w:rsid w:val="00A90A27"/>
    <w:rsid w:val="00A91173"/>
    <w:rsid w:val="00A970A2"/>
    <w:rsid w:val="00AA34F3"/>
    <w:rsid w:val="00AA3812"/>
    <w:rsid w:val="00AB120A"/>
    <w:rsid w:val="00AB50E4"/>
    <w:rsid w:val="00AC04D7"/>
    <w:rsid w:val="00AC1AF9"/>
    <w:rsid w:val="00AC742D"/>
    <w:rsid w:val="00AC7DC9"/>
    <w:rsid w:val="00AE14D7"/>
    <w:rsid w:val="00AF01AC"/>
    <w:rsid w:val="00AF3FE7"/>
    <w:rsid w:val="00AF7D0C"/>
    <w:rsid w:val="00B0574B"/>
    <w:rsid w:val="00B10AB7"/>
    <w:rsid w:val="00B2037F"/>
    <w:rsid w:val="00B262BC"/>
    <w:rsid w:val="00B32691"/>
    <w:rsid w:val="00B407F6"/>
    <w:rsid w:val="00B438C3"/>
    <w:rsid w:val="00B635E3"/>
    <w:rsid w:val="00B710DA"/>
    <w:rsid w:val="00B72B4F"/>
    <w:rsid w:val="00B80953"/>
    <w:rsid w:val="00B835C0"/>
    <w:rsid w:val="00B876AF"/>
    <w:rsid w:val="00B9055C"/>
    <w:rsid w:val="00B9419F"/>
    <w:rsid w:val="00BA759E"/>
    <w:rsid w:val="00BB12E9"/>
    <w:rsid w:val="00BB1A6C"/>
    <w:rsid w:val="00BB532F"/>
    <w:rsid w:val="00BC162D"/>
    <w:rsid w:val="00BC2FE4"/>
    <w:rsid w:val="00BD4DDA"/>
    <w:rsid w:val="00BE4EAE"/>
    <w:rsid w:val="00BE6E24"/>
    <w:rsid w:val="00BF5DDE"/>
    <w:rsid w:val="00C01CED"/>
    <w:rsid w:val="00C03AFD"/>
    <w:rsid w:val="00C04775"/>
    <w:rsid w:val="00C15332"/>
    <w:rsid w:val="00C23E79"/>
    <w:rsid w:val="00C271F9"/>
    <w:rsid w:val="00C44098"/>
    <w:rsid w:val="00C470CB"/>
    <w:rsid w:val="00C517B6"/>
    <w:rsid w:val="00C63F0F"/>
    <w:rsid w:val="00C70636"/>
    <w:rsid w:val="00C70842"/>
    <w:rsid w:val="00C740FF"/>
    <w:rsid w:val="00C8578E"/>
    <w:rsid w:val="00C861F7"/>
    <w:rsid w:val="00CA3DE5"/>
    <w:rsid w:val="00CA76B5"/>
    <w:rsid w:val="00CB7928"/>
    <w:rsid w:val="00CC76F2"/>
    <w:rsid w:val="00CD323E"/>
    <w:rsid w:val="00CE105E"/>
    <w:rsid w:val="00CE1E5E"/>
    <w:rsid w:val="00CF2A85"/>
    <w:rsid w:val="00D015F9"/>
    <w:rsid w:val="00D019B6"/>
    <w:rsid w:val="00D0690E"/>
    <w:rsid w:val="00D312DA"/>
    <w:rsid w:val="00D351CC"/>
    <w:rsid w:val="00D42207"/>
    <w:rsid w:val="00D44357"/>
    <w:rsid w:val="00D55E55"/>
    <w:rsid w:val="00D6084A"/>
    <w:rsid w:val="00D64165"/>
    <w:rsid w:val="00D663ED"/>
    <w:rsid w:val="00D66BB4"/>
    <w:rsid w:val="00D67A17"/>
    <w:rsid w:val="00D74882"/>
    <w:rsid w:val="00D759EE"/>
    <w:rsid w:val="00D956AA"/>
    <w:rsid w:val="00DA45C4"/>
    <w:rsid w:val="00DA543F"/>
    <w:rsid w:val="00DA68D9"/>
    <w:rsid w:val="00DC0173"/>
    <w:rsid w:val="00DC11EA"/>
    <w:rsid w:val="00DC4056"/>
    <w:rsid w:val="00DC627A"/>
    <w:rsid w:val="00DC6FA6"/>
    <w:rsid w:val="00DD7B79"/>
    <w:rsid w:val="00DE2472"/>
    <w:rsid w:val="00DE498C"/>
    <w:rsid w:val="00DE58C6"/>
    <w:rsid w:val="00DE6C80"/>
    <w:rsid w:val="00DF1540"/>
    <w:rsid w:val="00DF2209"/>
    <w:rsid w:val="00DF2624"/>
    <w:rsid w:val="00DF5EB4"/>
    <w:rsid w:val="00E0238F"/>
    <w:rsid w:val="00E11AE4"/>
    <w:rsid w:val="00E25470"/>
    <w:rsid w:val="00E27471"/>
    <w:rsid w:val="00E310E1"/>
    <w:rsid w:val="00E44564"/>
    <w:rsid w:val="00E55704"/>
    <w:rsid w:val="00E565B9"/>
    <w:rsid w:val="00E71DB3"/>
    <w:rsid w:val="00E72D70"/>
    <w:rsid w:val="00E747B4"/>
    <w:rsid w:val="00E80A46"/>
    <w:rsid w:val="00E83B02"/>
    <w:rsid w:val="00E85FA0"/>
    <w:rsid w:val="00E87997"/>
    <w:rsid w:val="00E95F38"/>
    <w:rsid w:val="00EA33CB"/>
    <w:rsid w:val="00EA7A67"/>
    <w:rsid w:val="00EC0B04"/>
    <w:rsid w:val="00EC4A51"/>
    <w:rsid w:val="00EC5C1D"/>
    <w:rsid w:val="00ED176B"/>
    <w:rsid w:val="00ED5CC6"/>
    <w:rsid w:val="00ED7943"/>
    <w:rsid w:val="00EF159C"/>
    <w:rsid w:val="00F07C69"/>
    <w:rsid w:val="00F15669"/>
    <w:rsid w:val="00F31B35"/>
    <w:rsid w:val="00F339CD"/>
    <w:rsid w:val="00F33A43"/>
    <w:rsid w:val="00F41650"/>
    <w:rsid w:val="00F47143"/>
    <w:rsid w:val="00F83D95"/>
    <w:rsid w:val="00F9569D"/>
    <w:rsid w:val="00FC306C"/>
    <w:rsid w:val="00FC3C9C"/>
    <w:rsid w:val="00FC6457"/>
    <w:rsid w:val="00FC6ECA"/>
    <w:rsid w:val="00FD3076"/>
    <w:rsid w:val="00FD46BA"/>
    <w:rsid w:val="00FE1CBC"/>
    <w:rsid w:val="00FE2E58"/>
    <w:rsid w:val="00FE5458"/>
    <w:rsid w:val="00FF35CF"/>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00F75"/>
  <w15:docId w15:val="{8B4D2443-FF27-4C4A-8C3C-65B50A2E8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704"/>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pPr>
      <w:tabs>
        <w:tab w:val="clear" w:pos="284"/>
        <w:tab w:val="num" w:pos="360"/>
      </w:tabs>
      <w:ind w:left="360" w:hanging="360"/>
    </w:pPr>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ListParagraphChar">
    <w:name w:val="List Paragraph Char"/>
    <w:link w:val="ListParagraph"/>
    <w:uiPriority w:val="34"/>
    <w:locked/>
    <w:rsid w:val="00CA3DE5"/>
  </w:style>
  <w:style w:type="paragraph" w:styleId="PlainText">
    <w:name w:val="Plain Text"/>
    <w:basedOn w:val="Normal"/>
    <w:link w:val="PlainTextChar"/>
    <w:uiPriority w:val="99"/>
    <w:unhideWhenUsed/>
    <w:rsid w:val="004D15E4"/>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4D15E4"/>
    <w:rPr>
      <w:rFonts w:ascii="Calibri" w:eastAsiaTheme="minorHAnsi" w:hAnsi="Calibri"/>
      <w:szCs w:val="21"/>
      <w:lang w:val="en-AU"/>
    </w:rPr>
  </w:style>
  <w:style w:type="paragraph" w:styleId="CommentText">
    <w:name w:val="annotation text"/>
    <w:basedOn w:val="Normal"/>
    <w:link w:val="CommentTextChar"/>
    <w:uiPriority w:val="99"/>
    <w:unhideWhenUsed/>
    <w:rsid w:val="00351D50"/>
    <w:pPr>
      <w:spacing w:line="240" w:lineRule="auto"/>
    </w:pPr>
    <w:rPr>
      <w:sz w:val="20"/>
      <w:szCs w:val="20"/>
    </w:rPr>
  </w:style>
  <w:style w:type="character" w:customStyle="1" w:styleId="CommentTextChar">
    <w:name w:val="Comment Text Char"/>
    <w:basedOn w:val="DefaultParagraphFont"/>
    <w:link w:val="CommentText"/>
    <w:uiPriority w:val="99"/>
    <w:rsid w:val="00351D50"/>
    <w:rPr>
      <w:sz w:val="20"/>
      <w:szCs w:val="20"/>
    </w:rPr>
  </w:style>
  <w:style w:type="character" w:styleId="CommentReference">
    <w:name w:val="annotation reference"/>
    <w:basedOn w:val="DefaultParagraphFont"/>
    <w:uiPriority w:val="99"/>
    <w:semiHidden/>
    <w:unhideWhenUsed/>
    <w:rsid w:val="00351D5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200821443">
      <w:bodyDiv w:val="1"/>
      <w:marLeft w:val="0"/>
      <w:marRight w:val="0"/>
      <w:marTop w:val="0"/>
      <w:marBottom w:val="0"/>
      <w:divBdr>
        <w:top w:val="none" w:sz="0" w:space="0" w:color="auto"/>
        <w:left w:val="none" w:sz="0" w:space="0" w:color="auto"/>
        <w:bottom w:val="none" w:sz="0" w:space="0" w:color="auto"/>
        <w:right w:val="none" w:sz="0" w:space="0" w:color="auto"/>
      </w:divBdr>
    </w:div>
    <w:div w:id="414136658">
      <w:bodyDiv w:val="1"/>
      <w:marLeft w:val="0"/>
      <w:marRight w:val="0"/>
      <w:marTop w:val="0"/>
      <w:marBottom w:val="0"/>
      <w:divBdr>
        <w:top w:val="none" w:sz="0" w:space="0" w:color="auto"/>
        <w:left w:val="none" w:sz="0" w:space="0" w:color="auto"/>
        <w:bottom w:val="none" w:sz="0" w:space="0" w:color="auto"/>
        <w:right w:val="none" w:sz="0" w:space="0" w:color="auto"/>
      </w:divBdr>
    </w:div>
    <w:div w:id="586505442">
      <w:bodyDiv w:val="1"/>
      <w:marLeft w:val="0"/>
      <w:marRight w:val="0"/>
      <w:marTop w:val="0"/>
      <w:marBottom w:val="0"/>
      <w:divBdr>
        <w:top w:val="none" w:sz="0" w:space="0" w:color="auto"/>
        <w:left w:val="none" w:sz="0" w:space="0" w:color="auto"/>
        <w:bottom w:val="none" w:sz="0" w:space="0" w:color="auto"/>
        <w:right w:val="none" w:sz="0" w:space="0" w:color="auto"/>
      </w:divBdr>
    </w:div>
    <w:div w:id="1064186198">
      <w:bodyDiv w:val="1"/>
      <w:marLeft w:val="0"/>
      <w:marRight w:val="0"/>
      <w:marTop w:val="0"/>
      <w:marBottom w:val="0"/>
      <w:divBdr>
        <w:top w:val="none" w:sz="0" w:space="0" w:color="auto"/>
        <w:left w:val="none" w:sz="0" w:space="0" w:color="auto"/>
        <w:bottom w:val="none" w:sz="0" w:space="0" w:color="auto"/>
        <w:right w:val="none" w:sz="0" w:space="0" w:color="auto"/>
      </w:divBdr>
    </w:div>
    <w:div w:id="1436749976">
      <w:bodyDiv w:val="1"/>
      <w:marLeft w:val="0"/>
      <w:marRight w:val="0"/>
      <w:marTop w:val="0"/>
      <w:marBottom w:val="0"/>
      <w:divBdr>
        <w:top w:val="none" w:sz="0" w:space="0" w:color="auto"/>
        <w:left w:val="none" w:sz="0" w:space="0" w:color="auto"/>
        <w:bottom w:val="none" w:sz="0" w:space="0" w:color="auto"/>
        <w:right w:val="none" w:sz="0" w:space="0" w:color="auto"/>
      </w:divBdr>
    </w:div>
    <w:div w:id="1452096030">
      <w:bodyDiv w:val="1"/>
      <w:marLeft w:val="0"/>
      <w:marRight w:val="0"/>
      <w:marTop w:val="0"/>
      <w:marBottom w:val="0"/>
      <w:divBdr>
        <w:top w:val="none" w:sz="0" w:space="0" w:color="auto"/>
        <w:left w:val="none" w:sz="0" w:space="0" w:color="auto"/>
        <w:bottom w:val="none" w:sz="0" w:space="0" w:color="auto"/>
        <w:right w:val="none" w:sz="0" w:space="0" w:color="auto"/>
      </w:divBdr>
    </w:div>
    <w:div w:id="1531842552">
      <w:bodyDiv w:val="1"/>
      <w:marLeft w:val="0"/>
      <w:marRight w:val="0"/>
      <w:marTop w:val="0"/>
      <w:marBottom w:val="0"/>
      <w:divBdr>
        <w:top w:val="none" w:sz="0" w:space="0" w:color="auto"/>
        <w:left w:val="none" w:sz="0" w:space="0" w:color="auto"/>
        <w:bottom w:val="none" w:sz="0" w:space="0" w:color="auto"/>
        <w:right w:val="none" w:sz="0" w:space="0" w:color="auto"/>
      </w:divBdr>
    </w:div>
    <w:div w:id="1538003190">
      <w:bodyDiv w:val="1"/>
      <w:marLeft w:val="0"/>
      <w:marRight w:val="0"/>
      <w:marTop w:val="0"/>
      <w:marBottom w:val="0"/>
      <w:divBdr>
        <w:top w:val="none" w:sz="0" w:space="0" w:color="auto"/>
        <w:left w:val="none" w:sz="0" w:space="0" w:color="auto"/>
        <w:bottom w:val="none" w:sz="0" w:space="0" w:color="auto"/>
        <w:right w:val="none" w:sz="0" w:space="0" w:color="auto"/>
      </w:divBdr>
    </w:div>
    <w:div w:id="1683363463">
      <w:bodyDiv w:val="1"/>
      <w:marLeft w:val="0"/>
      <w:marRight w:val="0"/>
      <w:marTop w:val="0"/>
      <w:marBottom w:val="0"/>
      <w:divBdr>
        <w:top w:val="none" w:sz="0" w:space="0" w:color="auto"/>
        <w:left w:val="none" w:sz="0" w:space="0" w:color="auto"/>
        <w:bottom w:val="none" w:sz="0" w:space="0" w:color="auto"/>
        <w:right w:val="none" w:sz="0" w:space="0" w:color="auto"/>
      </w:divBdr>
    </w:div>
    <w:div w:id="1687513732">
      <w:bodyDiv w:val="1"/>
      <w:marLeft w:val="0"/>
      <w:marRight w:val="0"/>
      <w:marTop w:val="0"/>
      <w:marBottom w:val="0"/>
      <w:divBdr>
        <w:top w:val="none" w:sz="0" w:space="0" w:color="auto"/>
        <w:left w:val="none" w:sz="0" w:space="0" w:color="auto"/>
        <w:bottom w:val="none" w:sz="0" w:space="0" w:color="auto"/>
        <w:right w:val="none" w:sz="0" w:space="0" w:color="auto"/>
      </w:divBdr>
    </w:div>
    <w:div w:id="1821771501">
      <w:bodyDiv w:val="1"/>
      <w:marLeft w:val="0"/>
      <w:marRight w:val="0"/>
      <w:marTop w:val="0"/>
      <w:marBottom w:val="0"/>
      <w:divBdr>
        <w:top w:val="none" w:sz="0" w:space="0" w:color="auto"/>
        <w:left w:val="none" w:sz="0" w:space="0" w:color="auto"/>
        <w:bottom w:val="none" w:sz="0" w:space="0" w:color="auto"/>
        <w:right w:val="none" w:sz="0" w:space="0" w:color="auto"/>
      </w:divBdr>
    </w:div>
    <w:div w:id="2039505811">
      <w:bodyDiv w:val="1"/>
      <w:marLeft w:val="0"/>
      <w:marRight w:val="0"/>
      <w:marTop w:val="0"/>
      <w:marBottom w:val="0"/>
      <w:divBdr>
        <w:top w:val="none" w:sz="0" w:space="0" w:color="auto"/>
        <w:left w:val="none" w:sz="0" w:space="0" w:color="auto"/>
        <w:bottom w:val="none" w:sz="0" w:space="0" w:color="auto"/>
        <w:right w:val="none" w:sz="0" w:space="0" w:color="auto"/>
      </w:divBdr>
    </w:div>
    <w:div w:id="21004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sc.nsw.gov.au/workforce-management/capability-framework/the-capability-frame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119D57EBC3524393261704DAE17760" ma:contentTypeVersion="13" ma:contentTypeDescription="Create a new document." ma:contentTypeScope="" ma:versionID="210721bd9e84c49d2ff77dd34d447b5f">
  <xsd:schema xmlns:xsd="http://www.w3.org/2001/XMLSchema" xmlns:xs="http://www.w3.org/2001/XMLSchema" xmlns:p="http://schemas.microsoft.com/office/2006/metadata/properties" xmlns:ns2="4fd21786-bff0-406d-868f-14e3cce16e00" xmlns:ns3="651accd8-9b9e-45ac-8cdf-4ebd245ad4c7" targetNamespace="http://schemas.microsoft.com/office/2006/metadata/properties" ma:root="true" ma:fieldsID="d5ba23103766d8f52dd58b26baa89549" ns2:_="" ns3:_="">
    <xsd:import namespace="4fd21786-bff0-406d-868f-14e3cce16e00"/>
    <xsd:import namespace="651accd8-9b9e-45ac-8cdf-4ebd245ad4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21786-bff0-406d-868f-14e3cce16e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accd8-9b9e-45ac-8cdf-4ebd245ad4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3C60-857F-4CC1-A0EC-A4DB4F99B640}">
  <ds:schemaRefs>
    <ds:schemaRef ds:uri="http://purl.org/dc/dcmitype/"/>
    <ds:schemaRef ds:uri="651accd8-9b9e-45ac-8cdf-4ebd245ad4c7"/>
    <ds:schemaRef ds:uri="http://www.w3.org/XML/1998/namespac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fd21786-bff0-406d-868f-14e3cce16e00"/>
  </ds:schemaRefs>
</ds:datastoreItem>
</file>

<file path=customXml/itemProps2.xml><?xml version="1.0" encoding="utf-8"?>
<ds:datastoreItem xmlns:ds="http://schemas.openxmlformats.org/officeDocument/2006/customXml" ds:itemID="{757CBA62-5C76-4C83-9525-0D774F523444}">
  <ds:schemaRefs>
    <ds:schemaRef ds:uri="http://schemas.microsoft.com/sharepoint/v3/contenttype/forms"/>
  </ds:schemaRefs>
</ds:datastoreItem>
</file>

<file path=customXml/itemProps3.xml><?xml version="1.0" encoding="utf-8"?>
<ds:datastoreItem xmlns:ds="http://schemas.openxmlformats.org/officeDocument/2006/customXml" ds:itemID="{7B655B66-D71C-4103-9A6E-962BBDAF6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21786-bff0-406d-868f-14e3cce16e00"/>
    <ds:schemaRef ds:uri="651accd8-9b9e-45ac-8cdf-4ebd245ad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29188-7DCF-4EB7-8DE1-DE2ED82B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1</TotalTime>
  <Pages>9</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Belinda Christie</cp:lastModifiedBy>
  <cp:revision>2</cp:revision>
  <dcterms:created xsi:type="dcterms:W3CDTF">2021-05-19T05:40:00Z</dcterms:created>
  <dcterms:modified xsi:type="dcterms:W3CDTF">2021-05-19T05:40:00Z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0x0101003D119D57EBC3524393261704DAE17760</vt:lpwstr>
  </property>
</Properties>
</file>