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tbl>
      <w:tblPr>
        <w:tblStyle w:val="PSCGreen"/>
        <w:tblW w:w="10587" w:type="dxa"/>
        <w:tblBorders>
          <w:top w:val="none" w:color="auto" w:sz="0" w:space="0"/>
          <w:bottom w:val="none" w:color="auto" w:sz="0" w:space="0"/>
          <w:insideH w:val="none" w:color="auto" w:sz="0" w:space="0"/>
        </w:tblBorders>
        <w:tblLook w:val="04A0" w:firstRow="1" w:lastRow="0" w:firstColumn="1" w:lastColumn="0" w:noHBand="0" w:noVBand="1"/>
      </w:tblPr>
      <w:tblGrid>
        <w:gridCol w:w="4026"/>
        <w:gridCol w:w="6561"/>
      </w:tblGrid>
      <w:tr w:rsidR="00865BCE" w:rsidTr="32E603A9" w14:paraId="63D22E3A" w14:textId="77777777">
        <w:trPr>
          <w:cnfStyle w:val="100000000000" w:firstRow="1" w:lastRow="0" w:firstColumn="0" w:lastColumn="0" w:oddVBand="0" w:evenVBand="0" w:oddHBand="0" w:evenHBand="0" w:firstRowFirstColumn="0" w:firstRowLastColumn="0" w:lastRowFirstColumn="0" w:lastRowLastColumn="0"/>
        </w:trPr>
        <w:tc>
          <w:tcPr>
            <w:cnfStyle w:val="000000000000" w:firstRow="0" w:lastRow="0" w:firstColumn="0" w:lastColumn="0" w:oddVBand="0" w:evenVBand="0" w:oddHBand="0" w:evenHBand="0" w:firstRowFirstColumn="0" w:firstRowLastColumn="0" w:lastRowFirstColumn="0" w:lastRowLastColumn="0"/>
            <w:tcW w:w="4026" w:type="dxa"/>
            <w:tcBorders>
              <w:top w:val="single" w:color="auto" w:sz="4" w:space="0"/>
              <w:left w:val="none" w:color="auto" w:sz="0" w:space="0"/>
              <w:bottom w:val="single" w:color="FFFFFF" w:themeColor="background1" w:sz="4" w:space="0"/>
              <w:right w:val="none" w:color="auto" w:sz="0" w:space="0"/>
              <w:tl2br w:val="none" w:color="auto" w:sz="0" w:space="0"/>
              <w:tr2bl w:val="none" w:color="auto" w:sz="0" w:space="0"/>
            </w:tcBorders>
            <w:tcMar/>
            <w:vAlign w:val="center"/>
            <w:hideMark/>
          </w:tcPr>
          <w:p w:rsidR="00865BCE" w:rsidP="00865BCE" w:rsidRDefault="00865BCE" w14:paraId="3618F5C2" w14:textId="77777777">
            <w:pPr>
              <w:pStyle w:val="TableTextWhite"/>
              <w:rPr>
                <w:b/>
              </w:rPr>
            </w:pPr>
            <w:r>
              <w:rPr>
                <w:b/>
              </w:rPr>
              <w:t>Cluster</w:t>
            </w:r>
          </w:p>
        </w:tc>
        <w:tc>
          <w:tcPr>
            <w:cnfStyle w:val="000000000000" w:firstRow="0" w:lastRow="0" w:firstColumn="0" w:lastColumn="0" w:oddVBand="0" w:evenVBand="0" w:oddHBand="0" w:evenHBand="0" w:firstRowFirstColumn="0" w:firstRowLastColumn="0" w:lastRowFirstColumn="0" w:lastRowLastColumn="0"/>
            <w:tcW w:w="6561" w:type="dxa"/>
            <w:tcBorders>
              <w:top w:val="single" w:color="auto" w:sz="4" w:space="0"/>
              <w:left w:val="none" w:color="auto" w:sz="0" w:space="0"/>
              <w:bottom w:val="single" w:color="FFFFFF" w:themeColor="background1" w:sz="4" w:space="0"/>
              <w:right w:val="none" w:color="auto" w:sz="0" w:space="0"/>
              <w:tl2br w:val="none" w:color="auto" w:sz="0" w:space="0"/>
              <w:tr2bl w:val="none" w:color="auto" w:sz="0" w:space="0"/>
            </w:tcBorders>
            <w:tcMar/>
            <w:hideMark/>
          </w:tcPr>
          <w:p w:rsidRPr="007738EA" w:rsidR="00865BCE" w:rsidP="00865BCE" w:rsidRDefault="00685B34" w14:paraId="7698ED3D" w14:textId="77777777">
            <w:r>
              <w:t>Regional NSW</w:t>
            </w:r>
          </w:p>
        </w:tc>
      </w:tr>
      <w:tr w:rsidR="00865BCE" w:rsidTr="32E603A9" w14:paraId="4CEF3759" w14:textId="77777777">
        <w:tc>
          <w:tcPr>
            <w:cnfStyle w:val="000000000000" w:firstRow="0" w:lastRow="0" w:firstColumn="0" w:lastColumn="0" w:oddVBand="0" w:evenVBand="0" w:oddHBand="0" w:evenHBand="0" w:firstRowFirstColumn="0" w:firstRowLastColumn="0" w:lastRowFirstColumn="0" w:lastRowLastColumn="0"/>
            <w:tcW w:w="4026" w:type="dxa"/>
            <w:tcBorders>
              <w:top w:val="single" w:color="FFFFFF" w:themeColor="background1" w:sz="4" w:space="0"/>
              <w:bottom w:val="single" w:color="FFFFFF" w:themeColor="background1" w:sz="4" w:space="0"/>
            </w:tcBorders>
            <w:tcMar/>
            <w:vAlign w:val="center"/>
            <w:hideMark/>
          </w:tcPr>
          <w:p w:rsidR="00865BCE" w:rsidP="00865BCE" w:rsidRDefault="00865BCE" w14:paraId="114444A9" w14:textId="77777777">
            <w:pPr>
              <w:pStyle w:val="TableTextWhite"/>
              <w:rPr>
                <w:b/>
              </w:rPr>
            </w:pPr>
            <w:r>
              <w:rPr>
                <w:b/>
              </w:rPr>
              <w:t>Agency</w:t>
            </w:r>
          </w:p>
        </w:tc>
        <w:tc>
          <w:tcPr>
            <w:cnfStyle w:val="000000000000" w:firstRow="0" w:lastRow="0" w:firstColumn="0" w:lastColumn="0" w:oddVBand="0" w:evenVBand="0" w:oddHBand="0" w:evenHBand="0" w:firstRowFirstColumn="0" w:firstRowLastColumn="0" w:lastRowFirstColumn="0" w:lastRowLastColumn="0"/>
            <w:tcW w:w="6561" w:type="dxa"/>
            <w:tcBorders>
              <w:top w:val="single" w:color="FFFFFF" w:themeColor="background1" w:sz="4" w:space="0"/>
              <w:bottom w:val="single" w:color="FFFFFF" w:themeColor="background1" w:sz="4" w:space="0"/>
            </w:tcBorders>
            <w:tcMar/>
            <w:hideMark/>
          </w:tcPr>
          <w:p w:rsidRPr="007738EA" w:rsidR="00865BCE" w:rsidP="00950C46" w:rsidRDefault="00865BCE" w14:paraId="030AB5DB" w14:textId="77777777">
            <w:r>
              <w:t xml:space="preserve">Department of </w:t>
            </w:r>
            <w:r w:rsidR="00685B34">
              <w:t>Regional New South Wales</w:t>
            </w:r>
          </w:p>
        </w:tc>
      </w:tr>
      <w:tr w:rsidR="00865BCE" w:rsidTr="32E603A9" w14:paraId="6800B254" w14:textId="77777777">
        <w:tc>
          <w:tcPr>
            <w:cnfStyle w:val="000000000000" w:firstRow="0" w:lastRow="0" w:firstColumn="0" w:lastColumn="0" w:oddVBand="0" w:evenVBand="0" w:oddHBand="0" w:evenHBand="0" w:firstRowFirstColumn="0" w:firstRowLastColumn="0" w:lastRowFirstColumn="0" w:lastRowLastColumn="0"/>
            <w:tcW w:w="4026" w:type="dxa"/>
            <w:tcBorders>
              <w:top w:val="single" w:color="FFFFFF" w:themeColor="background1" w:sz="4" w:space="0"/>
              <w:bottom w:val="single" w:color="FFFFFF" w:themeColor="background1" w:sz="4" w:space="0"/>
            </w:tcBorders>
            <w:tcMar/>
            <w:vAlign w:val="center"/>
            <w:hideMark/>
          </w:tcPr>
          <w:p w:rsidR="00865BCE" w:rsidP="00865BCE" w:rsidRDefault="00685B34" w14:paraId="102B324B" w14:textId="77777777">
            <w:pPr>
              <w:pStyle w:val="TableTextWhite"/>
              <w:rPr>
                <w:b/>
              </w:rPr>
            </w:pPr>
            <w:r>
              <w:rPr>
                <w:b/>
              </w:rPr>
              <w:t>Group/</w:t>
            </w:r>
            <w:r w:rsidR="00865BCE">
              <w:rPr>
                <w:b/>
              </w:rPr>
              <w:t>Division/Branch</w:t>
            </w:r>
          </w:p>
        </w:tc>
        <w:tc>
          <w:tcPr>
            <w:cnfStyle w:val="000000000000" w:firstRow="0" w:lastRow="0" w:firstColumn="0" w:lastColumn="0" w:oddVBand="0" w:evenVBand="0" w:oddHBand="0" w:evenHBand="0" w:firstRowFirstColumn="0" w:firstRowLastColumn="0" w:lastRowFirstColumn="0" w:lastRowLastColumn="0"/>
            <w:tcW w:w="6561" w:type="dxa"/>
            <w:tcBorders>
              <w:top w:val="single" w:color="FFFFFF" w:themeColor="background1" w:sz="4" w:space="0"/>
              <w:bottom w:val="single" w:color="FFFFFF" w:themeColor="background1" w:sz="4" w:space="0"/>
            </w:tcBorders>
            <w:tcMar/>
          </w:tcPr>
          <w:p w:rsidRPr="007738EA" w:rsidR="00865BCE" w:rsidP="00865BCE" w:rsidRDefault="009A16FF" w14:paraId="6435335F" w14:textId="0F4FE7CC">
            <w:r>
              <w:t>Mining, Exploration &amp; Geoscience</w:t>
            </w:r>
          </w:p>
        </w:tc>
      </w:tr>
      <w:tr w:rsidR="001B50CD" w:rsidTr="32E603A9" w14:paraId="5DC45735" w14:textId="77777777">
        <w:tc>
          <w:tcPr>
            <w:cnfStyle w:val="000000000000" w:firstRow="0" w:lastRow="0" w:firstColumn="0" w:lastColumn="0" w:oddVBand="0" w:evenVBand="0" w:oddHBand="0" w:evenHBand="0" w:firstRowFirstColumn="0" w:firstRowLastColumn="0" w:lastRowFirstColumn="0" w:lastRowLastColumn="0"/>
            <w:tcW w:w="4026" w:type="dxa"/>
            <w:tcBorders>
              <w:top w:val="single" w:color="FFFFFF" w:themeColor="background1" w:sz="4" w:space="0"/>
              <w:bottom w:val="single" w:color="FFFFFF" w:themeColor="background1" w:sz="4" w:space="0"/>
            </w:tcBorders>
            <w:tcMar/>
            <w:vAlign w:val="center"/>
            <w:hideMark/>
          </w:tcPr>
          <w:p w:rsidR="001B50CD" w:rsidRDefault="001B50CD" w14:paraId="7DC63327" w14:textId="77777777">
            <w:pPr>
              <w:pStyle w:val="TableTextWhite"/>
              <w:rPr>
                <w:b/>
              </w:rPr>
            </w:pPr>
            <w:r>
              <w:rPr>
                <w:b/>
              </w:rPr>
              <w:t>Location</w:t>
            </w:r>
          </w:p>
        </w:tc>
        <w:tc>
          <w:tcPr>
            <w:cnfStyle w:val="000000000000" w:firstRow="0" w:lastRow="0" w:firstColumn="0" w:lastColumn="0" w:oddVBand="0" w:evenVBand="0" w:oddHBand="0" w:evenHBand="0" w:firstRowFirstColumn="0" w:firstRowLastColumn="0" w:lastRowFirstColumn="0" w:lastRowLastColumn="0"/>
            <w:tcW w:w="6561" w:type="dxa"/>
            <w:tcBorders>
              <w:top w:val="single" w:color="FFFFFF" w:themeColor="background1" w:sz="4" w:space="0"/>
              <w:bottom w:val="single" w:color="FFFFFF" w:themeColor="background1" w:sz="4" w:space="0"/>
            </w:tcBorders>
            <w:tcMar/>
          </w:tcPr>
          <w:p w:rsidR="001B50CD" w:rsidP="009A16FF" w:rsidRDefault="009A16FF" w14:paraId="37A55BED" w14:textId="0E1C7229">
            <w:pPr>
              <w:pStyle w:val="TableTextWhite"/>
            </w:pPr>
            <w:r w:rsidR="009A16FF">
              <w:rPr/>
              <w:t>Regional NSW</w:t>
            </w:r>
          </w:p>
        </w:tc>
      </w:tr>
      <w:tr w:rsidR="001B50CD" w:rsidTr="32E603A9" w14:paraId="6D7C017C" w14:textId="77777777">
        <w:tc>
          <w:tcPr>
            <w:cnfStyle w:val="000000000000" w:firstRow="0" w:lastRow="0" w:firstColumn="0" w:lastColumn="0" w:oddVBand="0" w:evenVBand="0" w:oddHBand="0" w:evenHBand="0" w:firstRowFirstColumn="0" w:firstRowLastColumn="0" w:lastRowFirstColumn="0" w:lastRowLastColumn="0"/>
            <w:tcW w:w="4026" w:type="dxa"/>
            <w:tcBorders>
              <w:top w:val="single" w:color="FFFFFF" w:themeColor="background1" w:sz="4" w:space="0"/>
              <w:bottom w:val="single" w:color="FFFFFF" w:themeColor="background1" w:sz="4" w:space="0"/>
            </w:tcBorders>
            <w:tcMar/>
            <w:vAlign w:val="center"/>
            <w:hideMark/>
          </w:tcPr>
          <w:p w:rsidR="001B50CD" w:rsidRDefault="001B50CD" w14:paraId="50526A5D" w14:textId="77777777">
            <w:pPr>
              <w:pStyle w:val="TableTextWhite"/>
              <w:rPr>
                <w:b/>
              </w:rPr>
            </w:pPr>
            <w:r>
              <w:rPr>
                <w:b/>
              </w:rPr>
              <w:t>Classification/Grade/Band</w:t>
            </w:r>
          </w:p>
        </w:tc>
        <w:tc>
          <w:tcPr>
            <w:cnfStyle w:val="000000000000" w:firstRow="0" w:lastRow="0" w:firstColumn="0" w:lastColumn="0" w:oddVBand="0" w:evenVBand="0" w:oddHBand="0" w:evenHBand="0" w:firstRowFirstColumn="0" w:firstRowLastColumn="0" w:lastRowFirstColumn="0" w:lastRowLastColumn="0"/>
            <w:tcW w:w="6561" w:type="dxa"/>
            <w:tcBorders>
              <w:top w:val="single" w:color="FFFFFF" w:themeColor="background1" w:sz="4" w:space="0"/>
              <w:bottom w:val="single" w:color="FFFFFF" w:themeColor="background1" w:sz="4" w:space="0"/>
            </w:tcBorders>
            <w:tcMar/>
            <w:hideMark/>
          </w:tcPr>
          <w:p w:rsidR="001B50CD" w:rsidP="00F12275" w:rsidRDefault="007F345C" w14:paraId="04C75106" w14:textId="77777777">
            <w:pPr>
              <w:pStyle w:val="TableTextWhite"/>
            </w:pPr>
            <w:r>
              <w:t xml:space="preserve">Clerk </w:t>
            </w:r>
            <w:r w:rsidR="001B50CD">
              <w:t xml:space="preserve">Grade </w:t>
            </w:r>
            <w:r w:rsidR="00227A39">
              <w:t>11</w:t>
            </w:r>
            <w:r w:rsidR="00685B34">
              <w:t xml:space="preserve"> </w:t>
            </w:r>
            <w:r w:rsidR="00F12275">
              <w:t>/</w:t>
            </w:r>
            <w:r w:rsidR="00685B34">
              <w:t xml:space="preserve"> </w:t>
            </w:r>
            <w:r w:rsidR="00227A39">
              <w:t xml:space="preserve">12 </w:t>
            </w:r>
          </w:p>
        </w:tc>
      </w:tr>
      <w:tr w:rsidR="00AD61B9" w:rsidTr="32E603A9" w14:paraId="51A93B83" w14:textId="77777777">
        <w:tc>
          <w:tcPr>
            <w:cnfStyle w:val="000000000000" w:firstRow="0" w:lastRow="0" w:firstColumn="0" w:lastColumn="0" w:oddVBand="0" w:evenVBand="0" w:oddHBand="0" w:evenHBand="0" w:firstRowFirstColumn="0" w:firstRowLastColumn="0" w:lastRowFirstColumn="0" w:lastRowLastColumn="0"/>
            <w:tcW w:w="4026" w:type="dxa"/>
            <w:tcBorders>
              <w:top w:val="single" w:color="FFFFFF" w:themeColor="background1" w:sz="4" w:space="0"/>
              <w:bottom w:val="single" w:color="FFFFFF" w:themeColor="background1" w:sz="4" w:space="0"/>
            </w:tcBorders>
            <w:tcMar/>
            <w:vAlign w:val="center"/>
            <w:hideMark/>
          </w:tcPr>
          <w:p w:rsidR="00AD61B9" w:rsidRDefault="00AD61B9" w14:paraId="772FB348" w14:textId="77777777">
            <w:pPr>
              <w:pStyle w:val="TableTextWhite"/>
              <w:rPr>
                <w:b/>
              </w:rPr>
            </w:pPr>
            <w:r>
              <w:rPr>
                <w:b/>
              </w:rPr>
              <w:t>ANZSCO Code</w:t>
            </w:r>
          </w:p>
        </w:tc>
        <w:tc>
          <w:tcPr>
            <w:cnfStyle w:val="000000000000" w:firstRow="0" w:lastRow="0" w:firstColumn="0" w:lastColumn="0" w:oddVBand="0" w:evenVBand="0" w:oddHBand="0" w:evenHBand="0" w:firstRowFirstColumn="0" w:firstRowLastColumn="0" w:lastRowFirstColumn="0" w:lastRowLastColumn="0"/>
            <w:tcW w:w="6561" w:type="dxa"/>
            <w:tcBorders>
              <w:top w:val="single" w:color="FFFFFF" w:themeColor="background1" w:sz="4" w:space="0"/>
              <w:bottom w:val="single" w:color="FFFFFF" w:themeColor="background1" w:sz="4" w:space="0"/>
            </w:tcBorders>
            <w:tcMar/>
            <w:hideMark/>
          </w:tcPr>
          <w:p w:rsidRPr="00DC0173" w:rsidR="00AD61B9" w:rsidP="00E80087" w:rsidRDefault="00AD61B9" w14:paraId="7BFDC631" w14:textId="77777777">
            <w:pPr>
              <w:pStyle w:val="TableTextWhite"/>
            </w:pPr>
            <w:r>
              <w:t>139999</w:t>
            </w:r>
          </w:p>
        </w:tc>
      </w:tr>
      <w:tr w:rsidR="00AD61B9" w:rsidTr="32E603A9" w14:paraId="0C89EF20" w14:textId="77777777">
        <w:tc>
          <w:tcPr>
            <w:cnfStyle w:val="000000000000" w:firstRow="0" w:lastRow="0" w:firstColumn="0" w:lastColumn="0" w:oddVBand="0" w:evenVBand="0" w:oddHBand="0" w:evenHBand="0" w:firstRowFirstColumn="0" w:firstRowLastColumn="0" w:lastRowFirstColumn="0" w:lastRowLastColumn="0"/>
            <w:tcW w:w="4026" w:type="dxa"/>
            <w:tcBorders>
              <w:top w:val="single" w:color="FFFFFF" w:themeColor="background1" w:sz="4" w:space="0"/>
              <w:bottom w:val="single" w:color="FFFFFF" w:themeColor="background1" w:sz="4" w:space="0"/>
            </w:tcBorders>
            <w:tcMar/>
            <w:vAlign w:val="center"/>
            <w:hideMark/>
          </w:tcPr>
          <w:p w:rsidR="00AD61B9" w:rsidRDefault="00AD61B9" w14:paraId="645CF837" w14:textId="77777777">
            <w:pPr>
              <w:pStyle w:val="TableTextWhite"/>
              <w:rPr>
                <w:b/>
              </w:rPr>
            </w:pPr>
            <w:r>
              <w:rPr>
                <w:b/>
              </w:rPr>
              <w:t>PCAT Code</w:t>
            </w:r>
          </w:p>
        </w:tc>
        <w:tc>
          <w:tcPr>
            <w:cnfStyle w:val="000000000000" w:firstRow="0" w:lastRow="0" w:firstColumn="0" w:lastColumn="0" w:oddVBand="0" w:evenVBand="0" w:oddHBand="0" w:evenHBand="0" w:firstRowFirstColumn="0" w:firstRowLastColumn="0" w:lastRowFirstColumn="0" w:lastRowLastColumn="0"/>
            <w:tcW w:w="6561" w:type="dxa"/>
            <w:tcBorders>
              <w:top w:val="single" w:color="FFFFFF" w:themeColor="background1" w:sz="4" w:space="0"/>
              <w:bottom w:val="single" w:color="FFFFFF" w:themeColor="background1" w:sz="4" w:space="0"/>
            </w:tcBorders>
            <w:tcMar/>
            <w:hideMark/>
          </w:tcPr>
          <w:p w:rsidRPr="00DC0173" w:rsidR="00AD61B9" w:rsidP="00E80087" w:rsidRDefault="00AD61B9" w14:paraId="5DAB37D6" w14:textId="77777777">
            <w:pPr>
              <w:pStyle w:val="TableTextWhite"/>
            </w:pPr>
            <w:r>
              <w:t>1119192</w:t>
            </w:r>
          </w:p>
        </w:tc>
      </w:tr>
      <w:tr w:rsidR="001B50CD" w:rsidTr="32E603A9" w14:paraId="51CDDBA0" w14:textId="77777777">
        <w:tc>
          <w:tcPr>
            <w:cnfStyle w:val="000000000000" w:firstRow="0" w:lastRow="0" w:firstColumn="0" w:lastColumn="0" w:oddVBand="0" w:evenVBand="0" w:oddHBand="0" w:evenHBand="0" w:firstRowFirstColumn="0" w:firstRowLastColumn="0" w:lastRowFirstColumn="0" w:lastRowLastColumn="0"/>
            <w:tcW w:w="4026" w:type="dxa"/>
            <w:tcBorders>
              <w:top w:val="single" w:color="FFFFFF" w:themeColor="background1" w:sz="4" w:space="0"/>
              <w:bottom w:val="single" w:color="FFFFFF" w:themeColor="background1" w:sz="4" w:space="0"/>
            </w:tcBorders>
            <w:tcMar/>
            <w:vAlign w:val="center"/>
            <w:hideMark/>
          </w:tcPr>
          <w:p w:rsidR="001B50CD" w:rsidRDefault="001B50CD" w14:paraId="22A7650F" w14:textId="77777777">
            <w:pPr>
              <w:pStyle w:val="TableTextWhite"/>
              <w:rPr>
                <w:b/>
              </w:rPr>
            </w:pPr>
            <w:bookmarkStart w:name="Cluster" w:colFirst="1" w:colLast="1" w:id="0"/>
            <w:r>
              <w:rPr>
                <w:b/>
              </w:rPr>
              <w:t>Date of Approval</w:t>
            </w:r>
          </w:p>
        </w:tc>
        <w:tc>
          <w:tcPr>
            <w:cnfStyle w:val="000000000000" w:firstRow="0" w:lastRow="0" w:firstColumn="0" w:lastColumn="0" w:oddVBand="0" w:evenVBand="0" w:oddHBand="0" w:evenHBand="0" w:firstRowFirstColumn="0" w:firstRowLastColumn="0" w:lastRowFirstColumn="0" w:lastRowLastColumn="0"/>
            <w:tcW w:w="6561" w:type="dxa"/>
            <w:tcBorders>
              <w:top w:val="single" w:color="FFFFFF" w:themeColor="background1" w:sz="4" w:space="0"/>
              <w:bottom w:val="single" w:color="FFFFFF" w:themeColor="background1" w:sz="4" w:space="0"/>
            </w:tcBorders>
            <w:tcMar/>
          </w:tcPr>
          <w:p w:rsidR="001B50CD" w:rsidRDefault="009A16FF" w14:paraId="0ADCC067" w14:textId="5B1E90F8">
            <w:pPr>
              <w:pStyle w:val="TableTextWhite"/>
            </w:pPr>
            <w:r>
              <w:t>August 2021</w:t>
            </w:r>
          </w:p>
        </w:tc>
      </w:tr>
      <w:bookmarkEnd w:id="0"/>
      <w:tr w:rsidR="001B50CD" w:rsidTr="32E603A9" w14:paraId="474A2E68" w14:textId="77777777">
        <w:tc>
          <w:tcPr>
            <w:cnfStyle w:val="000000000000" w:firstRow="0" w:lastRow="0" w:firstColumn="0" w:lastColumn="0" w:oddVBand="0" w:evenVBand="0" w:oddHBand="0" w:evenHBand="0" w:firstRowFirstColumn="0" w:firstRowLastColumn="0" w:lastRowFirstColumn="0" w:lastRowLastColumn="0"/>
            <w:tcW w:w="4026" w:type="dxa"/>
            <w:tcBorders>
              <w:top w:val="single" w:color="FFFFFF" w:themeColor="background1" w:sz="4" w:space="0"/>
              <w:bottom w:val="single" w:color="auto" w:sz="4" w:space="0"/>
            </w:tcBorders>
            <w:tcMar/>
            <w:vAlign w:val="center"/>
            <w:hideMark/>
          </w:tcPr>
          <w:p w:rsidR="001B50CD" w:rsidRDefault="001B50CD" w14:paraId="616F6968" w14:textId="77777777">
            <w:pPr>
              <w:pStyle w:val="TableTextWhite"/>
              <w:rPr>
                <w:b/>
              </w:rPr>
            </w:pPr>
            <w:r>
              <w:rPr>
                <w:b/>
              </w:rPr>
              <w:t>Agency Website</w:t>
            </w:r>
          </w:p>
        </w:tc>
        <w:tc>
          <w:tcPr>
            <w:cnfStyle w:val="000000000000" w:firstRow="0" w:lastRow="0" w:firstColumn="0" w:lastColumn="0" w:oddVBand="0" w:evenVBand="0" w:oddHBand="0" w:evenHBand="0" w:firstRowFirstColumn="0" w:firstRowLastColumn="0" w:lastRowFirstColumn="0" w:lastRowLastColumn="0"/>
            <w:tcW w:w="6561" w:type="dxa"/>
            <w:tcBorders>
              <w:top w:val="single" w:color="FFFFFF" w:themeColor="background1" w:sz="4" w:space="0"/>
              <w:bottom w:val="single" w:color="auto" w:sz="4" w:space="0"/>
            </w:tcBorders>
            <w:tcMar/>
            <w:hideMark/>
          </w:tcPr>
          <w:p w:rsidRPr="00845A0F" w:rsidR="001B50CD" w:rsidP="009A16FF" w:rsidRDefault="00845A0F" w14:paraId="0A2BA449" w14:textId="72EFDF48">
            <w:pPr>
              <w:pStyle w:val="TableTextWhite"/>
            </w:pPr>
            <w:hyperlink w:history="1" r:id="rId11">
              <w:r w:rsidRPr="00845A0F" w:rsidR="009A16FF">
                <w:rPr>
                  <w:rStyle w:val="Hyperlink"/>
                  <w:color w:val="FFFFFF" w:themeColor="background1"/>
                  <w:u w:val="none"/>
                </w:rPr>
                <w:t>www.regional.nsw.gov.au</w:t>
              </w:r>
            </w:hyperlink>
          </w:p>
        </w:tc>
      </w:tr>
    </w:tbl>
    <w:p w:rsidR="001B50CD" w:rsidP="00556802" w:rsidRDefault="001B50CD" w14:paraId="03E313DE" w14:textId="77777777">
      <w:pPr>
        <w:tabs>
          <w:tab w:val="left" w:pos="2925"/>
        </w:tabs>
        <w:spacing w:before="240"/>
        <w:rPr>
          <w:rStyle w:val="Heading1Char"/>
        </w:rPr>
      </w:pPr>
      <w:r>
        <w:rPr>
          <w:rStyle w:val="Heading1Char"/>
        </w:rPr>
        <w:t>Agency overview</w:t>
      </w:r>
    </w:p>
    <w:p w:rsidRPr="009A16FF" w:rsidR="009A16FF" w:rsidP="009A16FF" w:rsidRDefault="009A16FF" w14:paraId="63B72A29" w14:textId="77777777">
      <w:pPr>
        <w:tabs>
          <w:tab w:val="left" w:pos="2925"/>
        </w:tabs>
        <w:spacing w:before="240"/>
        <w:rPr>
          <w:rFonts w:eastAsia="Times New Roman" w:cs="Arial"/>
          <w:color w:val="201F1E"/>
          <w:lang w:val="en-AU" w:eastAsia="en-AU"/>
        </w:rPr>
      </w:pPr>
      <w:r w:rsidRPr="009A16FF">
        <w:rPr>
          <w:rFonts w:eastAsia="Times New Roman" w:cs="Arial"/>
          <w:color w:val="201F1E"/>
          <w:lang w:val="en-AU" w:eastAsia="en-AU"/>
        </w:rPr>
        <w:t>The Department of Regional NSW was formed in 2020 as a central agency for regional issues. The Department is responsible for building resilient regional economies and communities, strengthening primary industries, managing the use of regional land, overseeing the state’s mineral and mining resources and ensuring government investment in regional NSW is fair and delivers positive outcomes for local communities and businesses.</w:t>
      </w:r>
    </w:p>
    <w:p w:rsidR="00575BE1" w:rsidP="00575BE1" w:rsidRDefault="009A16FF" w14:paraId="6BECCF34" w14:textId="77777777">
      <w:pPr>
        <w:tabs>
          <w:tab w:val="left" w:pos="2925"/>
        </w:tabs>
        <w:spacing w:before="240"/>
        <w:rPr>
          <w:rFonts w:eastAsia="Times New Roman" w:cs="Arial"/>
          <w:color w:val="201F1E"/>
          <w:lang w:val="en-AU" w:eastAsia="en-AU"/>
        </w:rPr>
      </w:pPr>
      <w:r w:rsidRPr="009A16FF">
        <w:rPr>
          <w:rFonts w:eastAsia="Times New Roman" w:cs="Arial"/>
          <w:color w:val="201F1E"/>
          <w:lang w:val="en-AU" w:eastAsia="en-AU"/>
        </w:rPr>
        <w:t>Mining, Exploration and Geoscience (MEG) sets strategic policy for the state’s mineral and energy resources, gathers, analyses and disseminates geoscientific information, and assesses and determines applications for mineral and petroleum titles for exploration activities and extractive uses. Through its Resources Regulator Branch the Group ensures the safe and sustainable functioning of the industry in NSW.</w:t>
      </w:r>
    </w:p>
    <w:p w:rsidRPr="00575BE1" w:rsidR="00575BE1" w:rsidP="00575BE1" w:rsidRDefault="00575BE1" w14:paraId="59AD86E3" w14:textId="00AC4557">
      <w:pPr>
        <w:tabs>
          <w:tab w:val="left" w:pos="2925"/>
        </w:tabs>
        <w:spacing w:before="240"/>
        <w:rPr>
          <w:rFonts w:eastAsia="Times New Roman" w:cs="Arial"/>
          <w:color w:val="201F1E"/>
          <w:lang w:val="en-AU" w:eastAsia="en-AU"/>
        </w:rPr>
      </w:pPr>
      <w:r w:rsidRPr="005A0B50">
        <w:t>Mining, Exploration and Geoscience is committed to delivering strong and quality outcomes, with the vision of our minerals and petroleum resources generating prosperity for the people of NSW.</w:t>
      </w:r>
    </w:p>
    <w:p w:rsidRPr="009A16FF" w:rsidR="00AB67E6" w:rsidP="009A16FF" w:rsidRDefault="00AB67E6" w14:paraId="2B6471A1" w14:textId="00377477">
      <w:pPr>
        <w:tabs>
          <w:tab w:val="left" w:pos="2925"/>
        </w:tabs>
        <w:spacing w:before="240"/>
        <w:rPr>
          <w:rStyle w:val="Heading1Char"/>
        </w:rPr>
      </w:pPr>
      <w:r w:rsidRPr="009A16FF">
        <w:rPr>
          <w:rStyle w:val="Heading1Char"/>
        </w:rPr>
        <w:t>Primary purpose of the role</w:t>
      </w:r>
    </w:p>
    <w:p w:rsidRPr="007951B2" w:rsidR="007951B2" w:rsidP="00CD6A25" w:rsidRDefault="00AD61B9" w14:paraId="0F3188B9" w14:textId="55087E97">
      <w:pPr>
        <w:pStyle w:val="BodyTextIndent2"/>
        <w:spacing w:before="120" w:after="0" w:line="276" w:lineRule="auto"/>
        <w:ind w:left="0"/>
        <w:jc w:val="both"/>
        <w:rPr>
          <w:rFonts w:cs="Arial"/>
        </w:rPr>
      </w:pPr>
      <w:r w:rsidRPr="009A16FF">
        <w:rPr>
          <w:rFonts w:cs="Arial"/>
        </w:rPr>
        <w:t xml:space="preserve">The </w:t>
      </w:r>
      <w:r w:rsidRPr="009A16FF" w:rsidR="00CD6A25">
        <w:rPr>
          <w:rFonts w:cs="Arial"/>
        </w:rPr>
        <w:t>role leads</w:t>
      </w:r>
      <w:r w:rsidRPr="009A16FF">
        <w:rPr>
          <w:rFonts w:cs="Arial"/>
        </w:rPr>
        <w:t xml:space="preserve"> the development, management and implementation of a range of </w:t>
      </w:r>
      <w:r w:rsidR="009A16FF">
        <w:rPr>
          <w:rFonts w:cs="Arial"/>
        </w:rPr>
        <w:t>products and platforms across MEG to promote and</w:t>
      </w:r>
      <w:r w:rsidRPr="009A16FF">
        <w:t xml:space="preserve"> support </w:t>
      </w:r>
      <w:r w:rsidR="009A16FF">
        <w:rPr>
          <w:rFonts w:cs="Arial"/>
        </w:rPr>
        <w:t>MEG’s goal of being the number one mining investment destination in Australia</w:t>
      </w:r>
      <w:r w:rsidR="007951B2">
        <w:rPr>
          <w:rFonts w:cs="Arial"/>
        </w:rPr>
        <w:t>. The role also leads a strategic framework for managing the learning and development</w:t>
      </w:r>
      <w:r w:rsidR="0005565D">
        <w:rPr>
          <w:rFonts w:cs="Arial"/>
        </w:rPr>
        <w:t>, internal communications</w:t>
      </w:r>
      <w:r w:rsidR="007951B2">
        <w:rPr>
          <w:rFonts w:cs="Arial"/>
        </w:rPr>
        <w:t xml:space="preserve"> and culture needs for MEG</w:t>
      </w:r>
      <w:r w:rsidR="00A83C49">
        <w:rPr>
          <w:rFonts w:cs="Arial"/>
        </w:rPr>
        <w:t>.</w:t>
      </w:r>
    </w:p>
    <w:p w:rsidRPr="00575BE1" w:rsidR="002802B6" w:rsidP="00575BE1" w:rsidRDefault="00AB67E6" w14:paraId="139B5790" w14:textId="67EC4621">
      <w:pPr>
        <w:tabs>
          <w:tab w:val="left" w:pos="2925"/>
        </w:tabs>
        <w:spacing w:before="240"/>
        <w:rPr>
          <w:rFonts w:cs="Arial" w:eastAsiaTheme="minorHAnsi"/>
          <w:b/>
          <w:bCs/>
          <w:kern w:val="32"/>
          <w:sz w:val="26"/>
          <w:szCs w:val="32"/>
          <w:lang w:val="en-AU"/>
        </w:rPr>
      </w:pPr>
      <w:r>
        <w:rPr>
          <w:rStyle w:val="Heading1Char"/>
        </w:rPr>
        <w:t>Key accountabilities</w:t>
      </w:r>
    </w:p>
    <w:p w:rsidRPr="009160CF" w:rsidR="002802B6" w:rsidP="00845A0F" w:rsidRDefault="002802B6" w14:paraId="17A72159" w14:textId="75A69B4C">
      <w:pPr>
        <w:pStyle w:val="ListParagraph"/>
        <w:numPr>
          <w:ilvl w:val="0"/>
          <w:numId w:val="11"/>
        </w:numPr>
        <w:autoSpaceDE w:val="0"/>
        <w:autoSpaceDN w:val="0"/>
        <w:adjustRightInd w:val="0"/>
        <w:spacing w:after="0"/>
        <w:rPr>
          <w:rFonts w:cs="Arial"/>
          <w:color w:val="000000"/>
          <w:sz w:val="24"/>
          <w:szCs w:val="24"/>
          <w:lang w:val="en-AU"/>
        </w:rPr>
      </w:pPr>
      <w:r w:rsidRPr="009160CF">
        <w:rPr>
          <w:rFonts w:cs="Arial"/>
          <w:color w:val="000000"/>
          <w:lang w:val="en-AU"/>
        </w:rPr>
        <w:t xml:space="preserve">Lead the development of digital content and technical publications and manage the delivery of </w:t>
      </w:r>
      <w:proofErr w:type="gramStart"/>
      <w:r w:rsidRPr="009160CF">
        <w:rPr>
          <w:rFonts w:cs="Arial"/>
          <w:color w:val="000000"/>
          <w:lang w:val="en-AU"/>
        </w:rPr>
        <w:t>high quality</w:t>
      </w:r>
      <w:proofErr w:type="gramEnd"/>
      <w:r w:rsidRPr="009160CF">
        <w:rPr>
          <w:rFonts w:cs="Arial"/>
          <w:color w:val="000000"/>
          <w:lang w:val="en-AU"/>
        </w:rPr>
        <w:t xml:space="preserve"> materials that are innovative, effective and achieve NSW Government and department objectives and inform, influence and engage audiences</w:t>
      </w:r>
    </w:p>
    <w:p w:rsidRPr="002802B6" w:rsidR="002802B6" w:rsidP="00845A0F" w:rsidRDefault="002802B6" w14:paraId="01B703D1" w14:textId="13A09E22">
      <w:pPr>
        <w:numPr>
          <w:ilvl w:val="0"/>
          <w:numId w:val="11"/>
        </w:numPr>
        <w:autoSpaceDE w:val="0"/>
        <w:autoSpaceDN w:val="0"/>
        <w:adjustRightInd w:val="0"/>
        <w:spacing w:after="0"/>
        <w:rPr>
          <w:rFonts w:cs="Arial"/>
          <w:color w:val="000000"/>
          <w:lang w:val="en-AU"/>
        </w:rPr>
      </w:pPr>
      <w:r w:rsidRPr="002802B6">
        <w:rPr>
          <w:rFonts w:cs="Arial"/>
          <w:color w:val="000000"/>
          <w:lang w:val="en-AU"/>
        </w:rPr>
        <w:t xml:space="preserve">Embed appropriate systems, policies and procedures to optimise </w:t>
      </w:r>
      <w:r>
        <w:rPr>
          <w:rFonts w:cs="Arial"/>
          <w:color w:val="000000"/>
          <w:lang w:val="en-AU"/>
        </w:rPr>
        <w:t>outputs and</w:t>
      </w:r>
      <w:r w:rsidRPr="002802B6">
        <w:rPr>
          <w:rFonts w:cs="Arial"/>
          <w:color w:val="000000"/>
          <w:lang w:val="en-AU"/>
        </w:rPr>
        <w:t xml:space="preserve"> enhance the accuracy, responsiveness and appropriateness of </w:t>
      </w:r>
      <w:r w:rsidR="00A83C49">
        <w:rPr>
          <w:rFonts w:cs="Arial"/>
          <w:color w:val="000000"/>
          <w:lang w:val="en-AU"/>
        </w:rPr>
        <w:t>publications</w:t>
      </w:r>
    </w:p>
    <w:p w:rsidRPr="002802B6" w:rsidR="002802B6" w:rsidP="00845A0F" w:rsidRDefault="002802B6" w14:paraId="06E35AAD" w14:textId="77777777">
      <w:pPr>
        <w:autoSpaceDE w:val="0"/>
        <w:autoSpaceDN w:val="0"/>
        <w:adjustRightInd w:val="0"/>
        <w:spacing w:after="0"/>
        <w:rPr>
          <w:rFonts w:cs="Arial"/>
          <w:color w:val="000000"/>
          <w:sz w:val="24"/>
          <w:szCs w:val="24"/>
          <w:lang w:val="en-AU"/>
        </w:rPr>
      </w:pPr>
    </w:p>
    <w:p w:rsidRPr="002802B6" w:rsidR="002802B6" w:rsidP="00845A0F" w:rsidRDefault="002802B6" w14:paraId="5B1A547F" w14:textId="77777777">
      <w:pPr>
        <w:autoSpaceDE w:val="0"/>
        <w:autoSpaceDN w:val="0"/>
        <w:adjustRightInd w:val="0"/>
        <w:spacing w:after="0"/>
        <w:rPr>
          <w:rFonts w:cs="Arial"/>
          <w:color w:val="000000"/>
          <w:sz w:val="24"/>
          <w:szCs w:val="24"/>
          <w:lang w:val="en-AU"/>
        </w:rPr>
      </w:pPr>
      <w:r w:rsidRPr="002802B6">
        <w:rPr>
          <w:rFonts w:cs="Arial"/>
          <w:color w:val="000000"/>
          <w:sz w:val="24"/>
          <w:szCs w:val="24"/>
          <w:lang w:val="en-AU"/>
        </w:rPr>
        <w:lastRenderedPageBreak/>
        <w:t xml:space="preserve"> </w:t>
      </w:r>
    </w:p>
    <w:p w:rsidR="002802B6" w:rsidP="00845A0F" w:rsidRDefault="002802B6" w14:paraId="2D6B7409" w14:textId="13DF4B02">
      <w:pPr>
        <w:numPr>
          <w:ilvl w:val="0"/>
          <w:numId w:val="11"/>
        </w:numPr>
        <w:autoSpaceDE w:val="0"/>
        <w:autoSpaceDN w:val="0"/>
        <w:adjustRightInd w:val="0"/>
        <w:spacing w:after="0"/>
        <w:rPr>
          <w:rFonts w:cs="Arial"/>
          <w:color w:val="000000"/>
          <w:lang w:val="en-AU"/>
        </w:rPr>
      </w:pPr>
      <w:r w:rsidRPr="002802B6">
        <w:rPr>
          <w:rFonts w:cs="Arial"/>
          <w:color w:val="000000"/>
          <w:lang w:val="en-AU"/>
        </w:rPr>
        <w:t xml:space="preserve">Work in partnership with </w:t>
      </w:r>
      <w:r>
        <w:rPr>
          <w:rFonts w:cs="Arial"/>
          <w:color w:val="000000"/>
          <w:lang w:val="en-AU"/>
        </w:rPr>
        <w:t xml:space="preserve">business units and </w:t>
      </w:r>
      <w:r w:rsidRPr="002802B6">
        <w:rPr>
          <w:rFonts w:cs="Arial"/>
          <w:color w:val="000000"/>
          <w:lang w:val="en-AU"/>
        </w:rPr>
        <w:t xml:space="preserve">the </w:t>
      </w:r>
      <w:r w:rsidR="009160CF">
        <w:rPr>
          <w:rFonts w:cs="Arial"/>
          <w:color w:val="000000"/>
          <w:lang w:val="en-AU"/>
        </w:rPr>
        <w:t>C</w:t>
      </w:r>
      <w:r>
        <w:rPr>
          <w:rFonts w:cs="Arial"/>
          <w:color w:val="000000"/>
          <w:lang w:val="en-AU"/>
        </w:rPr>
        <w:t>orporate</w:t>
      </w:r>
      <w:r w:rsidRPr="002802B6">
        <w:rPr>
          <w:rFonts w:cs="Arial"/>
          <w:color w:val="000000"/>
          <w:lang w:val="en-AU"/>
        </w:rPr>
        <w:t xml:space="preserve"> </w:t>
      </w:r>
      <w:r w:rsidR="009160CF">
        <w:rPr>
          <w:rFonts w:cs="Arial"/>
          <w:color w:val="000000"/>
          <w:lang w:val="en-AU"/>
        </w:rPr>
        <w:t>Communications and E</w:t>
      </w:r>
      <w:r w:rsidRPr="002802B6">
        <w:rPr>
          <w:rFonts w:cs="Arial"/>
          <w:color w:val="000000"/>
          <w:lang w:val="en-AU"/>
        </w:rPr>
        <w:t xml:space="preserve">ngagement team to ensure </w:t>
      </w:r>
      <w:r>
        <w:rPr>
          <w:rFonts w:cs="Arial"/>
          <w:color w:val="000000"/>
          <w:lang w:val="en-AU"/>
        </w:rPr>
        <w:t>delivery</w:t>
      </w:r>
      <w:r w:rsidRPr="002802B6">
        <w:rPr>
          <w:rFonts w:cs="Arial"/>
          <w:color w:val="000000"/>
          <w:lang w:val="en-AU"/>
        </w:rPr>
        <w:t xml:space="preserve"> align</w:t>
      </w:r>
      <w:r>
        <w:rPr>
          <w:rFonts w:cs="Arial"/>
          <w:color w:val="000000"/>
          <w:lang w:val="en-AU"/>
        </w:rPr>
        <w:t>s</w:t>
      </w:r>
      <w:r w:rsidRPr="002802B6">
        <w:rPr>
          <w:rFonts w:cs="Arial"/>
          <w:color w:val="000000"/>
          <w:lang w:val="en-AU"/>
        </w:rPr>
        <w:t xml:space="preserve"> with the broader </w:t>
      </w:r>
      <w:r w:rsidR="009160CF">
        <w:rPr>
          <w:rFonts w:cs="Arial"/>
          <w:color w:val="000000"/>
          <w:lang w:val="en-AU"/>
        </w:rPr>
        <w:t xml:space="preserve">organisational </w:t>
      </w:r>
      <w:r w:rsidRPr="002802B6">
        <w:rPr>
          <w:rFonts w:cs="Arial"/>
          <w:color w:val="000000"/>
          <w:lang w:val="en-AU"/>
        </w:rPr>
        <w:t>objectives and priorities</w:t>
      </w:r>
    </w:p>
    <w:p w:rsidRPr="00575BE1" w:rsidR="0005565D" w:rsidP="00845A0F" w:rsidRDefault="0005565D" w14:paraId="3C8E4E37" w14:textId="784D383B">
      <w:pPr>
        <w:numPr>
          <w:ilvl w:val="0"/>
          <w:numId w:val="11"/>
        </w:numPr>
        <w:autoSpaceDE w:val="0"/>
        <w:autoSpaceDN w:val="0"/>
        <w:adjustRightInd w:val="0"/>
        <w:spacing w:after="0"/>
        <w:rPr>
          <w:rFonts w:cs="Arial"/>
          <w:color w:val="000000"/>
          <w:lang w:val="en-AU"/>
        </w:rPr>
      </w:pPr>
      <w:r>
        <w:rPr>
          <w:rFonts w:cs="Arial"/>
          <w:color w:val="000000"/>
          <w:lang w:val="en-AU"/>
        </w:rPr>
        <w:t>Lead the delivery of internal communications that support the business priorities and culture</w:t>
      </w:r>
    </w:p>
    <w:p w:rsidRPr="00B51B60" w:rsidR="006C1FC3" w:rsidP="00845A0F" w:rsidRDefault="006C1FC3" w14:paraId="1157C750" w14:textId="45732B97">
      <w:pPr>
        <w:pStyle w:val="ListParagraph"/>
        <w:numPr>
          <w:ilvl w:val="0"/>
          <w:numId w:val="11"/>
        </w:numPr>
      </w:pPr>
      <w:r w:rsidRPr="00B51B60">
        <w:t xml:space="preserve">Provide </w:t>
      </w:r>
      <w:r w:rsidR="009160CF">
        <w:t xml:space="preserve">specialist </w:t>
      </w:r>
      <w:r w:rsidRPr="00B51B60">
        <w:t xml:space="preserve">advice and recommendations on </w:t>
      </w:r>
      <w:r w:rsidRPr="00B51B60" w:rsidR="002802B6">
        <w:t>organi</w:t>
      </w:r>
      <w:r w:rsidR="002802B6">
        <w:t>s</w:t>
      </w:r>
      <w:r w:rsidRPr="00B51B60" w:rsidR="002802B6">
        <w:t>ational</w:t>
      </w:r>
      <w:r w:rsidRPr="00B51B60">
        <w:t xml:space="preserve"> capability development in line with relevant public-sector frameworks and the operational and strategic needs of the organisation, considering the needs of different occupational groups</w:t>
      </w:r>
    </w:p>
    <w:p w:rsidRPr="00DF08F2" w:rsidR="002802B6" w:rsidP="00845A0F" w:rsidRDefault="002802B6" w14:paraId="2E84AED3" w14:textId="6E5C18F1">
      <w:pPr>
        <w:pStyle w:val="ListParagraph"/>
        <w:numPr>
          <w:ilvl w:val="0"/>
          <w:numId w:val="11"/>
        </w:numPr>
        <w:tabs>
          <w:tab w:val="left" w:pos="2925"/>
        </w:tabs>
        <w:spacing w:after="0"/>
        <w:rPr>
          <w:rFonts w:cs="Arial"/>
        </w:rPr>
      </w:pPr>
      <w:r w:rsidRPr="00DF08F2">
        <w:rPr>
          <w:rFonts w:cs="Arial"/>
        </w:rPr>
        <w:t>Lead the provision of advice</w:t>
      </w:r>
      <w:r>
        <w:rPr>
          <w:rFonts w:cs="Arial"/>
        </w:rPr>
        <w:t xml:space="preserve"> to achieve business objectives and support</w:t>
      </w:r>
      <w:r w:rsidRPr="00DF08F2">
        <w:rPr>
          <w:rFonts w:cs="Arial"/>
        </w:rPr>
        <w:t xml:space="preserve"> cultural change</w:t>
      </w:r>
    </w:p>
    <w:p w:rsidRPr="00575BE1" w:rsidR="006C1FC3" w:rsidP="00845A0F" w:rsidRDefault="002802B6" w14:paraId="7BF2168B" w14:textId="5E35D4A1">
      <w:pPr>
        <w:numPr>
          <w:ilvl w:val="0"/>
          <w:numId w:val="11"/>
        </w:numPr>
        <w:shd w:val="clear" w:color="auto" w:fill="FFFFFF"/>
        <w:spacing w:before="100" w:beforeAutospacing="1" w:after="100" w:afterAutospacing="1"/>
        <w:rPr>
          <w:rFonts w:eastAsia="Times New Roman" w:cs="Arial"/>
          <w:lang w:eastAsia="en-AU"/>
        </w:rPr>
      </w:pPr>
      <w:r w:rsidRPr="00D6763E">
        <w:rPr>
          <w:rFonts w:eastAsia="Times New Roman" w:cs="Arial"/>
          <w:lang w:eastAsia="en-AU"/>
        </w:rPr>
        <w:t xml:space="preserve">Review and evaluate the results of </w:t>
      </w:r>
      <w:r w:rsidR="009160CF">
        <w:rPr>
          <w:rFonts w:eastAsia="Times New Roman" w:cs="Arial"/>
          <w:lang w:eastAsia="en-AU"/>
        </w:rPr>
        <w:t>learning and</w:t>
      </w:r>
      <w:r>
        <w:rPr>
          <w:rFonts w:eastAsia="Times New Roman" w:cs="Arial"/>
          <w:lang w:eastAsia="en-AU"/>
        </w:rPr>
        <w:t xml:space="preserve"> development </w:t>
      </w:r>
      <w:r w:rsidR="0005565D">
        <w:rPr>
          <w:rFonts w:eastAsia="Times New Roman" w:cs="Arial"/>
          <w:lang w:eastAsia="en-AU"/>
        </w:rPr>
        <w:t xml:space="preserve">and culture </w:t>
      </w:r>
      <w:r>
        <w:rPr>
          <w:rFonts w:eastAsia="Times New Roman" w:cs="Arial"/>
          <w:lang w:eastAsia="en-AU"/>
        </w:rPr>
        <w:t xml:space="preserve">programs </w:t>
      </w:r>
      <w:r w:rsidRPr="00D6763E">
        <w:rPr>
          <w:rFonts w:eastAsia="Times New Roman" w:cs="Arial"/>
          <w:lang w:eastAsia="en-AU"/>
        </w:rPr>
        <w:t xml:space="preserve">to ensure </w:t>
      </w:r>
      <w:r>
        <w:rPr>
          <w:rFonts w:eastAsia="Times New Roman" w:cs="Arial"/>
          <w:lang w:eastAsia="en-AU"/>
        </w:rPr>
        <w:t>rel</w:t>
      </w:r>
      <w:r w:rsidR="00575BE1">
        <w:rPr>
          <w:rFonts w:eastAsia="Times New Roman" w:cs="Arial"/>
          <w:lang w:eastAsia="en-AU"/>
        </w:rPr>
        <w:t>evance and continuous improve</w:t>
      </w:r>
      <w:r w:rsidR="009160CF">
        <w:rPr>
          <w:rFonts w:eastAsia="Times New Roman" w:cs="Arial"/>
          <w:lang w:eastAsia="en-AU"/>
        </w:rPr>
        <w:t>ment across the organisation</w:t>
      </w:r>
    </w:p>
    <w:p w:rsidR="00AB67E6" w:rsidP="00D0090C" w:rsidRDefault="00AB67E6" w14:paraId="0A94DB20" w14:textId="77777777">
      <w:pPr>
        <w:tabs>
          <w:tab w:val="left" w:pos="2925"/>
        </w:tabs>
        <w:spacing w:after="120"/>
        <w:rPr>
          <w:rStyle w:val="Heading1Char"/>
        </w:rPr>
      </w:pPr>
      <w:r>
        <w:rPr>
          <w:rStyle w:val="Heading1Char"/>
        </w:rPr>
        <w:t>Key challenges</w:t>
      </w:r>
    </w:p>
    <w:p w:rsidR="00AB67E6" w:rsidP="00845A0F" w:rsidRDefault="00AB67E6" w14:paraId="0BA7027E" w14:textId="17868A0D">
      <w:pPr>
        <w:pStyle w:val="ListBullet"/>
        <w:numPr>
          <w:ilvl w:val="0"/>
          <w:numId w:val="12"/>
        </w:numPr>
        <w:tabs>
          <w:tab w:val="left" w:pos="720"/>
        </w:tabs>
        <w:spacing w:line="276" w:lineRule="auto"/>
        <w:ind w:left="714" w:hanging="357"/>
      </w:pPr>
      <w:r>
        <w:rPr>
          <w:rFonts w:ascii="Arial" w:hAnsi="Arial" w:cs="Arial"/>
        </w:rPr>
        <w:t xml:space="preserve">Dealing with complex and sensitive issues to ensure effective stakeholder </w:t>
      </w:r>
      <w:r w:rsidR="00D15085">
        <w:rPr>
          <w:rFonts w:ascii="Arial" w:hAnsi="Arial" w:cs="Arial"/>
        </w:rPr>
        <w:t>engagement</w:t>
      </w:r>
      <w:r w:rsidR="006C1FC3">
        <w:rPr>
          <w:rFonts w:ascii="Arial" w:hAnsi="Arial" w:cs="Arial"/>
        </w:rPr>
        <w:t>, organisational capability and culture</w:t>
      </w:r>
      <w:r w:rsidR="00D15085">
        <w:rPr>
          <w:rFonts w:ascii="Arial" w:hAnsi="Arial" w:cs="Arial"/>
        </w:rPr>
        <w:t xml:space="preserve"> </w:t>
      </w:r>
      <w:r>
        <w:rPr>
          <w:rFonts w:ascii="Arial" w:hAnsi="Arial" w:cs="Arial"/>
        </w:rPr>
        <w:t>and project implementation</w:t>
      </w:r>
    </w:p>
    <w:p w:rsidR="00AB67E6" w:rsidP="00845A0F" w:rsidRDefault="00AB67E6" w14:paraId="2117412A" w14:textId="77777777">
      <w:pPr>
        <w:pStyle w:val="ListBullet"/>
        <w:numPr>
          <w:ilvl w:val="0"/>
          <w:numId w:val="12"/>
        </w:numPr>
        <w:tabs>
          <w:tab w:val="left" w:pos="720"/>
        </w:tabs>
        <w:spacing w:line="276" w:lineRule="auto"/>
        <w:ind w:left="714" w:hanging="357"/>
        <w:rPr>
          <w:rFonts w:ascii="Arial" w:hAnsi="Arial" w:cs="Arial"/>
        </w:rPr>
      </w:pPr>
      <w:r>
        <w:rPr>
          <w:rFonts w:ascii="Arial" w:hAnsi="Arial" w:cs="Arial"/>
        </w:rPr>
        <w:t>Meeting project deadlines and budgets in line with agreed standards and milestones</w:t>
      </w:r>
    </w:p>
    <w:p w:rsidR="00351481" w:rsidP="00845A0F" w:rsidRDefault="00AB67E6" w14:paraId="142BB43D" w14:textId="77777777">
      <w:pPr>
        <w:pStyle w:val="ListParagraph"/>
        <w:numPr>
          <w:ilvl w:val="0"/>
          <w:numId w:val="12"/>
        </w:numPr>
        <w:tabs>
          <w:tab w:val="left" w:pos="2925"/>
        </w:tabs>
        <w:ind w:left="714" w:hanging="357"/>
      </w:pPr>
      <w:r>
        <w:rPr>
          <w:rFonts w:cs="Arial"/>
        </w:rPr>
        <w:t xml:space="preserve">Developing </w:t>
      </w:r>
      <w:r w:rsidR="00D15085">
        <w:rPr>
          <w:rFonts w:cs="Arial"/>
        </w:rPr>
        <w:t xml:space="preserve">collaborative working relationships and </w:t>
      </w:r>
      <w:r>
        <w:rPr>
          <w:rFonts w:cs="Arial"/>
        </w:rPr>
        <w:t>an effective network of both internal and external stakeholders to</w:t>
      </w:r>
      <w:r w:rsidR="00227A39">
        <w:rPr>
          <w:rFonts w:cs="Arial"/>
        </w:rPr>
        <w:t xml:space="preserve"> ensure genuine and productive relationships and partnerships</w:t>
      </w:r>
    </w:p>
    <w:p w:rsidRPr="00EC5C1D" w:rsidR="00F339CD" w:rsidP="00CC76F2" w:rsidRDefault="00EC5C1D" w14:paraId="6BAE42AD" w14:textId="77777777">
      <w:pPr>
        <w:tabs>
          <w:tab w:val="left" w:pos="2925"/>
        </w:tabs>
        <w:spacing w:line="240" w:lineRule="auto"/>
        <w:rPr>
          <w:rFonts w:ascii="Georgia" w:hAnsi="Georgia"/>
          <w:b/>
          <w:sz w:val="28"/>
        </w:rPr>
      </w:pPr>
      <w:r w:rsidRPr="00614552">
        <w:rPr>
          <w:rStyle w:val="Heading1Char"/>
        </w:rPr>
        <w:t>Key relationships</w:t>
      </w:r>
    </w:p>
    <w:tbl>
      <w:tblPr>
        <w:tblStyle w:val="PSCPurple"/>
        <w:tblW w:w="10587" w:type="dxa"/>
        <w:tblLayout w:type="fixed"/>
        <w:tblLook w:val="04A0" w:firstRow="1" w:lastRow="0" w:firstColumn="1" w:lastColumn="0" w:noHBand="0" w:noVBand="1"/>
      </w:tblPr>
      <w:tblGrid>
        <w:gridCol w:w="3601"/>
        <w:gridCol w:w="6986"/>
      </w:tblGrid>
      <w:tr w:rsidRPr="00C978B9" w:rsidR="00BB532F" w:rsidTr="006C1FC3" w14:paraId="108A30D9" w14:textId="77777777">
        <w:trPr>
          <w:cnfStyle w:val="100000000000" w:firstRow="1" w:lastRow="0" w:firstColumn="0" w:lastColumn="0" w:oddVBand="0" w:evenVBand="0" w:oddHBand="0" w:evenHBand="0" w:firstRowFirstColumn="0" w:firstRowLastColumn="0" w:lastRowFirstColumn="0" w:lastRowLastColumn="0"/>
          <w:tblHeader/>
        </w:trPr>
        <w:tc>
          <w:tcPr>
            <w:tcW w:w="3601" w:type="dxa"/>
          </w:tcPr>
          <w:p w:rsidRPr="00C978B9" w:rsidR="00BB532F" w:rsidP="00F63915" w:rsidRDefault="00BB532F" w14:paraId="1740E1BC" w14:textId="77777777">
            <w:pPr>
              <w:pStyle w:val="TableTextWhite0"/>
            </w:pPr>
            <w:r w:rsidRPr="00C978B9">
              <w:t>Who</w:t>
            </w:r>
          </w:p>
        </w:tc>
        <w:tc>
          <w:tcPr>
            <w:tcW w:w="6986" w:type="dxa"/>
          </w:tcPr>
          <w:p w:rsidRPr="00C978B9" w:rsidR="00BB532F" w:rsidP="00022223" w:rsidRDefault="00022223" w14:paraId="2F209894" w14:textId="77777777">
            <w:pPr>
              <w:pStyle w:val="TableTextWhite0"/>
            </w:pPr>
            <w:r>
              <w:t xml:space="preserve">       </w:t>
            </w:r>
            <w:r w:rsidRPr="00C978B9" w:rsidR="00BB532F">
              <w:t>Why</w:t>
            </w:r>
          </w:p>
        </w:tc>
      </w:tr>
      <w:tr w:rsidRPr="00A8245E" w:rsidR="00BB532F" w:rsidTr="006C1FC3" w14:paraId="5198D9AF" w14:textId="77777777">
        <w:tc>
          <w:tcPr>
            <w:tcW w:w="3601" w:type="dxa"/>
            <w:shd w:val="clear" w:color="auto" w:fill="BCBEC0"/>
          </w:tcPr>
          <w:p w:rsidRPr="00A8245E" w:rsidR="00BB532F" w:rsidP="00F63915" w:rsidRDefault="00BB532F" w14:paraId="2080A876" w14:textId="77777777">
            <w:pPr>
              <w:pStyle w:val="TableText"/>
              <w:keepNext/>
              <w:rPr>
                <w:b/>
              </w:rPr>
            </w:pPr>
            <w:r w:rsidRPr="00A8245E">
              <w:rPr>
                <w:b/>
              </w:rPr>
              <w:t>Internal</w:t>
            </w:r>
          </w:p>
        </w:tc>
        <w:tc>
          <w:tcPr>
            <w:tcW w:w="6986" w:type="dxa"/>
            <w:shd w:val="clear" w:color="auto" w:fill="BCBEC0"/>
          </w:tcPr>
          <w:p w:rsidRPr="00A8245E" w:rsidR="00BB532F" w:rsidP="00F63915" w:rsidRDefault="00BB532F" w14:paraId="02CB701E" w14:textId="77777777">
            <w:pPr>
              <w:pStyle w:val="TableText"/>
              <w:keepNext/>
              <w:rPr>
                <w:b/>
              </w:rPr>
            </w:pPr>
          </w:p>
        </w:tc>
      </w:tr>
      <w:tr w:rsidR="006C1FC3" w:rsidTr="006C1FC3" w14:paraId="611838A8" w14:textId="77777777">
        <w:trPr>
          <w:trHeight w:val="556"/>
        </w:trPr>
        <w:tc>
          <w:tcPr>
            <w:tcW w:w="3601" w:type="dxa"/>
          </w:tcPr>
          <w:p w:rsidR="006C1FC3" w:rsidP="00575BE1" w:rsidRDefault="006C1FC3" w14:paraId="0CB552F4" w14:textId="77777777">
            <w:pPr>
              <w:pStyle w:val="TableText"/>
            </w:pPr>
            <w:r>
              <w:t>Director Strategic Advice and Coordination, Deputy Secretary MEG</w:t>
            </w:r>
          </w:p>
        </w:tc>
        <w:tc>
          <w:tcPr>
            <w:tcW w:w="6986" w:type="dxa"/>
          </w:tcPr>
          <w:p w:rsidR="009461CF" w:rsidP="00575BE1" w:rsidRDefault="006C1FC3" w14:paraId="78DAC522" w14:textId="77777777">
            <w:pPr>
              <w:pStyle w:val="TableText"/>
              <w:numPr>
                <w:ilvl w:val="0"/>
                <w:numId w:val="3"/>
              </w:numPr>
            </w:pPr>
            <w:r>
              <w:t>Advise</w:t>
            </w:r>
            <w:r w:rsidRPr="00575BE1">
              <w:t xml:space="preserve"> </w:t>
            </w:r>
            <w:r>
              <w:t>on</w:t>
            </w:r>
            <w:r w:rsidRPr="00575BE1">
              <w:t xml:space="preserve"> </w:t>
            </w:r>
            <w:r w:rsidRPr="00575BE1" w:rsidR="009461CF">
              <w:t xml:space="preserve">external </w:t>
            </w:r>
            <w:r>
              <w:t xml:space="preserve">engagement </w:t>
            </w:r>
            <w:r w:rsidR="009461CF">
              <w:t>strategies</w:t>
            </w:r>
          </w:p>
          <w:p w:rsidR="006C1FC3" w:rsidP="00575BE1" w:rsidRDefault="009461CF" w14:paraId="233C0A99" w14:textId="191ABE33">
            <w:pPr>
              <w:pStyle w:val="TableText"/>
              <w:numPr>
                <w:ilvl w:val="0"/>
                <w:numId w:val="3"/>
              </w:numPr>
            </w:pPr>
            <w:r>
              <w:t xml:space="preserve">Advise on internal </w:t>
            </w:r>
            <w:r w:rsidR="006C1FC3">
              <w:t>cul</w:t>
            </w:r>
            <w:r>
              <w:t>ture and capability strategies</w:t>
            </w:r>
          </w:p>
          <w:p w:rsidR="006C1FC3" w:rsidP="00575BE1" w:rsidRDefault="006C1FC3" w14:paraId="35DC5791" w14:textId="31FF5F81">
            <w:pPr>
              <w:pStyle w:val="TableText"/>
              <w:numPr>
                <w:ilvl w:val="0"/>
                <w:numId w:val="3"/>
              </w:numPr>
            </w:pPr>
            <w:r>
              <w:t>Report</w:t>
            </w:r>
            <w:r w:rsidRPr="00575BE1">
              <w:t xml:space="preserve"> </w:t>
            </w:r>
            <w:r>
              <w:t>on</w:t>
            </w:r>
            <w:r w:rsidRPr="00575BE1">
              <w:t xml:space="preserve"> </w:t>
            </w:r>
            <w:r>
              <w:t>initiatives</w:t>
            </w:r>
            <w:r w:rsidRPr="00575BE1">
              <w:t xml:space="preserve"> </w:t>
            </w:r>
            <w:r>
              <w:t>as</w:t>
            </w:r>
            <w:r w:rsidRPr="00575BE1">
              <w:t xml:space="preserve"> </w:t>
            </w:r>
            <w:r>
              <w:t>required</w:t>
            </w:r>
          </w:p>
        </w:tc>
      </w:tr>
      <w:tr w:rsidRPr="00C978B9" w:rsidR="00891C18" w:rsidTr="006C1FC3" w14:paraId="1191E523" w14:textId="77777777">
        <w:trPr>
          <w:trHeight w:val="220"/>
        </w:trPr>
        <w:tc>
          <w:tcPr>
            <w:tcW w:w="3601" w:type="dxa"/>
            <w:tcBorders>
              <w:top w:val="single" w:color="auto" w:sz="8" w:space="0"/>
              <w:bottom w:val="single" w:color="BCBEC0" w:sz="8" w:space="0"/>
            </w:tcBorders>
          </w:tcPr>
          <w:p w:rsidR="00891C18" w:rsidP="00AD61B9" w:rsidRDefault="009A16FF" w14:paraId="6FE3DD8C" w14:textId="4B4EB339">
            <w:pPr>
              <w:spacing w:line="280" w:lineRule="exact"/>
            </w:pPr>
            <w:r>
              <w:t>Executive Directors and Leader’s across MEG</w:t>
            </w:r>
          </w:p>
        </w:tc>
        <w:tc>
          <w:tcPr>
            <w:tcW w:w="6986" w:type="dxa"/>
            <w:tcBorders>
              <w:top w:val="single" w:color="auto" w:sz="8" w:space="0"/>
              <w:bottom w:val="single" w:color="BCBEC0" w:sz="8" w:space="0"/>
            </w:tcBorders>
          </w:tcPr>
          <w:p w:rsidR="00891C18" w:rsidP="00891C18" w:rsidRDefault="00891C18" w14:paraId="13B745F0" w14:textId="77777777">
            <w:pPr>
              <w:pStyle w:val="TableText"/>
              <w:numPr>
                <w:ilvl w:val="0"/>
                <w:numId w:val="3"/>
              </w:numPr>
            </w:pPr>
            <w:r>
              <w:t>Provide strategic advice and project and program briefings</w:t>
            </w:r>
          </w:p>
          <w:p w:rsidR="00891C18" w:rsidP="00891C18" w:rsidRDefault="00891C18" w14:paraId="7902C83F" w14:textId="750B46EE">
            <w:pPr>
              <w:pStyle w:val="TableText"/>
              <w:numPr>
                <w:ilvl w:val="0"/>
                <w:numId w:val="3"/>
              </w:numPr>
            </w:pPr>
            <w:r>
              <w:t xml:space="preserve">Collaborating on </w:t>
            </w:r>
            <w:r w:rsidR="00AB512F">
              <w:t xml:space="preserve">stakeholder engagement </w:t>
            </w:r>
            <w:r>
              <w:t>strategy development, and management of significant projects and/or issues</w:t>
            </w:r>
          </w:p>
          <w:p w:rsidR="00891C18" w:rsidP="00227A39" w:rsidRDefault="00891C18" w14:paraId="7AC924B3" w14:textId="2D9854D3">
            <w:pPr>
              <w:pStyle w:val="TableText"/>
              <w:numPr>
                <w:ilvl w:val="0"/>
                <w:numId w:val="3"/>
              </w:numPr>
            </w:pPr>
            <w:r>
              <w:t xml:space="preserve">Liaise with </w:t>
            </w:r>
            <w:r w:rsidR="00227A39">
              <w:t xml:space="preserve">senior managers </w:t>
            </w:r>
            <w:r>
              <w:t xml:space="preserve">to provide advice on </w:t>
            </w:r>
            <w:r w:rsidR="006C1FC3">
              <w:t>organisational capability and culture</w:t>
            </w:r>
          </w:p>
        </w:tc>
      </w:tr>
      <w:tr w:rsidRPr="00C978B9" w:rsidR="00A94605" w:rsidTr="006C1FC3" w14:paraId="163B7BF8" w14:textId="77777777">
        <w:tc>
          <w:tcPr>
            <w:tcW w:w="3601" w:type="dxa"/>
            <w:tcBorders>
              <w:top w:val="single" w:color="auto" w:sz="8" w:space="0"/>
              <w:bottom w:val="single" w:color="BCBEC0" w:sz="8" w:space="0"/>
            </w:tcBorders>
          </w:tcPr>
          <w:p w:rsidR="00A94605" w:rsidP="004B24BD" w:rsidRDefault="009A16FF" w14:paraId="251017CE" w14:textId="367D2073">
            <w:pPr>
              <w:pStyle w:val="TableText"/>
            </w:pPr>
            <w:r>
              <w:t>D</w:t>
            </w:r>
            <w:r w:rsidR="004B24BD">
              <w:t>irectors</w:t>
            </w:r>
          </w:p>
        </w:tc>
        <w:tc>
          <w:tcPr>
            <w:tcW w:w="6986" w:type="dxa"/>
            <w:tcBorders>
              <w:top w:val="single" w:color="auto" w:sz="8" w:space="0"/>
              <w:bottom w:val="single" w:color="BCBEC0" w:sz="8" w:space="0"/>
            </w:tcBorders>
          </w:tcPr>
          <w:p w:rsidR="006C1FC3" w:rsidP="006C1FC3" w:rsidRDefault="004B24BD" w14:paraId="756DF421" w14:textId="68F43BE0">
            <w:pPr>
              <w:pStyle w:val="TableText"/>
              <w:numPr>
                <w:ilvl w:val="0"/>
                <w:numId w:val="3"/>
              </w:numPr>
            </w:pPr>
            <w:r>
              <w:t>Provide advice, support and direction on stakeholder engagement initiatives to ensure consistent messaging and experiences for Industry</w:t>
            </w:r>
          </w:p>
        </w:tc>
      </w:tr>
      <w:tr w:rsidRPr="00C978B9" w:rsidR="006C1FC3" w:rsidTr="006C1FC3" w14:paraId="0685D055" w14:textId="77777777">
        <w:tc>
          <w:tcPr>
            <w:tcW w:w="3601" w:type="dxa"/>
            <w:tcBorders>
              <w:top w:val="single" w:color="auto" w:sz="8" w:space="0"/>
              <w:bottom w:val="single" w:color="BCBEC0" w:sz="8" w:space="0"/>
            </w:tcBorders>
          </w:tcPr>
          <w:p w:rsidR="006C1FC3" w:rsidP="004B24BD" w:rsidRDefault="006C1FC3" w14:paraId="20A28B27" w14:textId="48368CAC">
            <w:pPr>
              <w:pStyle w:val="TableText"/>
            </w:pPr>
            <w:r>
              <w:t>Corporate Services</w:t>
            </w:r>
          </w:p>
        </w:tc>
        <w:tc>
          <w:tcPr>
            <w:tcW w:w="6986" w:type="dxa"/>
            <w:tcBorders>
              <w:top w:val="single" w:color="auto" w:sz="8" w:space="0"/>
              <w:bottom w:val="single" w:color="BCBEC0" w:sz="8" w:space="0"/>
            </w:tcBorders>
          </w:tcPr>
          <w:p w:rsidR="006C1FC3" w:rsidP="006C1FC3" w:rsidRDefault="006C1FC3" w14:paraId="16C10913" w14:textId="72DFF9F6">
            <w:pPr>
              <w:pStyle w:val="TableText"/>
              <w:numPr>
                <w:ilvl w:val="0"/>
                <w:numId w:val="3"/>
              </w:numPr>
            </w:pPr>
            <w:r>
              <w:t>Collaborate with corporate service partners in development of stakeholder and capability plans</w:t>
            </w:r>
          </w:p>
        </w:tc>
      </w:tr>
      <w:tr w:rsidRPr="00A8245E" w:rsidR="00A94605" w:rsidTr="006C1FC3" w14:paraId="5501357B" w14:textId="77777777">
        <w:tc>
          <w:tcPr>
            <w:tcW w:w="3601" w:type="dxa"/>
            <w:shd w:val="clear" w:color="auto" w:fill="BCBEC0"/>
          </w:tcPr>
          <w:p w:rsidRPr="00A8245E" w:rsidR="00A94605" w:rsidP="00076C54" w:rsidRDefault="00A94605" w14:paraId="030F94D1" w14:textId="77777777">
            <w:pPr>
              <w:pStyle w:val="TableText"/>
              <w:keepNext/>
              <w:rPr>
                <w:b/>
              </w:rPr>
            </w:pPr>
            <w:r w:rsidRPr="00A8245E">
              <w:rPr>
                <w:b/>
              </w:rPr>
              <w:t>External</w:t>
            </w:r>
          </w:p>
        </w:tc>
        <w:tc>
          <w:tcPr>
            <w:tcW w:w="6986" w:type="dxa"/>
            <w:shd w:val="clear" w:color="auto" w:fill="BCBEC0"/>
          </w:tcPr>
          <w:p w:rsidRPr="00A8245E" w:rsidR="00A94605" w:rsidP="00076C54" w:rsidRDefault="00A94605" w14:paraId="07CCC07D" w14:textId="77777777">
            <w:pPr>
              <w:pStyle w:val="TableText"/>
              <w:keepNext/>
              <w:rPr>
                <w:b/>
              </w:rPr>
            </w:pPr>
          </w:p>
        </w:tc>
      </w:tr>
      <w:tr w:rsidRPr="00C978B9" w:rsidR="00A94605" w:rsidTr="006C1FC3" w14:paraId="07D02B20" w14:textId="77777777">
        <w:tc>
          <w:tcPr>
            <w:tcW w:w="3601" w:type="dxa"/>
            <w:tcBorders>
              <w:top w:val="single" w:color="auto" w:sz="8" w:space="0"/>
              <w:bottom w:val="single" w:color="BCBEC0" w:sz="8" w:space="0"/>
            </w:tcBorders>
          </w:tcPr>
          <w:p w:rsidRPr="00A15CDB" w:rsidR="00A94605" w:rsidP="00CD6A25" w:rsidRDefault="004B24BD" w14:paraId="2A6D97C0" w14:textId="10996F16">
            <w:pPr>
              <w:pStyle w:val="TableText"/>
            </w:pPr>
            <w:r>
              <w:rPr>
                <w:rFonts w:cs="Arial"/>
              </w:rPr>
              <w:t>Industry bodies and related stakeholders</w:t>
            </w:r>
          </w:p>
        </w:tc>
        <w:tc>
          <w:tcPr>
            <w:tcW w:w="6986" w:type="dxa"/>
            <w:tcBorders>
              <w:top w:val="single" w:color="auto" w:sz="8" w:space="0"/>
              <w:bottom w:val="single" w:color="BCBEC0" w:sz="8" w:space="0"/>
            </w:tcBorders>
          </w:tcPr>
          <w:p w:rsidRPr="00A15CDB" w:rsidR="00A94605" w:rsidP="004B24BD" w:rsidRDefault="00891C18" w14:paraId="496376C4" w14:textId="2FAE4B38">
            <w:pPr>
              <w:pStyle w:val="TableText"/>
              <w:numPr>
                <w:ilvl w:val="0"/>
                <w:numId w:val="3"/>
              </w:numPr>
            </w:pPr>
            <w:r>
              <w:t xml:space="preserve">Consistently and appropriately partnering and providing advice on industry and community relations </w:t>
            </w:r>
            <w:r w:rsidR="004B24BD">
              <w:t>initiatives to ensure positive experience</w:t>
            </w:r>
          </w:p>
        </w:tc>
      </w:tr>
    </w:tbl>
    <w:p w:rsidR="00603D53" w:rsidP="00685B34" w:rsidRDefault="00603D53" w14:paraId="58133002" w14:textId="77777777">
      <w:pPr>
        <w:pStyle w:val="Heading1"/>
        <w:spacing w:before="240"/>
        <w:rPr>
          <w:sz w:val="28"/>
        </w:rPr>
      </w:pPr>
      <w:r w:rsidRPr="00614552">
        <w:t>Role dimensions</w:t>
      </w:r>
    </w:p>
    <w:p w:rsidR="00603D53" w:rsidP="00614552" w:rsidRDefault="00603D53" w14:paraId="73259E35" w14:textId="77777777">
      <w:pPr>
        <w:pStyle w:val="Heading2"/>
      </w:pPr>
      <w:r w:rsidRPr="00614552">
        <w:t>Decision making</w:t>
      </w:r>
    </w:p>
    <w:p w:rsidRPr="00820A54" w:rsidR="00F70CC3" w:rsidP="00E14B27" w:rsidRDefault="00F70CC3" w14:paraId="05333D29" w14:textId="77777777">
      <w:r>
        <w:rPr>
          <w:lang w:val="en-AU"/>
        </w:rPr>
        <w:t>The role:</w:t>
      </w:r>
    </w:p>
    <w:p w:rsidR="00F70CC3" w:rsidP="00AD61B9" w:rsidRDefault="00AB512F" w14:paraId="19BE0292" w14:textId="47FAEE68">
      <w:pPr>
        <w:pStyle w:val="ListParagraph"/>
        <w:numPr>
          <w:ilvl w:val="0"/>
          <w:numId w:val="17"/>
        </w:numPr>
        <w:rPr>
          <w:rFonts w:cs="Arial"/>
          <w:szCs w:val="26"/>
        </w:rPr>
      </w:pPr>
      <w:r w:rsidRPr="00EB54B6">
        <w:rPr>
          <w:rFonts w:cs="Arial"/>
        </w:rPr>
        <w:lastRenderedPageBreak/>
        <w:t>Makes high level decisions and acts independently</w:t>
      </w:r>
      <w:r w:rsidR="004B24BD">
        <w:rPr>
          <w:rFonts w:cs="Arial"/>
        </w:rPr>
        <w:t xml:space="preserve"> to</w:t>
      </w:r>
      <w:r w:rsidRPr="00EB54B6">
        <w:rPr>
          <w:rFonts w:cs="Arial"/>
        </w:rPr>
        <w:t xml:space="preserve"> </w:t>
      </w:r>
      <w:r>
        <w:rPr>
          <w:rFonts w:cs="Arial"/>
          <w:szCs w:val="26"/>
        </w:rPr>
        <w:t>drive</w:t>
      </w:r>
      <w:r w:rsidR="00F70CC3">
        <w:rPr>
          <w:rFonts w:cs="Arial"/>
          <w:szCs w:val="26"/>
        </w:rPr>
        <w:t xml:space="preserve"> the development and implementation of </w:t>
      </w:r>
      <w:r w:rsidR="00CE70C3">
        <w:rPr>
          <w:rFonts w:cs="Arial"/>
          <w:szCs w:val="26"/>
        </w:rPr>
        <w:t>publication and digital</w:t>
      </w:r>
      <w:r w:rsidR="00F70CC3">
        <w:rPr>
          <w:rFonts w:cs="Arial"/>
          <w:szCs w:val="26"/>
        </w:rPr>
        <w:t xml:space="preserve"> strategies and </w:t>
      </w:r>
      <w:r w:rsidR="00CE70C3">
        <w:rPr>
          <w:rFonts w:cs="Arial"/>
          <w:szCs w:val="26"/>
        </w:rPr>
        <w:t xml:space="preserve">culture </w:t>
      </w:r>
      <w:r w:rsidR="00F70CC3">
        <w:rPr>
          <w:rFonts w:cs="Arial"/>
          <w:szCs w:val="26"/>
        </w:rPr>
        <w:t>initiatives</w:t>
      </w:r>
    </w:p>
    <w:p w:rsidR="00F70CC3" w:rsidP="00AD61B9" w:rsidRDefault="00F70CC3" w14:paraId="2975691E" w14:textId="7EA08A7F">
      <w:pPr>
        <w:pStyle w:val="ListParagraph"/>
        <w:numPr>
          <w:ilvl w:val="0"/>
          <w:numId w:val="17"/>
        </w:numPr>
        <w:rPr>
          <w:rFonts w:cs="Arial"/>
          <w:szCs w:val="26"/>
        </w:rPr>
      </w:pPr>
      <w:r>
        <w:rPr>
          <w:rFonts w:cs="Arial"/>
          <w:szCs w:val="26"/>
        </w:rPr>
        <w:t>Consults with the Director</w:t>
      </w:r>
      <w:r w:rsidR="004B24BD">
        <w:rPr>
          <w:rFonts w:cs="Arial"/>
          <w:szCs w:val="26"/>
        </w:rPr>
        <w:t xml:space="preserve"> Strategic Advice and Coordination</w:t>
      </w:r>
      <w:r>
        <w:rPr>
          <w:rFonts w:cs="Arial"/>
          <w:szCs w:val="26"/>
        </w:rPr>
        <w:t xml:space="preserve"> in relation to decisions that have wide reaching implications, exceed the role’s financial delegations, are contentious and /or are likely to have an impact on stakeholders, and in relation to decisions that require significant change to</w:t>
      </w:r>
      <w:r w:rsidR="004B24BD">
        <w:rPr>
          <w:rFonts w:cs="Arial"/>
          <w:szCs w:val="26"/>
        </w:rPr>
        <w:t xml:space="preserve"> any</w:t>
      </w:r>
      <w:r>
        <w:rPr>
          <w:rFonts w:cs="Arial"/>
          <w:szCs w:val="26"/>
        </w:rPr>
        <w:t xml:space="preserve"> </w:t>
      </w:r>
      <w:r w:rsidR="004B24BD">
        <w:rPr>
          <w:rFonts w:cs="Arial"/>
          <w:szCs w:val="26"/>
        </w:rPr>
        <w:t>critical programs</w:t>
      </w:r>
    </w:p>
    <w:p w:rsidRPr="00575BE1" w:rsidR="00357E82" w:rsidP="0096715B" w:rsidRDefault="004B24BD" w14:paraId="12077DB4" w14:textId="4FAD26C6">
      <w:pPr>
        <w:pStyle w:val="ListParagraph"/>
        <w:numPr>
          <w:ilvl w:val="0"/>
          <w:numId w:val="17"/>
        </w:numPr>
        <w:rPr>
          <w:rFonts w:cs="Arial" w:eastAsiaTheme="minorHAnsi"/>
          <w:b/>
          <w:bCs/>
          <w:iCs/>
          <w:color w:val="6D6E71"/>
          <w:sz w:val="24"/>
          <w:szCs w:val="28"/>
          <w:lang w:val="en-AU"/>
        </w:rPr>
      </w:pPr>
      <w:r w:rsidRPr="00575BE1">
        <w:rPr>
          <w:rFonts w:cs="Arial"/>
          <w:szCs w:val="26"/>
        </w:rPr>
        <w:t>Provides information, reports and data on programs and projects to inform decision making for the Deputy Secretary</w:t>
      </w:r>
    </w:p>
    <w:p w:rsidRPr="00614552" w:rsidR="00603D53" w:rsidP="00614552" w:rsidRDefault="00603D53" w14:paraId="446E1C29" w14:textId="77777777">
      <w:pPr>
        <w:pStyle w:val="Heading2"/>
      </w:pPr>
      <w:r w:rsidRPr="00614552">
        <w:t>Reporting line</w:t>
      </w:r>
    </w:p>
    <w:p w:rsidRPr="00603D53" w:rsidR="00603D53" w:rsidRDefault="00F70CC3" w14:paraId="4F3B2C75" w14:textId="067B15C8">
      <w:pPr>
        <w:rPr>
          <w:rFonts w:cs="Arial"/>
          <w:szCs w:val="26"/>
        </w:rPr>
      </w:pPr>
      <w:r>
        <w:rPr>
          <w:rFonts w:cs="Arial"/>
          <w:szCs w:val="26"/>
        </w:rPr>
        <w:t>Director</w:t>
      </w:r>
      <w:r w:rsidR="004B24BD">
        <w:rPr>
          <w:rFonts w:cs="Arial"/>
          <w:szCs w:val="26"/>
        </w:rPr>
        <w:t xml:space="preserve"> Strategic Advice and Coordination</w:t>
      </w:r>
    </w:p>
    <w:p w:rsidRPr="00614552" w:rsidR="00603D53" w:rsidP="00614552" w:rsidRDefault="00603D53" w14:paraId="2C255CFF" w14:textId="77777777">
      <w:pPr>
        <w:pStyle w:val="Heading2"/>
      </w:pPr>
      <w:r w:rsidRPr="00614552">
        <w:t>Direct reports</w:t>
      </w:r>
    </w:p>
    <w:p w:rsidRPr="00603D53" w:rsidR="00603D53" w:rsidP="00891C18" w:rsidRDefault="004B24BD" w14:paraId="306D69F8" w14:textId="06404202">
      <w:pPr>
        <w:ind w:left="720" w:hanging="720"/>
        <w:rPr>
          <w:rFonts w:cs="Arial"/>
          <w:szCs w:val="26"/>
        </w:rPr>
      </w:pPr>
      <w:r>
        <w:rPr>
          <w:rFonts w:cs="Arial"/>
          <w:szCs w:val="26"/>
        </w:rPr>
        <w:t>Up to 10</w:t>
      </w:r>
    </w:p>
    <w:p w:rsidRPr="00614552" w:rsidR="00603D53" w:rsidP="00614552" w:rsidRDefault="00603D53" w14:paraId="708725EF" w14:textId="77777777">
      <w:pPr>
        <w:pStyle w:val="Heading2"/>
      </w:pPr>
      <w:r w:rsidRPr="00614552">
        <w:t>Budget/Expenditure</w:t>
      </w:r>
    </w:p>
    <w:p w:rsidR="00603D53" w:rsidRDefault="00D0090C" w14:paraId="0BC72FAC" w14:textId="0A6BF89F">
      <w:pPr>
        <w:rPr>
          <w:rFonts w:cs="Arial"/>
          <w:szCs w:val="26"/>
        </w:rPr>
      </w:pPr>
      <w:r>
        <w:rPr>
          <w:rFonts w:cs="Arial"/>
          <w:szCs w:val="26"/>
        </w:rPr>
        <w:t>Nil</w:t>
      </w:r>
    </w:p>
    <w:p w:rsidRPr="00614552" w:rsidR="00CE70C3" w:rsidP="00CE70C3" w:rsidRDefault="00CE70C3" w14:paraId="5302F925" w14:textId="77777777">
      <w:pPr>
        <w:tabs>
          <w:tab w:val="left" w:pos="2925"/>
        </w:tabs>
        <w:spacing w:before="240"/>
        <w:rPr>
          <w:rStyle w:val="Heading1Char"/>
        </w:rPr>
      </w:pPr>
      <w:r w:rsidRPr="00614552">
        <w:rPr>
          <w:rStyle w:val="Heading1Char"/>
        </w:rPr>
        <w:t>Essential requirements</w:t>
      </w:r>
    </w:p>
    <w:p w:rsidRPr="00575BE1" w:rsidR="00575BE1" w:rsidP="00575BE1" w:rsidRDefault="00CE70C3" w14:paraId="48E54C70" w14:textId="0020466D">
      <w:pPr>
        <w:pStyle w:val="ListParagraph"/>
        <w:numPr>
          <w:ilvl w:val="0"/>
          <w:numId w:val="20"/>
        </w:numPr>
        <w:rPr>
          <w:rFonts w:cs="Arial"/>
          <w:szCs w:val="26"/>
        </w:rPr>
      </w:pPr>
      <w:r w:rsidRPr="00253B78">
        <w:rPr>
          <w:rFonts w:cs="Arial"/>
          <w:lang w:val="x-none" w:eastAsia="x-none"/>
        </w:rPr>
        <w:t>Appropriate tertiary qualifications or equivalent, relevant professional experience and training</w:t>
      </w:r>
    </w:p>
    <w:p w:rsidRPr="00575BE1" w:rsidR="00CE70C3" w:rsidP="00575BE1" w:rsidRDefault="00575BE1" w14:paraId="6B2DB198" w14:textId="6D21AC9D">
      <w:pPr>
        <w:pStyle w:val="ListParagraph"/>
        <w:numPr>
          <w:ilvl w:val="0"/>
          <w:numId w:val="20"/>
        </w:numPr>
        <w:rPr>
          <w:rFonts w:cs="Arial"/>
          <w:szCs w:val="26"/>
        </w:rPr>
      </w:pPr>
      <w:r w:rsidRPr="00575BE1">
        <w:t>Compliance with pre-employment probity screening is mandatory and a condition of engagement</w:t>
      </w:r>
    </w:p>
    <w:p w:rsidRPr="00C978B9" w:rsidR="00556802" w:rsidP="00556802" w:rsidRDefault="00556802" w14:paraId="737C980C" w14:textId="77777777">
      <w:pPr>
        <w:pStyle w:val="Heading1"/>
      </w:pPr>
      <w:r w:rsidRPr="00C978B9">
        <w:t>Capabilities for the role</w:t>
      </w:r>
    </w:p>
    <w:p w:rsidRPr="00175AAF" w:rsidR="00556802" w:rsidP="00556802" w:rsidRDefault="00556802" w14:paraId="0DE1F7E7" w14:textId="77777777">
      <w:r w:rsidRPr="00175AAF">
        <w:t xml:space="preserve">The </w:t>
      </w:r>
      <w:hyperlink w:history="1" r:id="rId12">
        <w:r w:rsidRPr="00556802">
          <w:rPr>
            <w:rStyle w:val="Hyperlink"/>
            <w:sz w:val="22"/>
          </w:rPr>
          <w:t>NSW public sector capability framework</w:t>
        </w:r>
      </w:hyperlink>
      <w:r>
        <w:t xml:space="preserve"> describes the capabilities (knowledge, skills and abilities) needed to perform a role. There are four main groups of capabilities: </w:t>
      </w:r>
      <w:r w:rsidRPr="00175AAF">
        <w:t>personal attributes</w:t>
      </w:r>
      <w:r>
        <w:t xml:space="preserve">, </w:t>
      </w:r>
      <w:r w:rsidRPr="00175AAF">
        <w:t>relationships</w:t>
      </w:r>
      <w:r>
        <w:t xml:space="preserve">, </w:t>
      </w:r>
      <w:r w:rsidRPr="00175AAF">
        <w:t>results</w:t>
      </w:r>
      <w:r>
        <w:t xml:space="preserve"> and </w:t>
      </w:r>
      <w:r w:rsidRPr="00175AAF">
        <w:t>business enablers</w:t>
      </w:r>
      <w:r>
        <w:t xml:space="preserve">, with a fifth </w:t>
      </w:r>
      <w:r w:rsidRPr="00175AAF">
        <w:t>people management</w:t>
      </w:r>
      <w:r>
        <w:t xml:space="preserve"> group of capabilities for roles with managerial responsibilities. These groups, combined with capabilities drawn from occupation-specific capability sets where relevant, work together to provide an </w:t>
      </w:r>
      <w:r w:rsidRPr="00175AAF">
        <w:t>understanding of the capabilities needed for the role.</w:t>
      </w:r>
    </w:p>
    <w:p w:rsidRPr="00175AAF" w:rsidR="00556802" w:rsidP="00556802" w:rsidRDefault="00556802" w14:paraId="30F00FFE" w14:textId="77777777">
      <w:r w:rsidRPr="008D00EC">
        <w:t xml:space="preserve">The capabilities are separated into </w:t>
      </w:r>
      <w:r w:rsidRPr="003927AE">
        <w:rPr>
          <w:b/>
        </w:rPr>
        <w:t>focus capabilities</w:t>
      </w:r>
      <w:r w:rsidRPr="00175AAF">
        <w:t xml:space="preserve"> and </w:t>
      </w:r>
      <w:r w:rsidRPr="003927AE">
        <w:rPr>
          <w:b/>
        </w:rPr>
        <w:t>complementary capabilities</w:t>
      </w:r>
      <w:r w:rsidRPr="00175AAF">
        <w:t xml:space="preserve">. </w:t>
      </w:r>
    </w:p>
    <w:p w:rsidRPr="00C978B9" w:rsidR="00556802" w:rsidP="00556802" w:rsidRDefault="00556802" w14:paraId="04A24A29" w14:textId="77777777">
      <w:pPr>
        <w:pStyle w:val="Heading1"/>
      </w:pPr>
      <w:r w:rsidRPr="00C978B9">
        <w:t xml:space="preserve">Focus </w:t>
      </w:r>
      <w:r>
        <w:t>c</w:t>
      </w:r>
      <w:r w:rsidRPr="00C978B9">
        <w:t>apabilities</w:t>
      </w:r>
    </w:p>
    <w:p w:rsidR="00556802" w:rsidP="00556802" w:rsidRDefault="00556802" w14:paraId="6103B3ED" w14:textId="77777777">
      <w:pPr>
        <w:pStyle w:val="PlainText"/>
        <w:spacing w:before="62" w:line="276" w:lineRule="auto"/>
        <w:rPr>
          <w:rFonts w:ascii="Arial" w:hAnsi="Arial" w:eastAsiaTheme="minorEastAsia"/>
          <w:szCs w:val="22"/>
          <w:lang w:val="en-US"/>
        </w:rPr>
      </w:pPr>
      <w:r>
        <w:rPr>
          <w:rFonts w:ascii="Arial" w:hAnsi="Arial" w:eastAsiaTheme="minorEastAsia"/>
          <w:i/>
          <w:szCs w:val="22"/>
          <w:lang w:val="en-US"/>
        </w:rPr>
        <w:t>Focus capabilities</w:t>
      </w:r>
      <w:r>
        <w:rPr>
          <w:rFonts w:ascii="Arial" w:hAnsi="Arial" w:eastAsiaTheme="minorEastAsia"/>
          <w:szCs w:val="22"/>
          <w:lang w:val="en-US"/>
        </w:rPr>
        <w:t xml:space="preserve"> are the capabilities considered the most important for effective performance of the role. These capabilities will be assessed at recruitment. </w:t>
      </w:r>
    </w:p>
    <w:p w:rsidR="00556802" w:rsidP="00556802" w:rsidRDefault="00556802" w14:paraId="661A6B4E" w14:textId="77777777">
      <w:pPr>
        <w:pStyle w:val="PlainText"/>
        <w:spacing w:before="62" w:line="276" w:lineRule="auto"/>
        <w:rPr>
          <w:rFonts w:ascii="Arial" w:hAnsi="Arial" w:eastAsiaTheme="minorEastAsia"/>
          <w:szCs w:val="22"/>
          <w:lang w:val="en-US"/>
        </w:rPr>
      </w:pPr>
      <w:r w:rsidRPr="004D15E4">
        <w:rPr>
          <w:rFonts w:ascii="Arial" w:hAnsi="Arial" w:eastAsiaTheme="minorEastAsia"/>
          <w:szCs w:val="22"/>
          <w:lang w:val="en-US"/>
        </w:rPr>
        <w:t>The focus capabilities for this role are shown below with a brief explanation of what each capability covers and the indicators describing the types of behaviours</w:t>
      </w:r>
      <w:r>
        <w:rPr>
          <w:rFonts w:ascii="Arial" w:hAnsi="Arial" w:eastAsiaTheme="minorEastAsia"/>
          <w:szCs w:val="22"/>
          <w:lang w:val="en-US"/>
        </w:rPr>
        <w:t xml:space="preserve"> </w:t>
      </w:r>
      <w:r w:rsidRPr="004D15E4">
        <w:rPr>
          <w:rFonts w:ascii="Arial" w:hAnsi="Arial" w:eastAsiaTheme="minorEastAsia"/>
          <w:szCs w:val="22"/>
          <w:lang w:val="en-US"/>
        </w:rPr>
        <w:t xml:space="preserve">expected at </w:t>
      </w:r>
      <w:r>
        <w:rPr>
          <w:rFonts w:ascii="Arial" w:hAnsi="Arial" w:eastAsiaTheme="minorEastAsia"/>
          <w:szCs w:val="22"/>
          <w:lang w:val="en-US"/>
        </w:rPr>
        <w:t>each</w:t>
      </w:r>
      <w:r w:rsidRPr="004D15E4">
        <w:rPr>
          <w:rFonts w:ascii="Arial" w:hAnsi="Arial" w:eastAsiaTheme="minorEastAsia"/>
          <w:szCs w:val="22"/>
          <w:lang w:val="en-US"/>
        </w:rPr>
        <w:t xml:space="preserve"> level.</w:t>
      </w:r>
    </w:p>
    <w:p w:rsidR="00556802" w:rsidP="00556802" w:rsidRDefault="00556802" w14:paraId="1E9371DE" w14:textId="77777777">
      <w:pPr>
        <w:pStyle w:val="PlainText"/>
        <w:spacing w:before="62" w:line="276" w:lineRule="auto"/>
        <w:rPr>
          <w:rFonts w:ascii="Arial" w:hAnsi="Arial" w:eastAsiaTheme="minorEastAsia"/>
          <w:szCs w:val="22"/>
          <w:lang w:val="en-US"/>
        </w:rPr>
      </w:pPr>
    </w:p>
    <w:tbl>
      <w:tblPr>
        <w:tblStyle w:val="PSCPurple"/>
        <w:tblW w:w="10753" w:type="dxa"/>
        <w:tblBorders>
          <w:top w:val="single" w:color="BCBEC0" w:sz="8" w:space="0"/>
          <w:bottom w:val="single" w:color="auto" w:sz="12" w:space="0"/>
        </w:tblBorders>
        <w:tblLayout w:type="fixed"/>
        <w:tblLook w:val="04A0" w:firstRow="1" w:lastRow="0" w:firstColumn="1" w:lastColumn="0" w:noHBand="0" w:noVBand="1"/>
        <w:tblCaption w:val="PSC_FocusCapabilityFrameworkTable"/>
      </w:tblPr>
      <w:tblGrid>
        <w:gridCol w:w="1406"/>
        <w:gridCol w:w="2881"/>
        <w:gridCol w:w="90"/>
        <w:gridCol w:w="4770"/>
        <w:gridCol w:w="1606"/>
      </w:tblGrid>
      <w:tr w:rsidRPr="00803E47" w:rsidR="00556802" w:rsidTr="00131261" w14:paraId="7DB35585" w14:textId="77777777">
        <w:trPr>
          <w:cnfStyle w:val="100000000000" w:firstRow="1" w:lastRow="0" w:firstColumn="0" w:lastColumn="0" w:oddVBand="0" w:evenVBand="0" w:oddHBand="0" w:evenHBand="0" w:firstRowFirstColumn="0" w:firstRowLastColumn="0" w:lastRowFirstColumn="0" w:lastRowLastColumn="0"/>
          <w:tblHeader/>
        </w:trPr>
        <w:tc>
          <w:tcPr>
            <w:tcW w:w="10753" w:type="dxa"/>
            <w:gridSpan w:val="5"/>
          </w:tcPr>
          <w:p w:rsidRPr="00803E47" w:rsidR="00556802" w:rsidP="00131261" w:rsidRDefault="00556802" w14:paraId="19842605" w14:textId="77777777">
            <w:pPr>
              <w:pStyle w:val="TableTextWhite0"/>
              <w:keepNext/>
              <w:jc w:val="both"/>
            </w:pPr>
            <w:r w:rsidRPr="00051E80">
              <w:rPr>
                <w:sz w:val="24"/>
                <w:szCs w:val="24"/>
              </w:rPr>
              <w:lastRenderedPageBreak/>
              <w:t>FOCUS CAPABILITIES</w:t>
            </w:r>
          </w:p>
        </w:tc>
      </w:tr>
      <w:tr w:rsidRPr="00C978B9" w:rsidR="00556802" w:rsidTr="00131261" w14:paraId="173B0247" w14:textId="77777777">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color="auto" w:sz="12" w:space="0"/>
            </w:tcBorders>
            <w:shd w:val="clear" w:color="auto" w:fill="BCBEC0"/>
            <w:vAlign w:val="center"/>
          </w:tcPr>
          <w:p w:rsidRPr="00C978B9" w:rsidR="00556802" w:rsidP="00131261" w:rsidRDefault="00556802" w14:paraId="63E4C900" w14:textId="77777777">
            <w:pPr>
              <w:pStyle w:val="TableText"/>
              <w:keepNext/>
              <w:rPr>
                <w:b/>
                <w:sz w:val="24"/>
                <w:szCs w:val="24"/>
              </w:rPr>
            </w:pPr>
            <w:r>
              <w:rPr>
                <w:b/>
              </w:rPr>
              <w:t>Capability group/sets</w:t>
            </w:r>
          </w:p>
        </w:tc>
        <w:tc>
          <w:tcPr>
            <w:tcW w:w="2881" w:type="dxa"/>
            <w:tcBorders>
              <w:bottom w:val="single" w:color="auto" w:sz="12" w:space="0"/>
            </w:tcBorders>
            <w:shd w:val="clear" w:color="auto" w:fill="BCBEC0"/>
          </w:tcPr>
          <w:p w:rsidRPr="00C978B9" w:rsidR="00556802" w:rsidP="00131261" w:rsidRDefault="00556802" w14:paraId="5AFFDE3D" w14:textId="77777777">
            <w:pPr>
              <w:pStyle w:val="TableText"/>
              <w:keepNext/>
              <w:rPr>
                <w:b/>
                <w:sz w:val="24"/>
                <w:szCs w:val="24"/>
              </w:rPr>
            </w:pPr>
            <w:r w:rsidRPr="00021C23">
              <w:rPr>
                <w:b/>
              </w:rPr>
              <w:t>Ca</w:t>
            </w:r>
            <w:r>
              <w:rPr>
                <w:b/>
              </w:rPr>
              <w:t>pability name</w:t>
            </w:r>
          </w:p>
        </w:tc>
        <w:tc>
          <w:tcPr>
            <w:tcW w:w="90" w:type="dxa"/>
            <w:tcBorders>
              <w:bottom w:val="single" w:color="auto" w:sz="12" w:space="0"/>
            </w:tcBorders>
            <w:shd w:val="clear" w:color="auto" w:fill="BCBEC0"/>
          </w:tcPr>
          <w:p w:rsidR="00556802" w:rsidP="00131261" w:rsidRDefault="00556802" w14:paraId="24FDB0D0" w14:textId="77777777">
            <w:pPr>
              <w:pStyle w:val="TableText"/>
              <w:keepNext/>
              <w:rPr>
                <w:b/>
              </w:rPr>
            </w:pPr>
          </w:p>
        </w:tc>
        <w:tc>
          <w:tcPr>
            <w:tcW w:w="4770" w:type="dxa"/>
            <w:tcBorders>
              <w:bottom w:val="single" w:color="auto" w:sz="12" w:space="0"/>
            </w:tcBorders>
            <w:shd w:val="clear" w:color="auto" w:fill="BCBEC0"/>
          </w:tcPr>
          <w:p w:rsidR="00556802" w:rsidP="00131261" w:rsidRDefault="00556802" w14:paraId="3374EF8F" w14:textId="77777777">
            <w:pPr>
              <w:pStyle w:val="TableText"/>
              <w:keepNext/>
              <w:rPr>
                <w:b/>
              </w:rPr>
            </w:pPr>
            <w:r>
              <w:rPr>
                <w:b/>
              </w:rPr>
              <w:t>Behavioural indicators</w:t>
            </w:r>
          </w:p>
        </w:tc>
        <w:tc>
          <w:tcPr>
            <w:tcW w:w="1606" w:type="dxa"/>
            <w:tcBorders>
              <w:bottom w:val="single" w:color="auto" w:sz="12" w:space="0"/>
            </w:tcBorders>
            <w:shd w:val="clear" w:color="auto" w:fill="BCBEC0"/>
          </w:tcPr>
          <w:p w:rsidR="00556802" w:rsidP="00131261" w:rsidRDefault="00556802" w14:paraId="28170C2E" w14:textId="77777777">
            <w:pPr>
              <w:pStyle w:val="TableText"/>
              <w:keepNext/>
              <w:jc w:val="both"/>
              <w:rPr>
                <w:b/>
              </w:rPr>
            </w:pPr>
            <w:r>
              <w:rPr>
                <w:b/>
              </w:rPr>
              <w:t xml:space="preserve">Level </w:t>
            </w:r>
          </w:p>
        </w:tc>
      </w:tr>
      <w:tr w:rsidRPr="00C978B9" w:rsidR="00556802" w:rsidTr="00131261" w14:paraId="731CAFE1" w14:textId="77777777">
        <w:tc>
          <w:tcPr>
            <w:tcW w:w="1406" w:type="dxa"/>
            <w:vMerge w:val="restart"/>
            <w:tcBorders>
              <w:bottom w:val="single" w:color="BCBEC0" w:sz="4" w:space="0"/>
            </w:tcBorders>
          </w:tcPr>
          <w:p w:rsidRPr="00C978B9" w:rsidR="00556802" w:rsidP="00131261" w:rsidRDefault="00556802" w14:paraId="4DD30ECC" w14:textId="77777777">
            <w:pPr>
              <w:keepNext/>
            </w:pPr>
            <w:r w:rsidRPr="00C978B9">
              <w:rPr>
                <w:noProof/>
                <w:lang w:eastAsia="en-AU"/>
              </w:rPr>
              <w:drawing>
                <wp:inline distT="0" distB="0" distL="0" distR="0" wp14:anchorId="7D32E040" wp14:editId="23D1E493">
                  <wp:extent cx="848995" cy="848995"/>
                  <wp:effectExtent l="0" t="0" r="8255" b="8255"/>
                  <wp:docPr id="11" name="personal-attribu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tc>
        <w:tc>
          <w:tcPr>
            <w:tcW w:w="2971" w:type="dxa"/>
            <w:gridSpan w:val="2"/>
            <w:tcBorders>
              <w:bottom w:val="single" w:color="BCBEC0" w:sz="4" w:space="0"/>
            </w:tcBorders>
          </w:tcPr>
          <w:p w:rsidRPr="00A8226F" w:rsidR="00556802" w:rsidP="00131261" w:rsidRDefault="00556802" w14:paraId="34EB7A02" w14:textId="77777777">
            <w:pPr>
              <w:pStyle w:val="TableText"/>
              <w:keepNext/>
              <w:rPr>
                <w:b/>
              </w:rPr>
            </w:pPr>
            <w:r>
              <w:rPr>
                <w:b/>
              </w:rPr>
              <w:t>Display Resilience and Courage</w:t>
            </w:r>
          </w:p>
          <w:p w:rsidRPr="00AA57E3" w:rsidR="00556802" w:rsidP="00131261" w:rsidRDefault="00556802" w14:paraId="48B466A8" w14:textId="77777777">
            <w:pPr>
              <w:pStyle w:val="TableText"/>
              <w:keepNext/>
            </w:pPr>
            <w:r>
              <w:t>Be open and honest, prepared to express your views, and willing to accept and commit to change</w:t>
            </w:r>
          </w:p>
        </w:tc>
        <w:tc>
          <w:tcPr>
            <w:tcW w:w="4770" w:type="dxa"/>
            <w:tcBorders>
              <w:bottom w:val="single" w:color="BCBEC0" w:sz="4" w:space="0"/>
            </w:tcBorders>
          </w:tcPr>
          <w:p w:rsidRPr="00AA57E3" w:rsidR="00556802" w:rsidP="00131261" w:rsidRDefault="00556802" w14:paraId="4BD32342" w14:textId="77777777">
            <w:pPr>
              <w:pStyle w:val="TableBullet"/>
            </w:pPr>
            <w:r>
              <w:t>Be flexible, show initiative and respond quickly when situations change</w:t>
            </w:r>
          </w:p>
          <w:p w:rsidRPr="00AA57E3" w:rsidR="00556802" w:rsidP="00131261" w:rsidRDefault="00556802" w14:paraId="7DFC67D9" w14:textId="77777777">
            <w:pPr>
              <w:pStyle w:val="TableBullet"/>
            </w:pPr>
            <w:r>
              <w:t>Give frank and honest feedback and advice</w:t>
            </w:r>
          </w:p>
          <w:p w:rsidRPr="00AA57E3" w:rsidR="00556802" w:rsidP="00131261" w:rsidRDefault="00556802" w14:paraId="5728FDF8" w14:textId="77777777">
            <w:pPr>
              <w:pStyle w:val="TableBullet"/>
            </w:pPr>
            <w:r>
              <w:t>Listen when ideas are challenged, seek to understand the nature of the comment and respond appropriately</w:t>
            </w:r>
          </w:p>
          <w:p w:rsidRPr="00AA57E3" w:rsidR="00556802" w:rsidP="00131261" w:rsidRDefault="00556802" w14:paraId="5AA402F6" w14:textId="77777777">
            <w:pPr>
              <w:pStyle w:val="TableBullet"/>
            </w:pPr>
            <w:r>
              <w:t>Raise and work through challenging issues and seek alternatives</w:t>
            </w:r>
          </w:p>
          <w:p w:rsidRPr="00AA57E3" w:rsidR="00556802" w:rsidP="00131261" w:rsidRDefault="00556802" w14:paraId="61127879" w14:textId="77777777">
            <w:pPr>
              <w:pStyle w:val="TableBullet"/>
            </w:pPr>
            <w:r>
              <w:t>Remain composed and calm under pressure and in challenging situations</w:t>
            </w:r>
          </w:p>
        </w:tc>
        <w:tc>
          <w:tcPr>
            <w:tcW w:w="1606" w:type="dxa"/>
            <w:tcBorders>
              <w:bottom w:val="single" w:color="BCBEC0" w:sz="4" w:space="0"/>
            </w:tcBorders>
          </w:tcPr>
          <w:p w:rsidR="00556802" w:rsidP="00131261" w:rsidRDefault="00556802" w14:paraId="1CA4A362" w14:textId="77777777">
            <w:pPr>
              <w:pStyle w:val="TableBullet"/>
              <w:numPr>
                <w:ilvl w:val="0"/>
                <w:numId w:val="0"/>
              </w:numPr>
              <w:jc w:val="both"/>
            </w:pPr>
            <w:r>
              <w:t>Adept</w:t>
            </w:r>
          </w:p>
        </w:tc>
      </w:tr>
      <w:tr w:rsidRPr="00C978B9" w:rsidR="00556802" w:rsidTr="00131261" w14:paraId="293D6B7F" w14:textId="77777777">
        <w:tc>
          <w:tcPr>
            <w:tcW w:w="1406" w:type="dxa"/>
            <w:vMerge/>
            <w:tcBorders>
              <w:bottom w:val="single" w:color="BCBEC0" w:sz="4" w:space="0"/>
            </w:tcBorders>
          </w:tcPr>
          <w:p w:rsidR="00556802" w:rsidP="00131261" w:rsidRDefault="00556802" w14:paraId="2E943D4E" w14:textId="77777777">
            <w:pPr>
              <w:keepNext/>
              <w:rPr>
                <w:noProof/>
                <w:lang w:eastAsia="en-AU"/>
              </w:rPr>
            </w:pPr>
          </w:p>
        </w:tc>
        <w:tc>
          <w:tcPr>
            <w:tcW w:w="2971" w:type="dxa"/>
            <w:gridSpan w:val="2"/>
            <w:tcBorders>
              <w:bottom w:val="single" w:color="BCBEC0" w:sz="4" w:space="0"/>
            </w:tcBorders>
          </w:tcPr>
          <w:p w:rsidRPr="00A8226F" w:rsidR="00556802" w:rsidP="00131261" w:rsidRDefault="00556802" w14:paraId="0800A8D7" w14:textId="77777777">
            <w:pPr>
              <w:pStyle w:val="TableText"/>
              <w:keepNext/>
              <w:rPr>
                <w:b/>
              </w:rPr>
            </w:pPr>
            <w:r>
              <w:rPr>
                <w:b/>
              </w:rPr>
              <w:t>Act with Integrity</w:t>
            </w:r>
          </w:p>
          <w:p w:rsidRPr="00A8226F" w:rsidR="00556802" w:rsidP="00131261" w:rsidRDefault="00556802" w14:paraId="1C59E8DE" w14:textId="77777777">
            <w:pPr>
              <w:pStyle w:val="TableText"/>
              <w:keepNext/>
              <w:rPr>
                <w:b/>
              </w:rPr>
            </w:pPr>
            <w:r>
              <w:t>Be ethical and professional, and uphold and promote the public sector values</w:t>
            </w:r>
          </w:p>
        </w:tc>
        <w:tc>
          <w:tcPr>
            <w:tcW w:w="4770" w:type="dxa"/>
            <w:tcBorders>
              <w:bottom w:val="single" w:color="BCBEC0" w:sz="4" w:space="0"/>
            </w:tcBorders>
          </w:tcPr>
          <w:p w:rsidR="00556802" w:rsidP="00131261" w:rsidRDefault="00556802" w14:paraId="40475F4B" w14:textId="77777777">
            <w:pPr>
              <w:pStyle w:val="TableBullet"/>
            </w:pPr>
            <w:r>
              <w:t>Model the highest standards of ethical and professional behaviour and reinforce their use</w:t>
            </w:r>
          </w:p>
          <w:p w:rsidR="00556802" w:rsidP="00131261" w:rsidRDefault="00556802" w14:paraId="0D1FA780" w14:textId="77777777">
            <w:pPr>
              <w:pStyle w:val="TableBullet"/>
            </w:pPr>
            <w:r>
              <w:t>Represent the organisation in an honest, ethical and professional way and set an example for others to follow</w:t>
            </w:r>
          </w:p>
          <w:p w:rsidR="00556802" w:rsidP="00131261" w:rsidRDefault="00556802" w14:paraId="12699885" w14:textId="77777777">
            <w:pPr>
              <w:pStyle w:val="TableBullet"/>
            </w:pPr>
            <w:r>
              <w:t>Promote a culture of integrity and professionalism within the organisation and in dealings external to government</w:t>
            </w:r>
          </w:p>
          <w:p w:rsidR="00556802" w:rsidP="00131261" w:rsidRDefault="00556802" w14:paraId="780CD093" w14:textId="77777777">
            <w:pPr>
              <w:pStyle w:val="TableBullet"/>
            </w:pPr>
            <w:r>
              <w:t>Monitor ethical practices, standards and systems and reinforce their use</w:t>
            </w:r>
          </w:p>
          <w:p w:rsidR="00556802" w:rsidP="00131261" w:rsidRDefault="00556802" w14:paraId="1EAA8254" w14:textId="77777777">
            <w:pPr>
              <w:pStyle w:val="TableBullet"/>
            </w:pPr>
            <w:r>
              <w:t>Act promptly on reported breaches of legislation, policies and guidelines</w:t>
            </w:r>
          </w:p>
        </w:tc>
        <w:tc>
          <w:tcPr>
            <w:tcW w:w="1606" w:type="dxa"/>
            <w:tcBorders>
              <w:bottom w:val="single" w:color="BCBEC0" w:sz="4" w:space="0"/>
            </w:tcBorders>
          </w:tcPr>
          <w:p w:rsidR="00556802" w:rsidP="00131261" w:rsidRDefault="00556802" w14:paraId="0E568BCA" w14:textId="77777777">
            <w:pPr>
              <w:pStyle w:val="TableBullet"/>
              <w:numPr>
                <w:ilvl w:val="0"/>
                <w:numId w:val="0"/>
              </w:numPr>
              <w:jc w:val="both"/>
            </w:pPr>
            <w:r>
              <w:t>Advanced</w:t>
            </w:r>
          </w:p>
        </w:tc>
      </w:tr>
      <w:tr w:rsidRPr="00C978B9" w:rsidR="00556802" w:rsidTr="00131261" w14:paraId="2E7AE495" w14:textId="77777777">
        <w:tc>
          <w:tcPr>
            <w:tcW w:w="1406" w:type="dxa"/>
            <w:vMerge/>
            <w:tcBorders>
              <w:bottom w:val="single" w:color="BCBEC0" w:sz="4" w:space="0"/>
            </w:tcBorders>
          </w:tcPr>
          <w:p w:rsidR="00556802" w:rsidP="00131261" w:rsidRDefault="00556802" w14:paraId="3451B9EF" w14:textId="77777777">
            <w:pPr>
              <w:keepNext/>
              <w:rPr>
                <w:noProof/>
                <w:lang w:eastAsia="en-AU"/>
              </w:rPr>
            </w:pPr>
          </w:p>
        </w:tc>
        <w:tc>
          <w:tcPr>
            <w:tcW w:w="2971" w:type="dxa"/>
            <w:gridSpan w:val="2"/>
            <w:tcBorders>
              <w:bottom w:val="single" w:color="BCBEC0" w:sz="4" w:space="0"/>
            </w:tcBorders>
          </w:tcPr>
          <w:p w:rsidRPr="00A8226F" w:rsidR="00556802" w:rsidP="00131261" w:rsidRDefault="00556802" w14:paraId="3E56D4A6" w14:textId="77777777">
            <w:pPr>
              <w:pStyle w:val="TableText"/>
              <w:keepNext/>
              <w:rPr>
                <w:b/>
              </w:rPr>
            </w:pPr>
            <w:r>
              <w:rPr>
                <w:b/>
              </w:rPr>
              <w:t>Manage Self</w:t>
            </w:r>
          </w:p>
          <w:p w:rsidRPr="00A8226F" w:rsidR="00556802" w:rsidP="00131261" w:rsidRDefault="00556802" w14:paraId="2428C171" w14:textId="77777777">
            <w:pPr>
              <w:pStyle w:val="TableText"/>
              <w:keepNext/>
              <w:rPr>
                <w:b/>
              </w:rPr>
            </w:pPr>
            <w:r>
              <w:t>Show drive and motivation, an ability to self-reflect and a commitment to learning</w:t>
            </w:r>
          </w:p>
        </w:tc>
        <w:tc>
          <w:tcPr>
            <w:tcW w:w="4770" w:type="dxa"/>
            <w:tcBorders>
              <w:bottom w:val="single" w:color="BCBEC0" w:sz="4" w:space="0"/>
            </w:tcBorders>
          </w:tcPr>
          <w:p w:rsidR="00556802" w:rsidP="00131261" w:rsidRDefault="00556802" w14:paraId="4A91DD6C" w14:textId="77777777">
            <w:pPr>
              <w:pStyle w:val="TableBullet"/>
            </w:pPr>
            <w:r>
              <w:t>Keep up to date with relevant contemporary knowledge and practices</w:t>
            </w:r>
          </w:p>
          <w:p w:rsidR="00556802" w:rsidP="00131261" w:rsidRDefault="00556802" w14:paraId="58E85C1D" w14:textId="77777777">
            <w:pPr>
              <w:pStyle w:val="TableBullet"/>
            </w:pPr>
            <w:r>
              <w:t>Look for and take advantage of opportunities to learn new skills and develop strengths</w:t>
            </w:r>
          </w:p>
          <w:p w:rsidR="00556802" w:rsidP="00131261" w:rsidRDefault="00556802" w14:paraId="6522A33E" w14:textId="77777777">
            <w:pPr>
              <w:pStyle w:val="TableBullet"/>
            </w:pPr>
            <w:r>
              <w:t>Show commitment to achieving challenging goals</w:t>
            </w:r>
          </w:p>
          <w:p w:rsidR="00556802" w:rsidP="00131261" w:rsidRDefault="00556802" w14:paraId="7CDD7223" w14:textId="77777777">
            <w:pPr>
              <w:pStyle w:val="TableBullet"/>
            </w:pPr>
            <w:r>
              <w:t>Examine and reflect on own performance</w:t>
            </w:r>
          </w:p>
          <w:p w:rsidR="00556802" w:rsidP="00131261" w:rsidRDefault="00556802" w14:paraId="5670A924" w14:textId="77777777">
            <w:pPr>
              <w:pStyle w:val="TableBullet"/>
            </w:pPr>
            <w:r>
              <w:t>Seek and respond positively to constructive feedback and guidance</w:t>
            </w:r>
          </w:p>
          <w:p w:rsidR="00556802" w:rsidP="00131261" w:rsidRDefault="00556802" w14:paraId="3B15B0CE" w14:textId="77777777">
            <w:pPr>
              <w:pStyle w:val="TableBullet"/>
            </w:pPr>
            <w:r>
              <w:t>Demonstrate and maintain a high level of personal motivation</w:t>
            </w:r>
          </w:p>
        </w:tc>
        <w:tc>
          <w:tcPr>
            <w:tcW w:w="1606" w:type="dxa"/>
            <w:tcBorders>
              <w:bottom w:val="single" w:color="BCBEC0" w:sz="4" w:space="0"/>
            </w:tcBorders>
          </w:tcPr>
          <w:p w:rsidR="00556802" w:rsidP="00131261" w:rsidRDefault="00556802" w14:paraId="4A2CA9CC" w14:textId="77777777">
            <w:pPr>
              <w:pStyle w:val="TableBullet"/>
              <w:numPr>
                <w:ilvl w:val="0"/>
                <w:numId w:val="0"/>
              </w:numPr>
              <w:jc w:val="both"/>
            </w:pPr>
            <w:r>
              <w:t>Adept</w:t>
            </w:r>
          </w:p>
        </w:tc>
      </w:tr>
      <w:tr w:rsidRPr="00C978B9" w:rsidR="00556802" w:rsidTr="00131261" w14:paraId="77A0127B" w14:textId="77777777">
        <w:tc>
          <w:tcPr>
            <w:tcW w:w="1406" w:type="dxa"/>
            <w:vMerge w:val="restart"/>
            <w:tcBorders>
              <w:bottom w:val="single" w:color="BCBEC0" w:sz="4" w:space="0"/>
            </w:tcBorders>
          </w:tcPr>
          <w:p w:rsidRPr="00C978B9" w:rsidR="00556802" w:rsidP="00131261" w:rsidRDefault="00556802" w14:paraId="3B9FEA11" w14:textId="77777777">
            <w:pPr>
              <w:keepNext/>
            </w:pPr>
            <w:r w:rsidRPr="00C978B9">
              <w:rPr>
                <w:noProof/>
                <w:lang w:eastAsia="en-AU"/>
              </w:rPr>
              <w:lastRenderedPageBreak/>
              <w:drawing>
                <wp:inline distT="0" distB="0" distL="0" distR="0" wp14:anchorId="463A8F7A" wp14:editId="4F9F1E60">
                  <wp:extent cx="854016" cy="854016"/>
                  <wp:effectExtent l="0" t="0" r="3810" b="3810"/>
                  <wp:docPr id="13" name="relationshi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tc>
        <w:tc>
          <w:tcPr>
            <w:tcW w:w="2971" w:type="dxa"/>
            <w:gridSpan w:val="2"/>
            <w:tcBorders>
              <w:bottom w:val="single" w:color="BCBEC0" w:sz="4" w:space="0"/>
            </w:tcBorders>
          </w:tcPr>
          <w:p w:rsidRPr="00A8226F" w:rsidR="00556802" w:rsidP="00131261" w:rsidRDefault="00556802" w14:paraId="00E36206" w14:textId="77777777">
            <w:pPr>
              <w:pStyle w:val="TableText"/>
              <w:keepNext/>
              <w:rPr>
                <w:b/>
              </w:rPr>
            </w:pPr>
            <w:r>
              <w:rPr>
                <w:b/>
              </w:rPr>
              <w:t>Communicate Effectively</w:t>
            </w:r>
          </w:p>
          <w:p w:rsidRPr="00AA57E3" w:rsidR="00556802" w:rsidP="00131261" w:rsidRDefault="00556802" w14:paraId="2E343D79" w14:textId="77777777">
            <w:pPr>
              <w:pStyle w:val="TableText"/>
              <w:keepNext/>
            </w:pPr>
            <w:r>
              <w:t>Communicate clearly, actively listen to others, and respond with understanding and respect</w:t>
            </w:r>
          </w:p>
        </w:tc>
        <w:tc>
          <w:tcPr>
            <w:tcW w:w="4770" w:type="dxa"/>
            <w:tcBorders>
              <w:bottom w:val="single" w:color="BCBEC0" w:sz="4" w:space="0"/>
            </w:tcBorders>
          </w:tcPr>
          <w:p w:rsidRPr="00AA57E3" w:rsidR="00556802" w:rsidP="00131261" w:rsidRDefault="00556802" w14:paraId="252714C4" w14:textId="77777777">
            <w:pPr>
              <w:pStyle w:val="TableBullet"/>
            </w:pPr>
            <w:r>
              <w:t>Present with credibility, engage diverse audiences and test levels of understanding</w:t>
            </w:r>
          </w:p>
          <w:p w:rsidRPr="00AA57E3" w:rsidR="00556802" w:rsidP="00131261" w:rsidRDefault="00556802" w14:paraId="67545EF5" w14:textId="77777777">
            <w:pPr>
              <w:pStyle w:val="TableBullet"/>
            </w:pPr>
            <w:r>
              <w:t>Translate technical and complex information clearly and concisely for diverse audiences</w:t>
            </w:r>
          </w:p>
          <w:p w:rsidRPr="00AA57E3" w:rsidR="00556802" w:rsidP="00131261" w:rsidRDefault="00556802" w14:paraId="2ACBC498" w14:textId="77777777">
            <w:pPr>
              <w:pStyle w:val="TableBullet"/>
            </w:pPr>
            <w:r>
              <w:t>Create opportunities for others to contribute to discussion and debate</w:t>
            </w:r>
          </w:p>
          <w:p w:rsidRPr="00AA57E3" w:rsidR="00556802" w:rsidP="00131261" w:rsidRDefault="00556802" w14:paraId="6641C672" w14:textId="77777777">
            <w:pPr>
              <w:pStyle w:val="TableBullet"/>
            </w:pPr>
            <w:r>
              <w:t>Contribute to and promote information sharing across the organisation</w:t>
            </w:r>
          </w:p>
          <w:p w:rsidRPr="00AA57E3" w:rsidR="00556802" w:rsidP="00131261" w:rsidRDefault="00556802" w14:paraId="0466EB58" w14:textId="77777777">
            <w:pPr>
              <w:pStyle w:val="TableBullet"/>
            </w:pPr>
            <w:r>
              <w:t>Manage complex communications that involve understanding and responding to multiple and divergent viewpoints</w:t>
            </w:r>
          </w:p>
          <w:p w:rsidRPr="00AA57E3" w:rsidR="00556802" w:rsidP="00131261" w:rsidRDefault="00556802" w14:paraId="7B5F3FF8" w14:textId="77777777">
            <w:pPr>
              <w:pStyle w:val="TableBullet"/>
            </w:pPr>
            <w:r>
              <w:t>Explore creative ways to engage diverse audiences and communicate information</w:t>
            </w:r>
          </w:p>
          <w:p w:rsidRPr="00AA57E3" w:rsidR="00556802" w:rsidP="00131261" w:rsidRDefault="00556802" w14:paraId="1026055B" w14:textId="77777777">
            <w:pPr>
              <w:pStyle w:val="TableBullet"/>
            </w:pPr>
            <w:r>
              <w:t>Adjust style and approach to optimise outcomes</w:t>
            </w:r>
          </w:p>
          <w:p w:rsidRPr="00AA57E3" w:rsidR="00556802" w:rsidP="00131261" w:rsidRDefault="00556802" w14:paraId="1DA83C11" w14:textId="77777777">
            <w:pPr>
              <w:pStyle w:val="TableBullet"/>
            </w:pPr>
            <w:r>
              <w:t>Write fluently and persuasively in plain English and in a range of styles and formats</w:t>
            </w:r>
          </w:p>
        </w:tc>
        <w:tc>
          <w:tcPr>
            <w:tcW w:w="1606" w:type="dxa"/>
            <w:tcBorders>
              <w:bottom w:val="single" w:color="BCBEC0" w:sz="4" w:space="0"/>
            </w:tcBorders>
          </w:tcPr>
          <w:p w:rsidR="00556802" w:rsidP="00131261" w:rsidRDefault="00556802" w14:paraId="5A152101" w14:textId="77777777">
            <w:pPr>
              <w:pStyle w:val="TableBullet"/>
              <w:numPr>
                <w:ilvl w:val="0"/>
                <w:numId w:val="0"/>
              </w:numPr>
              <w:jc w:val="both"/>
            </w:pPr>
            <w:r>
              <w:t>Advanced</w:t>
            </w:r>
          </w:p>
        </w:tc>
      </w:tr>
      <w:tr w:rsidRPr="00C978B9" w:rsidR="00556802" w:rsidTr="00131261" w14:paraId="29B77671" w14:textId="77777777">
        <w:tc>
          <w:tcPr>
            <w:tcW w:w="1406" w:type="dxa"/>
            <w:vMerge/>
            <w:tcBorders>
              <w:bottom w:val="single" w:color="BCBEC0" w:sz="4" w:space="0"/>
            </w:tcBorders>
          </w:tcPr>
          <w:p w:rsidR="00556802" w:rsidP="00131261" w:rsidRDefault="00556802" w14:paraId="52F1E0D5" w14:textId="77777777">
            <w:pPr>
              <w:keepNext/>
              <w:rPr>
                <w:noProof/>
                <w:lang w:eastAsia="en-AU"/>
              </w:rPr>
            </w:pPr>
          </w:p>
        </w:tc>
        <w:tc>
          <w:tcPr>
            <w:tcW w:w="2971" w:type="dxa"/>
            <w:gridSpan w:val="2"/>
            <w:tcBorders>
              <w:bottom w:val="single" w:color="BCBEC0" w:sz="4" w:space="0"/>
            </w:tcBorders>
          </w:tcPr>
          <w:p w:rsidRPr="00A8226F" w:rsidR="00556802" w:rsidP="00131261" w:rsidRDefault="00556802" w14:paraId="244B37CD" w14:textId="77777777">
            <w:pPr>
              <w:pStyle w:val="TableText"/>
              <w:keepNext/>
              <w:rPr>
                <w:b/>
              </w:rPr>
            </w:pPr>
            <w:r>
              <w:rPr>
                <w:b/>
              </w:rPr>
              <w:t>Commit to Customer Service</w:t>
            </w:r>
          </w:p>
          <w:p w:rsidRPr="00A8226F" w:rsidR="00556802" w:rsidP="00131261" w:rsidRDefault="00556802" w14:paraId="74A886F1" w14:textId="77777777">
            <w:pPr>
              <w:pStyle w:val="TableText"/>
              <w:keepNext/>
              <w:rPr>
                <w:b/>
              </w:rPr>
            </w:pPr>
            <w:r>
              <w:t>Provide customer-focused services in line with public sector and organisational objectives</w:t>
            </w:r>
          </w:p>
        </w:tc>
        <w:tc>
          <w:tcPr>
            <w:tcW w:w="4770" w:type="dxa"/>
            <w:tcBorders>
              <w:bottom w:val="single" w:color="BCBEC0" w:sz="4" w:space="0"/>
            </w:tcBorders>
          </w:tcPr>
          <w:p w:rsidR="00556802" w:rsidP="00131261" w:rsidRDefault="00556802" w14:paraId="004DB2BB" w14:textId="77777777">
            <w:pPr>
              <w:pStyle w:val="TableBullet"/>
            </w:pPr>
            <w:r>
              <w:t>Promote a customer-focused culture in the organisation and consider new ways of working to improve customer experience</w:t>
            </w:r>
          </w:p>
          <w:p w:rsidR="00556802" w:rsidP="00131261" w:rsidRDefault="00556802" w14:paraId="3FCE680E" w14:textId="77777777">
            <w:pPr>
              <w:pStyle w:val="TableBullet"/>
            </w:pPr>
            <w:r>
              <w:t>Ensure systems are in place to capture customer service insights to improve services</w:t>
            </w:r>
          </w:p>
          <w:p w:rsidR="00556802" w:rsidP="00131261" w:rsidRDefault="00556802" w14:paraId="6C7ABCCC" w14:textId="77777777">
            <w:pPr>
              <w:pStyle w:val="TableBullet"/>
            </w:pPr>
            <w:r>
              <w:t>Initiate and develop partnerships with customers to define and evaluate service performance outcomes</w:t>
            </w:r>
          </w:p>
          <w:p w:rsidR="00556802" w:rsidP="00131261" w:rsidRDefault="00556802" w14:paraId="3BA9D2EC" w14:textId="77777777">
            <w:pPr>
              <w:pStyle w:val="TableBullet"/>
            </w:pPr>
            <w:r>
              <w:t>Promote and manage alliances within the organisation and across the public, private and community sectors</w:t>
            </w:r>
          </w:p>
          <w:p w:rsidR="00556802" w:rsidP="00131261" w:rsidRDefault="00556802" w14:paraId="7D0D8877" w14:textId="77777777">
            <w:pPr>
              <w:pStyle w:val="TableBullet"/>
            </w:pPr>
            <w:r>
              <w:t>Liaise with senior stakeholders on key issues and provide expert and influential advice</w:t>
            </w:r>
          </w:p>
          <w:p w:rsidR="00556802" w:rsidP="00131261" w:rsidRDefault="00556802" w14:paraId="0B392A2E" w14:textId="77777777">
            <w:pPr>
              <w:pStyle w:val="TableBullet"/>
            </w:pPr>
            <w:r>
              <w:t>Identify and incorporate the interests and needs of customers in business process design and encourage new ideas and innovative approaches</w:t>
            </w:r>
          </w:p>
          <w:p w:rsidR="00556802" w:rsidP="00131261" w:rsidRDefault="00556802" w14:paraId="2B13DE62" w14:textId="77777777">
            <w:pPr>
              <w:pStyle w:val="TableBullet"/>
            </w:pPr>
            <w:r>
              <w:t>Ensure that the organisation’s systems, processes, policies and programs respond to customer needs</w:t>
            </w:r>
          </w:p>
        </w:tc>
        <w:tc>
          <w:tcPr>
            <w:tcW w:w="1606" w:type="dxa"/>
            <w:tcBorders>
              <w:bottom w:val="single" w:color="BCBEC0" w:sz="4" w:space="0"/>
            </w:tcBorders>
          </w:tcPr>
          <w:p w:rsidR="00556802" w:rsidP="00131261" w:rsidRDefault="00556802" w14:paraId="34472DDE" w14:textId="77777777">
            <w:pPr>
              <w:pStyle w:val="TableBullet"/>
              <w:numPr>
                <w:ilvl w:val="0"/>
                <w:numId w:val="0"/>
              </w:numPr>
              <w:jc w:val="both"/>
            </w:pPr>
            <w:r>
              <w:t>Advanced</w:t>
            </w:r>
          </w:p>
        </w:tc>
      </w:tr>
      <w:tr w:rsidRPr="00C978B9" w:rsidR="00556802" w:rsidTr="00131261" w14:paraId="3A3BBCFF" w14:textId="77777777">
        <w:tc>
          <w:tcPr>
            <w:tcW w:w="1406" w:type="dxa"/>
            <w:vMerge w:val="restart"/>
            <w:tcBorders>
              <w:bottom w:val="single" w:color="BCBEC0" w:sz="4" w:space="0"/>
            </w:tcBorders>
          </w:tcPr>
          <w:p w:rsidRPr="00C978B9" w:rsidR="00556802" w:rsidP="00131261" w:rsidRDefault="00556802" w14:paraId="7E4789E4" w14:textId="77777777">
            <w:pPr>
              <w:keepNext/>
            </w:pPr>
            <w:r w:rsidRPr="00C978B9">
              <w:rPr>
                <w:noProof/>
                <w:lang w:eastAsia="en-AU"/>
              </w:rPr>
              <w:lastRenderedPageBreak/>
              <w:drawing>
                <wp:inline distT="0" distB="0" distL="0" distR="0" wp14:anchorId="265D27A9" wp14:editId="5EC74F9E">
                  <wp:extent cx="854015" cy="854015"/>
                  <wp:effectExtent l="0" t="0" r="3810" b="3810"/>
                  <wp:docPr id="14" name="resul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2971" w:type="dxa"/>
            <w:gridSpan w:val="2"/>
            <w:tcBorders>
              <w:bottom w:val="single" w:color="BCBEC0" w:sz="4" w:space="0"/>
            </w:tcBorders>
          </w:tcPr>
          <w:p w:rsidRPr="00A8226F" w:rsidR="00556802" w:rsidP="00131261" w:rsidRDefault="00556802" w14:paraId="1981DC8D" w14:textId="77777777">
            <w:pPr>
              <w:pStyle w:val="TableText"/>
              <w:keepNext/>
              <w:rPr>
                <w:b/>
              </w:rPr>
            </w:pPr>
            <w:r>
              <w:rPr>
                <w:b/>
              </w:rPr>
              <w:t>Think and Solve Problems</w:t>
            </w:r>
          </w:p>
          <w:p w:rsidRPr="00AA57E3" w:rsidR="00556802" w:rsidP="00131261" w:rsidRDefault="00556802" w14:paraId="25F6D648" w14:textId="77777777">
            <w:pPr>
              <w:pStyle w:val="TableText"/>
              <w:keepNext/>
            </w:pPr>
            <w:r>
              <w:t>Think, analyse and consider the broader context to develop practical solutions</w:t>
            </w:r>
          </w:p>
        </w:tc>
        <w:tc>
          <w:tcPr>
            <w:tcW w:w="4770" w:type="dxa"/>
            <w:tcBorders>
              <w:bottom w:val="single" w:color="BCBEC0" w:sz="4" w:space="0"/>
            </w:tcBorders>
          </w:tcPr>
          <w:p w:rsidRPr="00AA57E3" w:rsidR="00556802" w:rsidP="00131261" w:rsidRDefault="00556802" w14:paraId="09873F75" w14:textId="77777777">
            <w:pPr>
              <w:pStyle w:val="TableBullet"/>
            </w:pPr>
            <w:r>
              <w:t>Undertake objective, critical analysis to draw accurate conclusions that recognise and manage contextual issues</w:t>
            </w:r>
          </w:p>
          <w:p w:rsidRPr="00AA57E3" w:rsidR="00556802" w:rsidP="00131261" w:rsidRDefault="00556802" w14:paraId="249A20EE" w14:textId="77777777">
            <w:pPr>
              <w:pStyle w:val="TableBullet"/>
            </w:pPr>
            <w:r>
              <w:t>Work through issues, weigh up alternatives and identify the most effective solutions in collaboration with others</w:t>
            </w:r>
          </w:p>
          <w:p w:rsidRPr="00AA57E3" w:rsidR="00556802" w:rsidP="00131261" w:rsidRDefault="00556802" w14:paraId="47EE117E" w14:textId="77777777">
            <w:pPr>
              <w:pStyle w:val="TableBullet"/>
            </w:pPr>
            <w:r>
              <w:t>Take account of the wider business context when considering options to resolve issues</w:t>
            </w:r>
          </w:p>
          <w:p w:rsidRPr="00AA57E3" w:rsidR="00556802" w:rsidP="00131261" w:rsidRDefault="00556802" w14:paraId="1321F01C" w14:textId="77777777">
            <w:pPr>
              <w:pStyle w:val="TableBullet"/>
            </w:pPr>
            <w:r>
              <w:t>Explore a range of possibilities and creative alternatives to contribute to system, process and business improvements</w:t>
            </w:r>
          </w:p>
          <w:p w:rsidRPr="00AA57E3" w:rsidR="00556802" w:rsidP="00131261" w:rsidRDefault="00556802" w14:paraId="180513C7" w14:textId="77777777">
            <w:pPr>
              <w:pStyle w:val="TableBullet"/>
            </w:pPr>
            <w:r>
              <w:t>Implement systems and processes that are underpinned by high-quality research and analysis</w:t>
            </w:r>
          </w:p>
          <w:p w:rsidRPr="00AA57E3" w:rsidR="00556802" w:rsidP="00131261" w:rsidRDefault="00556802" w14:paraId="15D47636" w14:textId="77777777">
            <w:pPr>
              <w:pStyle w:val="TableBullet"/>
            </w:pPr>
            <w:r>
              <w:t>Look for opportunities to design innovative solutions to meet user needs and service demands</w:t>
            </w:r>
          </w:p>
          <w:p w:rsidRPr="00AA57E3" w:rsidR="00556802" w:rsidP="00131261" w:rsidRDefault="00556802" w14:paraId="12C7C2F2" w14:textId="77777777">
            <w:pPr>
              <w:pStyle w:val="TableBullet"/>
            </w:pPr>
            <w:r>
              <w:t>Evaluate the performance and effectiveness of services, policies and programs against clear criteria</w:t>
            </w:r>
          </w:p>
        </w:tc>
        <w:tc>
          <w:tcPr>
            <w:tcW w:w="1606" w:type="dxa"/>
            <w:tcBorders>
              <w:bottom w:val="single" w:color="BCBEC0" w:sz="4" w:space="0"/>
            </w:tcBorders>
          </w:tcPr>
          <w:p w:rsidR="00556802" w:rsidP="00131261" w:rsidRDefault="00556802" w14:paraId="148E82C7" w14:textId="77777777">
            <w:pPr>
              <w:pStyle w:val="TableBullet"/>
              <w:numPr>
                <w:ilvl w:val="0"/>
                <w:numId w:val="0"/>
              </w:numPr>
              <w:jc w:val="both"/>
            </w:pPr>
            <w:r>
              <w:t>Advanced</w:t>
            </w:r>
          </w:p>
        </w:tc>
      </w:tr>
      <w:tr w:rsidRPr="00C978B9" w:rsidR="00556802" w:rsidTr="00131261" w14:paraId="6B0AAF81" w14:textId="77777777">
        <w:tc>
          <w:tcPr>
            <w:tcW w:w="1406" w:type="dxa"/>
            <w:vMerge/>
            <w:tcBorders>
              <w:bottom w:val="single" w:color="BCBEC0" w:sz="4" w:space="0"/>
            </w:tcBorders>
          </w:tcPr>
          <w:p w:rsidR="00556802" w:rsidP="00131261" w:rsidRDefault="00556802" w14:paraId="20CE5F07" w14:textId="77777777">
            <w:pPr>
              <w:keepNext/>
              <w:rPr>
                <w:noProof/>
                <w:lang w:eastAsia="en-AU"/>
              </w:rPr>
            </w:pPr>
          </w:p>
        </w:tc>
        <w:tc>
          <w:tcPr>
            <w:tcW w:w="2971" w:type="dxa"/>
            <w:gridSpan w:val="2"/>
            <w:tcBorders>
              <w:bottom w:val="single" w:color="BCBEC0" w:sz="4" w:space="0"/>
            </w:tcBorders>
          </w:tcPr>
          <w:p w:rsidRPr="00A8226F" w:rsidR="00556802" w:rsidP="00131261" w:rsidRDefault="00556802" w14:paraId="28204199" w14:textId="77777777">
            <w:pPr>
              <w:pStyle w:val="TableText"/>
              <w:keepNext/>
              <w:rPr>
                <w:b/>
              </w:rPr>
            </w:pPr>
            <w:r>
              <w:rPr>
                <w:b/>
              </w:rPr>
              <w:t>Demonstrate Accountability</w:t>
            </w:r>
          </w:p>
          <w:p w:rsidRPr="00A8226F" w:rsidR="00556802" w:rsidP="00131261" w:rsidRDefault="00556802" w14:paraId="78814AF1" w14:textId="77777777">
            <w:pPr>
              <w:pStyle w:val="TableText"/>
              <w:keepNext/>
              <w:rPr>
                <w:b/>
              </w:rPr>
            </w:pPr>
            <w:r>
              <w:t>Be proactive and responsible for own actions, and adhere to legislation, policy and guidelines</w:t>
            </w:r>
          </w:p>
        </w:tc>
        <w:tc>
          <w:tcPr>
            <w:tcW w:w="4770" w:type="dxa"/>
            <w:tcBorders>
              <w:bottom w:val="single" w:color="BCBEC0" w:sz="4" w:space="0"/>
            </w:tcBorders>
          </w:tcPr>
          <w:p w:rsidR="00556802" w:rsidP="00131261" w:rsidRDefault="00556802" w14:paraId="132500E1" w14:textId="77777777">
            <w:pPr>
              <w:pStyle w:val="TableBullet"/>
            </w:pPr>
            <w:r>
              <w:t>Assess work outcomes and identify and share learnings to inform future actions</w:t>
            </w:r>
          </w:p>
          <w:p w:rsidR="00556802" w:rsidP="00131261" w:rsidRDefault="00556802" w14:paraId="0D9F7F00" w14:textId="77777777">
            <w:pPr>
              <w:pStyle w:val="TableBullet"/>
            </w:pPr>
            <w:r>
              <w:t>Ensure that own actions and those of others are focused on achieving organisational outcomes</w:t>
            </w:r>
          </w:p>
          <w:p w:rsidR="00556802" w:rsidP="00131261" w:rsidRDefault="00556802" w14:paraId="3AD7CC83" w14:textId="77777777">
            <w:pPr>
              <w:pStyle w:val="TableBullet"/>
            </w:pPr>
            <w:r>
              <w:t>Exercise delegations responsibly</w:t>
            </w:r>
          </w:p>
          <w:p w:rsidR="00556802" w:rsidP="00131261" w:rsidRDefault="00556802" w14:paraId="03CD8932" w14:textId="77777777">
            <w:pPr>
              <w:pStyle w:val="TableBullet"/>
            </w:pPr>
            <w:r>
              <w:t>Understand and apply high standards of financial probity with public monies and other resources</w:t>
            </w:r>
          </w:p>
          <w:p w:rsidR="00556802" w:rsidP="00131261" w:rsidRDefault="00556802" w14:paraId="7F150133" w14:textId="77777777">
            <w:pPr>
              <w:pStyle w:val="TableBullet"/>
            </w:pPr>
            <w:r>
              <w:t>Identify and implement safe work practices, taking a systematic risk management approach to ensure own and others’ health and safety</w:t>
            </w:r>
          </w:p>
          <w:p w:rsidR="00556802" w:rsidP="00131261" w:rsidRDefault="00556802" w14:paraId="63DC1103" w14:textId="77777777">
            <w:pPr>
              <w:pStyle w:val="TableBullet"/>
            </w:pPr>
            <w:r>
              <w:t>Conduct and report on quality control audits</w:t>
            </w:r>
          </w:p>
          <w:p w:rsidR="00556802" w:rsidP="00131261" w:rsidRDefault="00556802" w14:paraId="0C859A4D" w14:textId="77777777">
            <w:pPr>
              <w:pStyle w:val="TableBullet"/>
            </w:pPr>
            <w:r>
              <w:t>Identify risks to successfully achieving goals, and take appropriate steps to mitigate those risks</w:t>
            </w:r>
          </w:p>
        </w:tc>
        <w:tc>
          <w:tcPr>
            <w:tcW w:w="1606" w:type="dxa"/>
            <w:tcBorders>
              <w:bottom w:val="single" w:color="BCBEC0" w:sz="4" w:space="0"/>
            </w:tcBorders>
          </w:tcPr>
          <w:p w:rsidR="00556802" w:rsidP="00131261" w:rsidRDefault="00556802" w14:paraId="7C7D3943" w14:textId="77777777">
            <w:pPr>
              <w:pStyle w:val="TableBullet"/>
              <w:numPr>
                <w:ilvl w:val="0"/>
                <w:numId w:val="0"/>
              </w:numPr>
              <w:jc w:val="both"/>
            </w:pPr>
            <w:r>
              <w:t>Adept</w:t>
            </w:r>
          </w:p>
        </w:tc>
      </w:tr>
      <w:tr w:rsidRPr="00C978B9" w:rsidR="00556802" w:rsidTr="00131261" w14:paraId="1A99A903" w14:textId="77777777">
        <w:tc>
          <w:tcPr>
            <w:tcW w:w="1406" w:type="dxa"/>
            <w:vMerge w:val="restart"/>
            <w:tcBorders>
              <w:bottom w:val="single" w:color="BCBEC0" w:sz="4" w:space="0"/>
            </w:tcBorders>
          </w:tcPr>
          <w:p w:rsidRPr="00C978B9" w:rsidR="00556802" w:rsidP="00131261" w:rsidRDefault="00556802" w14:paraId="13FBE4EC" w14:textId="77777777">
            <w:pPr>
              <w:keepNext/>
            </w:pPr>
            <w:r w:rsidRPr="00C978B9">
              <w:rPr>
                <w:noProof/>
                <w:lang w:eastAsia="en-AU"/>
              </w:rPr>
              <w:drawing>
                <wp:inline distT="0" distB="0" distL="0" distR="0" wp14:anchorId="1F463658" wp14:editId="639F8E8E">
                  <wp:extent cx="845388" cy="845388"/>
                  <wp:effectExtent l="0" t="0" r="0" b="0"/>
                  <wp:docPr id="9" name="business-enabl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852188" cy="852188"/>
                          </a:xfrm>
                          <a:prstGeom prst="rect">
                            <a:avLst/>
                          </a:prstGeom>
                          <a:noFill/>
                          <a:ln>
                            <a:noFill/>
                          </a:ln>
                        </pic:spPr>
                      </pic:pic>
                    </a:graphicData>
                  </a:graphic>
                </wp:inline>
              </w:drawing>
            </w:r>
          </w:p>
        </w:tc>
        <w:tc>
          <w:tcPr>
            <w:tcW w:w="2971" w:type="dxa"/>
            <w:gridSpan w:val="2"/>
            <w:tcBorders>
              <w:bottom w:val="single" w:color="BCBEC0" w:sz="4" w:space="0"/>
            </w:tcBorders>
          </w:tcPr>
          <w:p w:rsidRPr="00A8226F" w:rsidR="00556802" w:rsidP="00131261" w:rsidRDefault="00556802" w14:paraId="4189EB5B" w14:textId="77777777">
            <w:pPr>
              <w:pStyle w:val="TableText"/>
              <w:keepNext/>
              <w:rPr>
                <w:b/>
              </w:rPr>
            </w:pPr>
            <w:r>
              <w:rPr>
                <w:b/>
              </w:rPr>
              <w:t>Technology</w:t>
            </w:r>
          </w:p>
          <w:p w:rsidRPr="00AA57E3" w:rsidR="00556802" w:rsidP="00131261" w:rsidRDefault="00556802" w14:paraId="6316CFAF" w14:textId="77777777">
            <w:pPr>
              <w:pStyle w:val="TableText"/>
              <w:keepNext/>
            </w:pPr>
            <w:r>
              <w:t>Understand and use available technologies to maximise efficiencies and effectiveness</w:t>
            </w:r>
          </w:p>
        </w:tc>
        <w:tc>
          <w:tcPr>
            <w:tcW w:w="4770" w:type="dxa"/>
            <w:tcBorders>
              <w:bottom w:val="single" w:color="BCBEC0" w:sz="4" w:space="0"/>
            </w:tcBorders>
          </w:tcPr>
          <w:p w:rsidRPr="00AA57E3" w:rsidR="00556802" w:rsidP="00131261" w:rsidRDefault="00556802" w14:paraId="7D2A4D4E" w14:textId="77777777">
            <w:pPr>
              <w:pStyle w:val="TableBullet"/>
            </w:pPr>
            <w:r>
              <w:t>Identify opportunities to use a broad range of technologies to collaborate</w:t>
            </w:r>
          </w:p>
          <w:p w:rsidRPr="00AA57E3" w:rsidR="00556802" w:rsidP="00131261" w:rsidRDefault="00556802" w14:paraId="5AE49648" w14:textId="77777777">
            <w:pPr>
              <w:pStyle w:val="TableBullet"/>
            </w:pPr>
            <w:r>
              <w:t>Monitor compliance with cyber security and the use of technology policies</w:t>
            </w:r>
          </w:p>
          <w:p w:rsidRPr="00AA57E3" w:rsidR="00556802" w:rsidP="00131261" w:rsidRDefault="00556802" w14:paraId="0E662632" w14:textId="77777777">
            <w:pPr>
              <w:pStyle w:val="TableBullet"/>
            </w:pPr>
            <w:r>
              <w:t>Identify ways to maximise the value of available technology to achieve business strategies and outcomes</w:t>
            </w:r>
          </w:p>
          <w:p w:rsidRPr="00AA57E3" w:rsidR="00556802" w:rsidP="00131261" w:rsidRDefault="00556802" w14:paraId="7FD3FE10" w14:textId="77777777">
            <w:pPr>
              <w:pStyle w:val="TableBullet"/>
            </w:pPr>
            <w:r>
              <w:t>Monitor compliance with the organisation’s records, information and knowledge management requirements</w:t>
            </w:r>
          </w:p>
        </w:tc>
        <w:tc>
          <w:tcPr>
            <w:tcW w:w="1606" w:type="dxa"/>
            <w:tcBorders>
              <w:bottom w:val="single" w:color="BCBEC0" w:sz="4" w:space="0"/>
            </w:tcBorders>
          </w:tcPr>
          <w:p w:rsidR="00556802" w:rsidP="00131261" w:rsidRDefault="00556802" w14:paraId="02C6AAF8" w14:textId="77777777">
            <w:pPr>
              <w:pStyle w:val="TableBullet"/>
              <w:numPr>
                <w:ilvl w:val="0"/>
                <w:numId w:val="0"/>
              </w:numPr>
              <w:jc w:val="both"/>
            </w:pPr>
            <w:r>
              <w:t>Adept</w:t>
            </w:r>
          </w:p>
        </w:tc>
      </w:tr>
      <w:tr w:rsidRPr="00C978B9" w:rsidR="00556802" w:rsidTr="00131261" w14:paraId="553B6288" w14:textId="77777777">
        <w:tc>
          <w:tcPr>
            <w:tcW w:w="1406" w:type="dxa"/>
            <w:vMerge/>
            <w:tcBorders>
              <w:bottom w:val="single" w:color="BCBEC0" w:sz="4" w:space="0"/>
            </w:tcBorders>
          </w:tcPr>
          <w:p w:rsidR="00556802" w:rsidP="00131261" w:rsidRDefault="00556802" w14:paraId="13F5A56C" w14:textId="77777777">
            <w:pPr>
              <w:keepNext/>
              <w:rPr>
                <w:noProof/>
                <w:lang w:eastAsia="en-AU"/>
              </w:rPr>
            </w:pPr>
          </w:p>
        </w:tc>
        <w:tc>
          <w:tcPr>
            <w:tcW w:w="2971" w:type="dxa"/>
            <w:gridSpan w:val="2"/>
            <w:tcBorders>
              <w:bottom w:val="single" w:color="BCBEC0" w:sz="4" w:space="0"/>
            </w:tcBorders>
          </w:tcPr>
          <w:p w:rsidRPr="00A8226F" w:rsidR="00556802" w:rsidP="00131261" w:rsidRDefault="00556802" w14:paraId="51D7D5BB" w14:textId="77777777">
            <w:pPr>
              <w:pStyle w:val="TableText"/>
              <w:keepNext/>
              <w:rPr>
                <w:b/>
              </w:rPr>
            </w:pPr>
            <w:r>
              <w:rPr>
                <w:b/>
              </w:rPr>
              <w:t>Project Management</w:t>
            </w:r>
          </w:p>
          <w:p w:rsidRPr="00A8226F" w:rsidR="00556802" w:rsidP="00131261" w:rsidRDefault="00556802" w14:paraId="602F5B4C" w14:textId="77777777">
            <w:pPr>
              <w:pStyle w:val="TableText"/>
              <w:keepNext/>
              <w:rPr>
                <w:b/>
              </w:rPr>
            </w:pPr>
            <w:r>
              <w:t>Understand and apply effective planning, coordination and control methods</w:t>
            </w:r>
          </w:p>
        </w:tc>
        <w:tc>
          <w:tcPr>
            <w:tcW w:w="4770" w:type="dxa"/>
            <w:tcBorders>
              <w:bottom w:val="single" w:color="BCBEC0" w:sz="4" w:space="0"/>
            </w:tcBorders>
          </w:tcPr>
          <w:p w:rsidR="00556802" w:rsidP="00131261" w:rsidRDefault="00556802" w14:paraId="13CE4FD3" w14:textId="77777777">
            <w:pPr>
              <w:pStyle w:val="TableBullet"/>
            </w:pPr>
            <w:r>
              <w:t>Understand all components of the project management process, including the need to consider change management to realise business benefits</w:t>
            </w:r>
          </w:p>
          <w:p w:rsidR="00556802" w:rsidP="00131261" w:rsidRDefault="00556802" w14:paraId="6CD903A1" w14:textId="77777777">
            <w:pPr>
              <w:pStyle w:val="TableBullet"/>
            </w:pPr>
            <w:r>
              <w:t>Prepare clear project proposals and accurate estimates of required costs and resources</w:t>
            </w:r>
          </w:p>
          <w:p w:rsidR="00556802" w:rsidP="00131261" w:rsidRDefault="00556802" w14:paraId="5C6D173F" w14:textId="77777777">
            <w:pPr>
              <w:pStyle w:val="TableBullet"/>
            </w:pPr>
            <w:r>
              <w:t>Establish performance outcomes and measures for key project goals, and define monitoring, reporting and communication requirements</w:t>
            </w:r>
          </w:p>
          <w:p w:rsidR="00556802" w:rsidP="00131261" w:rsidRDefault="00556802" w14:paraId="6021AB1E" w14:textId="77777777">
            <w:pPr>
              <w:pStyle w:val="TableBullet"/>
            </w:pPr>
            <w:r>
              <w:t>Identify and evaluate risks associated with the project and develop mitigation strategies</w:t>
            </w:r>
          </w:p>
          <w:p w:rsidR="00556802" w:rsidP="00131261" w:rsidRDefault="00556802" w14:paraId="06AE98EF" w14:textId="77777777">
            <w:pPr>
              <w:pStyle w:val="TableBullet"/>
            </w:pPr>
            <w:r>
              <w:t>Identify and consult stakeholders to inform the project strategy</w:t>
            </w:r>
          </w:p>
          <w:p w:rsidR="00556802" w:rsidP="00131261" w:rsidRDefault="00556802" w14:paraId="732DC60A" w14:textId="77777777">
            <w:pPr>
              <w:pStyle w:val="TableBullet"/>
            </w:pPr>
            <w:r>
              <w:t>Communicate the project’s objectives and its expected benefits</w:t>
            </w:r>
          </w:p>
          <w:p w:rsidR="00556802" w:rsidP="00131261" w:rsidRDefault="00556802" w14:paraId="3E1356D5" w14:textId="77777777">
            <w:pPr>
              <w:pStyle w:val="TableBullet"/>
            </w:pPr>
            <w:r>
              <w:t>Monitor the completion of project milestones against goals and take necessary action</w:t>
            </w:r>
          </w:p>
          <w:p w:rsidR="00556802" w:rsidP="00131261" w:rsidRDefault="00556802" w14:paraId="06F7041F" w14:textId="77777777">
            <w:pPr>
              <w:pStyle w:val="TableBullet"/>
            </w:pPr>
            <w:r>
              <w:t>Evaluate progress and identify improvements to inform future projects</w:t>
            </w:r>
          </w:p>
        </w:tc>
        <w:tc>
          <w:tcPr>
            <w:tcW w:w="1606" w:type="dxa"/>
            <w:tcBorders>
              <w:bottom w:val="single" w:color="BCBEC0" w:sz="4" w:space="0"/>
            </w:tcBorders>
          </w:tcPr>
          <w:p w:rsidR="00556802" w:rsidP="00131261" w:rsidRDefault="00556802" w14:paraId="4D65CB77" w14:textId="77777777">
            <w:pPr>
              <w:pStyle w:val="TableBullet"/>
              <w:numPr>
                <w:ilvl w:val="0"/>
                <w:numId w:val="0"/>
              </w:numPr>
              <w:jc w:val="both"/>
            </w:pPr>
            <w:r>
              <w:t>Adept</w:t>
            </w:r>
          </w:p>
        </w:tc>
      </w:tr>
      <w:tr w:rsidRPr="00C978B9" w:rsidR="00556802" w:rsidTr="00131261" w14:paraId="75ABE4BB" w14:textId="77777777">
        <w:tc>
          <w:tcPr>
            <w:tcW w:w="1406" w:type="dxa"/>
            <w:tcBorders>
              <w:bottom w:val="single" w:color="BCBEC0" w:sz="4" w:space="0"/>
            </w:tcBorders>
          </w:tcPr>
          <w:p w:rsidRPr="00C978B9" w:rsidR="00556802" w:rsidP="00131261" w:rsidRDefault="00556802" w14:paraId="623FCE20" w14:textId="77777777">
            <w:pPr>
              <w:keepNext/>
            </w:pPr>
            <w:r w:rsidRPr="00C978B9">
              <w:rPr>
                <w:noProof/>
                <w:lang w:eastAsia="en-AU"/>
              </w:rPr>
              <w:drawing>
                <wp:inline distT="0" distB="0" distL="0" distR="0" wp14:anchorId="7B2CCD73" wp14:editId="00D2BC40">
                  <wp:extent cx="847725" cy="847725"/>
                  <wp:effectExtent l="0" t="0" r="9525" b="9525"/>
                  <wp:docPr id="10" name="people-manage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867537" cy="867537"/>
                          </a:xfrm>
                          <a:prstGeom prst="rect">
                            <a:avLst/>
                          </a:prstGeom>
                          <a:noFill/>
                          <a:ln>
                            <a:noFill/>
                          </a:ln>
                        </pic:spPr>
                      </pic:pic>
                    </a:graphicData>
                  </a:graphic>
                </wp:inline>
              </w:drawing>
            </w:r>
          </w:p>
        </w:tc>
        <w:tc>
          <w:tcPr>
            <w:tcW w:w="2971" w:type="dxa"/>
            <w:gridSpan w:val="2"/>
            <w:tcBorders>
              <w:bottom w:val="single" w:color="BCBEC0" w:sz="4" w:space="0"/>
            </w:tcBorders>
          </w:tcPr>
          <w:p w:rsidRPr="00A8226F" w:rsidR="00556802" w:rsidP="00131261" w:rsidRDefault="00556802" w14:paraId="44D38FD8" w14:textId="77777777">
            <w:pPr>
              <w:pStyle w:val="TableText"/>
              <w:keepNext/>
              <w:rPr>
                <w:b/>
              </w:rPr>
            </w:pPr>
            <w:r>
              <w:rPr>
                <w:b/>
              </w:rPr>
              <w:t>Manage and Develop People</w:t>
            </w:r>
          </w:p>
          <w:p w:rsidRPr="00AA57E3" w:rsidR="00556802" w:rsidP="00131261" w:rsidRDefault="00556802" w14:paraId="034232BB" w14:textId="77777777">
            <w:pPr>
              <w:pStyle w:val="TableText"/>
              <w:keepNext/>
            </w:pPr>
            <w:r>
              <w:t>Engage and motivate staff, and develop capability and potential in others</w:t>
            </w:r>
          </w:p>
        </w:tc>
        <w:tc>
          <w:tcPr>
            <w:tcW w:w="4770" w:type="dxa"/>
            <w:tcBorders>
              <w:bottom w:val="single" w:color="BCBEC0" w:sz="4" w:space="0"/>
            </w:tcBorders>
          </w:tcPr>
          <w:p w:rsidRPr="00AA57E3" w:rsidR="00556802" w:rsidP="00131261" w:rsidRDefault="00556802" w14:paraId="1DA0DA92" w14:textId="77777777">
            <w:pPr>
              <w:pStyle w:val="TableBullet"/>
            </w:pPr>
            <w:r>
              <w:t>Define and clearly communicate roles, responsibilities and performance standards to achieve team outcomes</w:t>
            </w:r>
          </w:p>
          <w:p w:rsidRPr="00AA57E3" w:rsidR="00556802" w:rsidP="00131261" w:rsidRDefault="00556802" w14:paraId="3EEDD414" w14:textId="77777777">
            <w:pPr>
              <w:pStyle w:val="TableBullet"/>
            </w:pPr>
            <w:r>
              <w:t>Adjust performance development processes to meet the diverse abilities and needs of individuals and teams</w:t>
            </w:r>
          </w:p>
          <w:p w:rsidRPr="00AA57E3" w:rsidR="00556802" w:rsidP="00131261" w:rsidRDefault="00556802" w14:paraId="44EDE738" w14:textId="77777777">
            <w:pPr>
              <w:pStyle w:val="TableBullet"/>
            </w:pPr>
            <w:r>
              <w:t>Develop work plans that consider capability, strengths and opportunities for development</w:t>
            </w:r>
          </w:p>
          <w:p w:rsidRPr="00AA57E3" w:rsidR="00556802" w:rsidP="00131261" w:rsidRDefault="00556802" w14:paraId="75CC3505" w14:textId="77777777">
            <w:pPr>
              <w:pStyle w:val="TableBullet"/>
            </w:pPr>
            <w:r>
              <w:t>Be aware of the influences of bias when managing team members</w:t>
            </w:r>
          </w:p>
          <w:p w:rsidRPr="00AA57E3" w:rsidR="00556802" w:rsidP="00131261" w:rsidRDefault="00556802" w14:paraId="361AED50" w14:textId="77777777">
            <w:pPr>
              <w:pStyle w:val="TableBullet"/>
            </w:pPr>
            <w:r>
              <w:t>Seek feedback on own management capabilities and develop strategies to address any gaps</w:t>
            </w:r>
          </w:p>
          <w:p w:rsidRPr="00AA57E3" w:rsidR="00556802" w:rsidP="00131261" w:rsidRDefault="00556802" w14:paraId="420EF080" w14:textId="77777777">
            <w:pPr>
              <w:pStyle w:val="TableBullet"/>
            </w:pPr>
            <w:r>
              <w:t>Address and resolve team and individual performance issues, including unsatisfactory performance, in a timely and effective way</w:t>
            </w:r>
          </w:p>
          <w:p w:rsidRPr="00AA57E3" w:rsidR="00556802" w:rsidP="00131261" w:rsidRDefault="00556802" w14:paraId="522D418E" w14:textId="77777777">
            <w:pPr>
              <w:pStyle w:val="TableBullet"/>
            </w:pPr>
            <w:r>
              <w:t>Monitor and report on team performance in line with established performance development frameworks</w:t>
            </w:r>
          </w:p>
        </w:tc>
        <w:tc>
          <w:tcPr>
            <w:tcW w:w="1606" w:type="dxa"/>
            <w:tcBorders>
              <w:bottom w:val="single" w:color="BCBEC0" w:sz="4" w:space="0"/>
            </w:tcBorders>
          </w:tcPr>
          <w:p w:rsidR="00556802" w:rsidP="00131261" w:rsidRDefault="00556802" w14:paraId="2D38C35F" w14:textId="77777777">
            <w:pPr>
              <w:pStyle w:val="TableBullet"/>
              <w:numPr>
                <w:ilvl w:val="0"/>
                <w:numId w:val="0"/>
              </w:numPr>
              <w:jc w:val="both"/>
            </w:pPr>
            <w:r>
              <w:t>Adept</w:t>
            </w:r>
          </w:p>
        </w:tc>
      </w:tr>
    </w:tbl>
    <w:p w:rsidR="00556802" w:rsidP="00685B34" w:rsidRDefault="00556802" w14:paraId="5E72D63D" w14:textId="77777777">
      <w:pPr>
        <w:pStyle w:val="Heading1"/>
        <w:spacing w:before="240"/>
      </w:pPr>
      <w:r>
        <w:t>Compl</w:t>
      </w:r>
      <w:bookmarkStart w:name="_GoBack" w:id="1"/>
      <w:bookmarkEnd w:id="1"/>
      <w:r>
        <w:t>ementary capabilities</w:t>
      </w:r>
    </w:p>
    <w:p w:rsidRPr="003927AE" w:rsidR="00556802" w:rsidP="00556802" w:rsidRDefault="00556802" w14:paraId="7691C92F" w14:textId="77777777">
      <w:pPr>
        <w:pStyle w:val="PlainText"/>
        <w:spacing w:before="62" w:line="276" w:lineRule="auto"/>
        <w:rPr>
          <w:rFonts w:ascii="Arial" w:hAnsi="Arial" w:eastAsiaTheme="minorEastAsia"/>
          <w:szCs w:val="22"/>
          <w:lang w:val="en-US"/>
        </w:rPr>
      </w:pPr>
      <w:r w:rsidRPr="003927AE">
        <w:rPr>
          <w:rFonts w:ascii="Arial" w:hAnsi="Arial" w:eastAsiaTheme="minorEastAsia"/>
          <w:i/>
          <w:szCs w:val="22"/>
          <w:lang w:val="en-US"/>
        </w:rPr>
        <w:t>Complementary capabilities</w:t>
      </w:r>
      <w:r w:rsidRPr="003927AE">
        <w:rPr>
          <w:rFonts w:ascii="Arial" w:hAnsi="Arial" w:eastAsiaTheme="minorEastAsia"/>
          <w:szCs w:val="22"/>
          <w:lang w:val="en-US"/>
        </w:rPr>
        <w:t xml:space="preserve"> are also identified from the Capability Framework and relevant occupation-specific capability sets. They are important to identifying performance required for the role and development opportunities. </w:t>
      </w:r>
    </w:p>
    <w:p w:rsidR="00556802" w:rsidP="00556802" w:rsidRDefault="00556802" w14:paraId="51E006E9" w14:textId="77777777">
      <w:pPr>
        <w:pStyle w:val="PlainText"/>
        <w:spacing w:before="62" w:line="276" w:lineRule="auto"/>
        <w:rPr>
          <w:rFonts w:ascii="Arial" w:hAnsi="Arial" w:eastAsiaTheme="minorEastAsia"/>
          <w:szCs w:val="22"/>
          <w:lang w:val="en-US"/>
        </w:rPr>
      </w:pPr>
      <w:r w:rsidRPr="003927AE">
        <w:rPr>
          <w:rFonts w:ascii="Arial" w:hAnsi="Arial" w:eastAsiaTheme="minorEastAsia"/>
          <w:szCs w:val="22"/>
          <w:lang w:val="en-US"/>
        </w:rPr>
        <w:t>Note: capabilities listed as ‘not essential’ for this role are not relevant for recruitment purposes however may be relevant for future career development.</w:t>
      </w:r>
    </w:p>
    <w:p w:rsidR="00556802" w:rsidP="00556802" w:rsidRDefault="00556802" w14:paraId="1A75F5C8" w14:textId="77777777">
      <w:pPr>
        <w:pStyle w:val="PlainText"/>
        <w:spacing w:before="62" w:line="276" w:lineRule="auto"/>
        <w:rPr>
          <w:rFonts w:ascii="Arial" w:hAnsi="Arial" w:eastAsiaTheme="minorEastAsia"/>
          <w:szCs w:val="22"/>
          <w:lang w:val="en-US"/>
        </w:rPr>
      </w:pPr>
    </w:p>
    <w:tbl>
      <w:tblPr>
        <w:tblStyle w:val="PSCPurple"/>
        <w:tblW w:w="10753" w:type="dxa"/>
        <w:tblBorders>
          <w:top w:val="single" w:color="BCBEC0" w:sz="8" w:space="0"/>
          <w:bottom w:val="single" w:color="auto" w:sz="12" w:space="0"/>
        </w:tblBorders>
        <w:tblLayout w:type="fixed"/>
        <w:tblLook w:val="04A0" w:firstRow="1" w:lastRow="0" w:firstColumn="1" w:lastColumn="0" w:noHBand="0" w:noVBand="1"/>
        <w:tblCaption w:val="PSC_ComplementaryCapabilityFrameworkTable"/>
      </w:tblPr>
      <w:tblGrid>
        <w:gridCol w:w="1406"/>
        <w:gridCol w:w="2881"/>
        <w:gridCol w:w="90"/>
        <w:gridCol w:w="4770"/>
        <w:gridCol w:w="1606"/>
      </w:tblGrid>
      <w:tr w:rsidRPr="00803E47" w:rsidR="00556802" w:rsidTr="00131261" w14:paraId="7B13AF6B" w14:textId="77777777">
        <w:trPr>
          <w:cnfStyle w:val="100000000000" w:firstRow="1" w:lastRow="0" w:firstColumn="0" w:lastColumn="0" w:oddVBand="0" w:evenVBand="0" w:oddHBand="0" w:evenHBand="0" w:firstRowFirstColumn="0" w:firstRowLastColumn="0" w:lastRowFirstColumn="0" w:lastRowLastColumn="0"/>
          <w:tblHeader/>
        </w:trPr>
        <w:tc>
          <w:tcPr>
            <w:tcW w:w="10753" w:type="dxa"/>
            <w:gridSpan w:val="5"/>
          </w:tcPr>
          <w:p w:rsidRPr="00803E47" w:rsidR="00556802" w:rsidP="00131261" w:rsidRDefault="00556802" w14:paraId="3A62CB07" w14:textId="77777777">
            <w:pPr>
              <w:pStyle w:val="TableTextWhite0"/>
              <w:keepNext/>
              <w:jc w:val="both"/>
            </w:pPr>
            <w:r>
              <w:rPr>
                <w:sz w:val="24"/>
                <w:szCs w:val="24"/>
              </w:rPr>
              <w:t>COMPLEMENTARY</w:t>
            </w:r>
            <w:r w:rsidRPr="00051E80">
              <w:rPr>
                <w:sz w:val="24"/>
                <w:szCs w:val="24"/>
              </w:rPr>
              <w:t xml:space="preserve"> CAPABILITIES</w:t>
            </w:r>
          </w:p>
        </w:tc>
      </w:tr>
      <w:tr w:rsidRPr="00C978B9" w:rsidR="00556802" w:rsidTr="00131261" w14:paraId="1A0C4AAF" w14:textId="77777777">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color="auto" w:sz="12" w:space="0"/>
            </w:tcBorders>
            <w:shd w:val="clear" w:color="auto" w:fill="BCBEC0"/>
            <w:vAlign w:val="center"/>
          </w:tcPr>
          <w:p w:rsidRPr="00C978B9" w:rsidR="00556802" w:rsidP="00131261" w:rsidRDefault="00556802" w14:paraId="3D3DA0F2" w14:textId="77777777">
            <w:pPr>
              <w:pStyle w:val="TableText"/>
              <w:keepNext/>
              <w:rPr>
                <w:b/>
                <w:sz w:val="24"/>
                <w:szCs w:val="24"/>
              </w:rPr>
            </w:pPr>
            <w:r>
              <w:rPr>
                <w:b/>
              </w:rPr>
              <w:t>Capability group/sets</w:t>
            </w:r>
          </w:p>
        </w:tc>
        <w:tc>
          <w:tcPr>
            <w:tcW w:w="2881" w:type="dxa"/>
            <w:tcBorders>
              <w:bottom w:val="single" w:color="auto" w:sz="12" w:space="0"/>
            </w:tcBorders>
            <w:shd w:val="clear" w:color="auto" w:fill="BCBEC0"/>
          </w:tcPr>
          <w:p w:rsidRPr="00C978B9" w:rsidR="00556802" w:rsidP="00131261" w:rsidRDefault="00556802" w14:paraId="00542E2C" w14:textId="77777777">
            <w:pPr>
              <w:pStyle w:val="TableText"/>
              <w:keepNext/>
              <w:rPr>
                <w:b/>
                <w:sz w:val="24"/>
                <w:szCs w:val="24"/>
              </w:rPr>
            </w:pPr>
            <w:r w:rsidRPr="00021C23">
              <w:rPr>
                <w:b/>
              </w:rPr>
              <w:t>Ca</w:t>
            </w:r>
            <w:r>
              <w:rPr>
                <w:b/>
              </w:rPr>
              <w:t>pability name</w:t>
            </w:r>
          </w:p>
        </w:tc>
        <w:tc>
          <w:tcPr>
            <w:tcW w:w="90" w:type="dxa"/>
            <w:tcBorders>
              <w:bottom w:val="single" w:color="auto" w:sz="12" w:space="0"/>
            </w:tcBorders>
            <w:shd w:val="clear" w:color="auto" w:fill="BCBEC0"/>
          </w:tcPr>
          <w:p w:rsidR="00556802" w:rsidP="00131261" w:rsidRDefault="00556802" w14:paraId="387C01B0" w14:textId="77777777">
            <w:pPr>
              <w:pStyle w:val="TableText"/>
              <w:keepNext/>
              <w:rPr>
                <w:b/>
              </w:rPr>
            </w:pPr>
          </w:p>
        </w:tc>
        <w:tc>
          <w:tcPr>
            <w:tcW w:w="4770" w:type="dxa"/>
            <w:tcBorders>
              <w:bottom w:val="single" w:color="auto" w:sz="12" w:space="0"/>
            </w:tcBorders>
            <w:shd w:val="clear" w:color="auto" w:fill="BCBEC0"/>
          </w:tcPr>
          <w:p w:rsidR="00556802" w:rsidP="00131261" w:rsidRDefault="00556802" w14:paraId="08597D28" w14:textId="77777777">
            <w:pPr>
              <w:pStyle w:val="TableText"/>
              <w:keepNext/>
              <w:rPr>
                <w:b/>
              </w:rPr>
            </w:pPr>
            <w:r>
              <w:rPr>
                <w:b/>
              </w:rPr>
              <w:t>Description</w:t>
            </w:r>
          </w:p>
        </w:tc>
        <w:tc>
          <w:tcPr>
            <w:tcW w:w="1606" w:type="dxa"/>
            <w:tcBorders>
              <w:bottom w:val="single" w:color="auto" w:sz="12" w:space="0"/>
            </w:tcBorders>
            <w:shd w:val="clear" w:color="auto" w:fill="BCBEC0"/>
          </w:tcPr>
          <w:p w:rsidR="00556802" w:rsidP="00131261" w:rsidRDefault="00556802" w14:paraId="6C231C94" w14:textId="77777777">
            <w:pPr>
              <w:pStyle w:val="TableText"/>
              <w:keepNext/>
              <w:jc w:val="both"/>
              <w:rPr>
                <w:b/>
              </w:rPr>
            </w:pPr>
            <w:r>
              <w:rPr>
                <w:b/>
              </w:rPr>
              <w:t xml:space="preserve">Level </w:t>
            </w:r>
          </w:p>
        </w:tc>
      </w:tr>
      <w:tr w:rsidRPr="00C978B9" w:rsidR="00556802" w:rsidTr="00131261" w14:paraId="0093C5EE" w14:textId="77777777">
        <w:tc>
          <w:tcPr>
            <w:tcW w:w="1406" w:type="dxa"/>
            <w:tcBorders>
              <w:bottom w:val="single" w:color="BCBEC0" w:sz="4" w:space="0"/>
            </w:tcBorders>
          </w:tcPr>
          <w:p w:rsidRPr="00C978B9" w:rsidR="00556802" w:rsidP="00131261" w:rsidRDefault="00556802" w14:paraId="6499EB39" w14:textId="77777777">
            <w:pPr>
              <w:keepNext/>
            </w:pPr>
            <w:r w:rsidRPr="00C978B9">
              <w:rPr>
                <w:noProof/>
                <w:lang w:eastAsia="en-AU"/>
              </w:rPr>
              <w:drawing>
                <wp:inline distT="0" distB="0" distL="0" distR="0" wp14:anchorId="2F8CA650" wp14:editId="41D51458">
                  <wp:extent cx="848995" cy="848995"/>
                  <wp:effectExtent l="0" t="0" r="8255" b="8255"/>
                  <wp:docPr id="2" name="personal-attribu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850616" cy="850616"/>
                          </a:xfrm>
                          <a:prstGeom prst="rect">
                            <a:avLst/>
                          </a:prstGeom>
                          <a:noFill/>
                          <a:ln>
                            <a:noFill/>
                          </a:ln>
                        </pic:spPr>
                      </pic:pic>
                    </a:graphicData>
                  </a:graphic>
                </wp:inline>
              </w:drawing>
            </w:r>
          </w:p>
        </w:tc>
        <w:tc>
          <w:tcPr>
            <w:tcW w:w="2971" w:type="dxa"/>
            <w:gridSpan w:val="2"/>
            <w:tcBorders>
              <w:bottom w:val="single" w:color="BCBEC0" w:sz="4" w:space="0"/>
            </w:tcBorders>
          </w:tcPr>
          <w:p w:rsidRPr="00AA57E3" w:rsidR="00556802" w:rsidP="00131261" w:rsidRDefault="00556802" w14:paraId="7FE1C6C4" w14:textId="77777777">
            <w:r>
              <w:t>Value Diversity and Inclusion</w:t>
            </w:r>
          </w:p>
        </w:tc>
        <w:tc>
          <w:tcPr>
            <w:tcW w:w="4770" w:type="dxa"/>
            <w:tcBorders>
              <w:bottom w:val="single" w:color="BCBEC0" w:sz="4" w:space="0"/>
            </w:tcBorders>
          </w:tcPr>
          <w:p w:rsidRPr="00AA57E3" w:rsidR="00556802" w:rsidP="00131261" w:rsidRDefault="00556802" w14:paraId="13933DF9" w14:textId="77777777">
            <w:r>
              <w:t>Demonstrate inclusive behaviour and show respect for diverse backgrounds, experiences and perspectives</w:t>
            </w:r>
          </w:p>
        </w:tc>
        <w:tc>
          <w:tcPr>
            <w:tcW w:w="1606" w:type="dxa"/>
            <w:tcBorders>
              <w:bottom w:val="single" w:color="BCBEC0" w:sz="4" w:space="0"/>
            </w:tcBorders>
          </w:tcPr>
          <w:p w:rsidR="00556802" w:rsidP="00131261" w:rsidRDefault="00556802" w14:paraId="12BD3B2C" w14:textId="77777777">
            <w:pPr>
              <w:pStyle w:val="TableBullet"/>
              <w:numPr>
                <w:ilvl w:val="0"/>
                <w:numId w:val="0"/>
              </w:numPr>
              <w:jc w:val="both"/>
            </w:pPr>
            <w:r>
              <w:t>Intermediate</w:t>
            </w:r>
          </w:p>
        </w:tc>
      </w:tr>
      <w:tr w:rsidRPr="00C978B9" w:rsidR="00556802" w:rsidTr="00131261" w14:paraId="42758247" w14:textId="77777777">
        <w:tc>
          <w:tcPr>
            <w:tcW w:w="1406" w:type="dxa"/>
            <w:vMerge w:val="restart"/>
            <w:tcBorders>
              <w:bottom w:val="single" w:color="BCBEC0" w:sz="4" w:space="0"/>
            </w:tcBorders>
          </w:tcPr>
          <w:p w:rsidRPr="00C978B9" w:rsidR="00556802" w:rsidP="00131261" w:rsidRDefault="00556802" w14:paraId="401CDEC1" w14:textId="77777777">
            <w:pPr>
              <w:keepNext/>
            </w:pPr>
            <w:r w:rsidRPr="00C978B9">
              <w:rPr>
                <w:noProof/>
                <w:lang w:eastAsia="en-AU"/>
              </w:rPr>
              <w:drawing>
                <wp:inline distT="0" distB="0" distL="0" distR="0" wp14:anchorId="267A4BAD" wp14:editId="3CB5E398">
                  <wp:extent cx="854016" cy="854016"/>
                  <wp:effectExtent l="0" t="0" r="3810" b="3810"/>
                  <wp:docPr id="3" name="relationshi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871366" cy="871366"/>
                          </a:xfrm>
                          <a:prstGeom prst="rect">
                            <a:avLst/>
                          </a:prstGeom>
                          <a:noFill/>
                          <a:ln>
                            <a:noFill/>
                          </a:ln>
                        </pic:spPr>
                      </pic:pic>
                    </a:graphicData>
                  </a:graphic>
                </wp:inline>
              </w:drawing>
            </w:r>
          </w:p>
        </w:tc>
        <w:tc>
          <w:tcPr>
            <w:tcW w:w="2971" w:type="dxa"/>
            <w:gridSpan w:val="2"/>
            <w:tcBorders>
              <w:bottom w:val="single" w:color="BCBEC0" w:sz="4" w:space="0"/>
            </w:tcBorders>
          </w:tcPr>
          <w:p w:rsidRPr="00AA57E3" w:rsidR="00556802" w:rsidP="00131261" w:rsidRDefault="00556802" w14:paraId="2E9A5ACC" w14:textId="77777777">
            <w:r>
              <w:t>Work Collaboratively</w:t>
            </w:r>
          </w:p>
        </w:tc>
        <w:tc>
          <w:tcPr>
            <w:tcW w:w="4770" w:type="dxa"/>
            <w:tcBorders>
              <w:bottom w:val="single" w:color="BCBEC0" w:sz="4" w:space="0"/>
            </w:tcBorders>
          </w:tcPr>
          <w:p w:rsidRPr="00AA57E3" w:rsidR="00556802" w:rsidP="00131261" w:rsidRDefault="00556802" w14:paraId="729A0A64" w14:textId="77777777">
            <w:r>
              <w:t>Collaborate with others and value their contribution</w:t>
            </w:r>
          </w:p>
        </w:tc>
        <w:tc>
          <w:tcPr>
            <w:tcW w:w="1606" w:type="dxa"/>
            <w:tcBorders>
              <w:bottom w:val="single" w:color="BCBEC0" w:sz="4" w:space="0"/>
            </w:tcBorders>
          </w:tcPr>
          <w:p w:rsidR="00556802" w:rsidP="00131261" w:rsidRDefault="00556802" w14:paraId="1A8D86B5" w14:textId="77777777">
            <w:pPr>
              <w:pStyle w:val="TableBullet"/>
              <w:numPr>
                <w:ilvl w:val="0"/>
                <w:numId w:val="0"/>
              </w:numPr>
              <w:jc w:val="both"/>
            </w:pPr>
            <w:r>
              <w:t>Adept</w:t>
            </w:r>
          </w:p>
        </w:tc>
      </w:tr>
      <w:tr w:rsidRPr="00C978B9" w:rsidR="00556802" w:rsidTr="00131261" w14:paraId="75BD9550" w14:textId="77777777">
        <w:tc>
          <w:tcPr>
            <w:tcW w:w="1406" w:type="dxa"/>
            <w:vMerge/>
            <w:tcBorders>
              <w:bottom w:val="single" w:color="BCBEC0" w:sz="4" w:space="0"/>
            </w:tcBorders>
          </w:tcPr>
          <w:p w:rsidR="00556802" w:rsidP="00131261" w:rsidRDefault="00556802" w14:paraId="3113C44C" w14:textId="77777777">
            <w:pPr>
              <w:keepNext/>
              <w:rPr>
                <w:noProof/>
                <w:lang w:eastAsia="en-AU"/>
              </w:rPr>
            </w:pPr>
          </w:p>
        </w:tc>
        <w:tc>
          <w:tcPr>
            <w:tcW w:w="2971" w:type="dxa"/>
            <w:gridSpan w:val="2"/>
            <w:tcBorders>
              <w:bottom w:val="single" w:color="BCBEC0" w:sz="4" w:space="0"/>
            </w:tcBorders>
          </w:tcPr>
          <w:p w:rsidRPr="00A8226F" w:rsidR="00556802" w:rsidP="00131261" w:rsidRDefault="00556802" w14:paraId="5E5E5DAA" w14:textId="77777777">
            <w:r>
              <w:t>Influence and Negotiate</w:t>
            </w:r>
          </w:p>
        </w:tc>
        <w:tc>
          <w:tcPr>
            <w:tcW w:w="4770" w:type="dxa"/>
            <w:tcBorders>
              <w:bottom w:val="single" w:color="BCBEC0" w:sz="4" w:space="0"/>
            </w:tcBorders>
          </w:tcPr>
          <w:p w:rsidR="00556802" w:rsidP="00131261" w:rsidRDefault="00556802" w14:paraId="653C3C97" w14:textId="77777777">
            <w:r>
              <w:t>Gain consensus and commitment from others, and resolve issues and conflicts</w:t>
            </w:r>
          </w:p>
        </w:tc>
        <w:tc>
          <w:tcPr>
            <w:tcW w:w="1606" w:type="dxa"/>
            <w:tcBorders>
              <w:bottom w:val="single" w:color="BCBEC0" w:sz="4" w:space="0"/>
            </w:tcBorders>
          </w:tcPr>
          <w:p w:rsidR="00556802" w:rsidP="00131261" w:rsidRDefault="00556802" w14:paraId="52ED5408" w14:textId="77777777">
            <w:pPr>
              <w:pStyle w:val="TableBullet"/>
              <w:numPr>
                <w:ilvl w:val="0"/>
                <w:numId w:val="0"/>
              </w:numPr>
              <w:jc w:val="both"/>
            </w:pPr>
            <w:r>
              <w:t>Adept</w:t>
            </w:r>
          </w:p>
        </w:tc>
      </w:tr>
      <w:tr w:rsidRPr="00C978B9" w:rsidR="00556802" w:rsidTr="00131261" w14:paraId="38A37B53" w14:textId="77777777">
        <w:tc>
          <w:tcPr>
            <w:tcW w:w="1406" w:type="dxa"/>
            <w:vMerge w:val="restart"/>
            <w:tcBorders>
              <w:bottom w:val="single" w:color="BCBEC0" w:sz="4" w:space="0"/>
            </w:tcBorders>
          </w:tcPr>
          <w:p w:rsidRPr="00C978B9" w:rsidR="00556802" w:rsidP="00131261" w:rsidRDefault="00556802" w14:paraId="0516192C" w14:textId="77777777">
            <w:pPr>
              <w:keepNext/>
            </w:pPr>
            <w:r w:rsidRPr="00C978B9">
              <w:rPr>
                <w:noProof/>
                <w:lang w:eastAsia="en-AU"/>
              </w:rPr>
              <w:drawing>
                <wp:inline distT="0" distB="0" distL="0" distR="0" wp14:anchorId="28E91D74" wp14:editId="121BBFD0">
                  <wp:extent cx="854015" cy="854015"/>
                  <wp:effectExtent l="0" t="0" r="3810" b="3810"/>
                  <wp:docPr id="4" name="resul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857406" cy="857406"/>
                          </a:xfrm>
                          <a:prstGeom prst="rect">
                            <a:avLst/>
                          </a:prstGeom>
                          <a:noFill/>
                          <a:ln>
                            <a:noFill/>
                          </a:ln>
                        </pic:spPr>
                      </pic:pic>
                    </a:graphicData>
                  </a:graphic>
                </wp:inline>
              </w:drawing>
            </w:r>
          </w:p>
        </w:tc>
        <w:tc>
          <w:tcPr>
            <w:tcW w:w="2971" w:type="dxa"/>
            <w:gridSpan w:val="2"/>
            <w:tcBorders>
              <w:bottom w:val="single" w:color="BCBEC0" w:sz="4" w:space="0"/>
            </w:tcBorders>
          </w:tcPr>
          <w:p w:rsidRPr="00AA57E3" w:rsidR="00556802" w:rsidP="00131261" w:rsidRDefault="00556802" w14:paraId="3BD0713F" w14:textId="77777777">
            <w:r>
              <w:t>Deliver Results</w:t>
            </w:r>
          </w:p>
        </w:tc>
        <w:tc>
          <w:tcPr>
            <w:tcW w:w="4770" w:type="dxa"/>
            <w:tcBorders>
              <w:bottom w:val="single" w:color="BCBEC0" w:sz="4" w:space="0"/>
            </w:tcBorders>
          </w:tcPr>
          <w:p w:rsidRPr="00AA57E3" w:rsidR="00556802" w:rsidP="00131261" w:rsidRDefault="00556802" w14:paraId="46954392" w14:textId="77777777">
            <w:r>
              <w:t>Achieve results through the efficient use of resources and a commitment to quality outcomes</w:t>
            </w:r>
          </w:p>
        </w:tc>
        <w:tc>
          <w:tcPr>
            <w:tcW w:w="1606" w:type="dxa"/>
            <w:tcBorders>
              <w:bottom w:val="single" w:color="BCBEC0" w:sz="4" w:space="0"/>
            </w:tcBorders>
          </w:tcPr>
          <w:p w:rsidR="00556802" w:rsidP="00131261" w:rsidRDefault="00556802" w14:paraId="674E0F07" w14:textId="77777777">
            <w:pPr>
              <w:pStyle w:val="TableBullet"/>
              <w:numPr>
                <w:ilvl w:val="0"/>
                <w:numId w:val="0"/>
              </w:numPr>
              <w:jc w:val="both"/>
            </w:pPr>
            <w:r>
              <w:t>Adept</w:t>
            </w:r>
          </w:p>
        </w:tc>
      </w:tr>
      <w:tr w:rsidRPr="00C978B9" w:rsidR="00556802" w:rsidTr="00131261" w14:paraId="5E56E521" w14:textId="77777777">
        <w:tc>
          <w:tcPr>
            <w:tcW w:w="1406" w:type="dxa"/>
            <w:vMerge/>
            <w:tcBorders>
              <w:bottom w:val="single" w:color="BCBEC0" w:sz="4" w:space="0"/>
            </w:tcBorders>
          </w:tcPr>
          <w:p w:rsidR="00556802" w:rsidP="00131261" w:rsidRDefault="00556802" w14:paraId="72BEFBB0" w14:textId="77777777">
            <w:pPr>
              <w:keepNext/>
              <w:rPr>
                <w:noProof/>
                <w:lang w:eastAsia="en-AU"/>
              </w:rPr>
            </w:pPr>
          </w:p>
        </w:tc>
        <w:tc>
          <w:tcPr>
            <w:tcW w:w="2971" w:type="dxa"/>
            <w:gridSpan w:val="2"/>
            <w:tcBorders>
              <w:bottom w:val="single" w:color="BCBEC0" w:sz="4" w:space="0"/>
            </w:tcBorders>
          </w:tcPr>
          <w:p w:rsidRPr="00A8226F" w:rsidR="00556802" w:rsidP="00131261" w:rsidRDefault="00556802" w14:paraId="23CA754B" w14:textId="77777777">
            <w:r>
              <w:t>Plan and Prioritise</w:t>
            </w:r>
          </w:p>
        </w:tc>
        <w:tc>
          <w:tcPr>
            <w:tcW w:w="4770" w:type="dxa"/>
            <w:tcBorders>
              <w:bottom w:val="single" w:color="BCBEC0" w:sz="4" w:space="0"/>
            </w:tcBorders>
          </w:tcPr>
          <w:p w:rsidR="00556802" w:rsidP="00131261" w:rsidRDefault="00556802" w14:paraId="29027685" w14:textId="77777777">
            <w:r>
              <w:t>Plan to achieve priority outcomes and respond flexibly to changing circumstances</w:t>
            </w:r>
          </w:p>
        </w:tc>
        <w:tc>
          <w:tcPr>
            <w:tcW w:w="1606" w:type="dxa"/>
            <w:tcBorders>
              <w:bottom w:val="single" w:color="BCBEC0" w:sz="4" w:space="0"/>
            </w:tcBorders>
          </w:tcPr>
          <w:p w:rsidR="00556802" w:rsidP="00131261" w:rsidRDefault="00556802" w14:paraId="5E898F9A" w14:textId="77777777">
            <w:pPr>
              <w:pStyle w:val="TableBullet"/>
              <w:numPr>
                <w:ilvl w:val="0"/>
                <w:numId w:val="0"/>
              </w:numPr>
              <w:jc w:val="both"/>
            </w:pPr>
            <w:r>
              <w:t>Adept</w:t>
            </w:r>
          </w:p>
        </w:tc>
      </w:tr>
      <w:tr w:rsidRPr="00C978B9" w:rsidR="00556802" w:rsidTr="00131261" w14:paraId="39A6D3BC" w14:textId="77777777">
        <w:tc>
          <w:tcPr>
            <w:tcW w:w="1406" w:type="dxa"/>
            <w:vMerge w:val="restart"/>
            <w:tcBorders>
              <w:bottom w:val="single" w:color="BCBEC0" w:sz="4" w:space="0"/>
            </w:tcBorders>
          </w:tcPr>
          <w:p w:rsidRPr="00C978B9" w:rsidR="00556802" w:rsidP="00131261" w:rsidRDefault="00556802" w14:paraId="46A10931" w14:textId="77777777">
            <w:pPr>
              <w:keepNext/>
            </w:pPr>
            <w:r w:rsidRPr="00C978B9">
              <w:rPr>
                <w:noProof/>
                <w:lang w:eastAsia="en-AU"/>
              </w:rPr>
              <w:drawing>
                <wp:inline distT="0" distB="0" distL="0" distR="0" wp14:anchorId="4D9A4BC7" wp14:editId="3359FA7E">
                  <wp:extent cx="845388" cy="845388"/>
                  <wp:effectExtent l="0" t="0" r="0" b="0"/>
                  <wp:docPr id="5" name="business-enabl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852188" cy="852188"/>
                          </a:xfrm>
                          <a:prstGeom prst="rect">
                            <a:avLst/>
                          </a:prstGeom>
                          <a:noFill/>
                          <a:ln>
                            <a:noFill/>
                          </a:ln>
                        </pic:spPr>
                      </pic:pic>
                    </a:graphicData>
                  </a:graphic>
                </wp:inline>
              </w:drawing>
            </w:r>
          </w:p>
        </w:tc>
        <w:tc>
          <w:tcPr>
            <w:tcW w:w="2971" w:type="dxa"/>
            <w:gridSpan w:val="2"/>
            <w:tcBorders>
              <w:bottom w:val="single" w:color="BCBEC0" w:sz="4" w:space="0"/>
            </w:tcBorders>
          </w:tcPr>
          <w:p w:rsidRPr="00AA57E3" w:rsidR="00556802" w:rsidP="00131261" w:rsidRDefault="00556802" w14:paraId="2AEA6D5A" w14:textId="77777777">
            <w:r>
              <w:t>Finance</w:t>
            </w:r>
          </w:p>
        </w:tc>
        <w:tc>
          <w:tcPr>
            <w:tcW w:w="4770" w:type="dxa"/>
            <w:tcBorders>
              <w:bottom w:val="single" w:color="BCBEC0" w:sz="4" w:space="0"/>
            </w:tcBorders>
          </w:tcPr>
          <w:p w:rsidRPr="00AA57E3" w:rsidR="00556802" w:rsidP="00131261" w:rsidRDefault="00556802" w14:paraId="7E71D348" w14:textId="77777777">
            <w:r>
              <w:t>Understand and apply financial processes to achieve value for money and minimise financial risk</w:t>
            </w:r>
          </w:p>
        </w:tc>
        <w:tc>
          <w:tcPr>
            <w:tcW w:w="1606" w:type="dxa"/>
            <w:tcBorders>
              <w:bottom w:val="single" w:color="BCBEC0" w:sz="4" w:space="0"/>
            </w:tcBorders>
          </w:tcPr>
          <w:p w:rsidR="00556802" w:rsidP="00131261" w:rsidRDefault="00556802" w14:paraId="6FC37D32" w14:textId="77777777">
            <w:pPr>
              <w:pStyle w:val="TableBullet"/>
              <w:numPr>
                <w:ilvl w:val="0"/>
                <w:numId w:val="0"/>
              </w:numPr>
              <w:jc w:val="both"/>
            </w:pPr>
            <w:r>
              <w:t>Intermediate</w:t>
            </w:r>
          </w:p>
        </w:tc>
      </w:tr>
      <w:tr w:rsidRPr="00C978B9" w:rsidR="00556802" w:rsidTr="00131261" w14:paraId="5CA86CC7" w14:textId="77777777">
        <w:tc>
          <w:tcPr>
            <w:tcW w:w="1406" w:type="dxa"/>
            <w:vMerge/>
            <w:tcBorders>
              <w:bottom w:val="single" w:color="BCBEC0" w:sz="4" w:space="0"/>
            </w:tcBorders>
          </w:tcPr>
          <w:p w:rsidR="00556802" w:rsidP="00131261" w:rsidRDefault="00556802" w14:paraId="5015B4C7" w14:textId="77777777">
            <w:pPr>
              <w:keepNext/>
              <w:rPr>
                <w:noProof/>
                <w:lang w:eastAsia="en-AU"/>
              </w:rPr>
            </w:pPr>
          </w:p>
        </w:tc>
        <w:tc>
          <w:tcPr>
            <w:tcW w:w="2971" w:type="dxa"/>
            <w:gridSpan w:val="2"/>
            <w:tcBorders>
              <w:bottom w:val="single" w:color="BCBEC0" w:sz="4" w:space="0"/>
            </w:tcBorders>
          </w:tcPr>
          <w:p w:rsidRPr="00A8226F" w:rsidR="00556802" w:rsidP="00131261" w:rsidRDefault="00556802" w14:paraId="6BC51C31" w14:textId="77777777">
            <w:r>
              <w:t>Procurement and Contract Management</w:t>
            </w:r>
          </w:p>
        </w:tc>
        <w:tc>
          <w:tcPr>
            <w:tcW w:w="4770" w:type="dxa"/>
            <w:tcBorders>
              <w:bottom w:val="single" w:color="BCBEC0" w:sz="4" w:space="0"/>
            </w:tcBorders>
          </w:tcPr>
          <w:p w:rsidR="00556802" w:rsidP="00131261" w:rsidRDefault="00556802" w14:paraId="03D78535" w14:textId="77777777">
            <w:r>
              <w:t>Understand and apply procurement processes to ensure effective purchasing and contract performance</w:t>
            </w:r>
          </w:p>
        </w:tc>
        <w:tc>
          <w:tcPr>
            <w:tcW w:w="1606" w:type="dxa"/>
            <w:tcBorders>
              <w:bottom w:val="single" w:color="BCBEC0" w:sz="4" w:space="0"/>
            </w:tcBorders>
          </w:tcPr>
          <w:p w:rsidR="00556802" w:rsidP="00131261" w:rsidRDefault="00556802" w14:paraId="7E1DEA0A" w14:textId="77777777">
            <w:pPr>
              <w:pStyle w:val="TableBullet"/>
              <w:numPr>
                <w:ilvl w:val="0"/>
                <w:numId w:val="0"/>
              </w:numPr>
              <w:jc w:val="both"/>
            </w:pPr>
            <w:r>
              <w:t>Intermediate</w:t>
            </w:r>
          </w:p>
        </w:tc>
      </w:tr>
      <w:tr w:rsidRPr="00C978B9" w:rsidR="00556802" w:rsidTr="00131261" w14:paraId="0F2E6E06" w14:textId="77777777">
        <w:tc>
          <w:tcPr>
            <w:tcW w:w="1406" w:type="dxa"/>
            <w:vMerge w:val="restart"/>
            <w:tcBorders>
              <w:bottom w:val="single" w:color="BCBEC0" w:sz="4" w:space="0"/>
            </w:tcBorders>
          </w:tcPr>
          <w:p w:rsidRPr="00C978B9" w:rsidR="00556802" w:rsidP="00131261" w:rsidRDefault="00556802" w14:paraId="446204E8" w14:textId="77777777">
            <w:pPr>
              <w:keepNext/>
            </w:pPr>
            <w:r w:rsidRPr="00C978B9">
              <w:rPr>
                <w:noProof/>
                <w:lang w:eastAsia="en-AU"/>
              </w:rPr>
              <w:drawing>
                <wp:inline distT="0" distB="0" distL="0" distR="0" wp14:anchorId="1DEB8E84" wp14:editId="70C71027">
                  <wp:extent cx="847725" cy="847725"/>
                  <wp:effectExtent l="0" t="0" r="9525" b="9525"/>
                  <wp:docPr id="6" name="people-manage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867537" cy="867537"/>
                          </a:xfrm>
                          <a:prstGeom prst="rect">
                            <a:avLst/>
                          </a:prstGeom>
                          <a:noFill/>
                          <a:ln>
                            <a:noFill/>
                          </a:ln>
                        </pic:spPr>
                      </pic:pic>
                    </a:graphicData>
                  </a:graphic>
                </wp:inline>
              </w:drawing>
            </w:r>
          </w:p>
        </w:tc>
        <w:tc>
          <w:tcPr>
            <w:tcW w:w="2971" w:type="dxa"/>
            <w:gridSpan w:val="2"/>
            <w:tcBorders>
              <w:bottom w:val="single" w:color="BCBEC0" w:sz="4" w:space="0"/>
            </w:tcBorders>
          </w:tcPr>
          <w:p w:rsidRPr="00AA57E3" w:rsidR="00556802" w:rsidP="00131261" w:rsidRDefault="00556802" w14:paraId="7F63005C" w14:textId="77777777">
            <w:r>
              <w:t>Inspire Direction and Purpose</w:t>
            </w:r>
          </w:p>
        </w:tc>
        <w:tc>
          <w:tcPr>
            <w:tcW w:w="4770" w:type="dxa"/>
            <w:tcBorders>
              <w:bottom w:val="single" w:color="BCBEC0" w:sz="4" w:space="0"/>
            </w:tcBorders>
          </w:tcPr>
          <w:p w:rsidRPr="00AA57E3" w:rsidR="00556802" w:rsidP="00131261" w:rsidRDefault="00556802" w14:paraId="1411BF96" w14:textId="77777777">
            <w:r>
              <w:t>Communicate goals, priorities and vision, and recognise achievements</w:t>
            </w:r>
          </w:p>
        </w:tc>
        <w:tc>
          <w:tcPr>
            <w:tcW w:w="1606" w:type="dxa"/>
            <w:tcBorders>
              <w:bottom w:val="single" w:color="BCBEC0" w:sz="4" w:space="0"/>
            </w:tcBorders>
          </w:tcPr>
          <w:p w:rsidR="00556802" w:rsidP="00131261" w:rsidRDefault="00556802" w14:paraId="07EFA235" w14:textId="77777777">
            <w:pPr>
              <w:pStyle w:val="TableBullet"/>
              <w:numPr>
                <w:ilvl w:val="0"/>
                <w:numId w:val="0"/>
              </w:numPr>
              <w:jc w:val="both"/>
            </w:pPr>
            <w:r>
              <w:t>Adept</w:t>
            </w:r>
          </w:p>
        </w:tc>
      </w:tr>
      <w:tr w:rsidRPr="00C978B9" w:rsidR="00556802" w:rsidTr="00131261" w14:paraId="20F0CC4A" w14:textId="77777777">
        <w:tc>
          <w:tcPr>
            <w:tcW w:w="1406" w:type="dxa"/>
            <w:vMerge/>
            <w:tcBorders>
              <w:bottom w:val="single" w:color="BCBEC0" w:sz="4" w:space="0"/>
            </w:tcBorders>
          </w:tcPr>
          <w:p w:rsidR="00556802" w:rsidP="00131261" w:rsidRDefault="00556802" w14:paraId="033F9A73" w14:textId="77777777">
            <w:pPr>
              <w:keepNext/>
              <w:rPr>
                <w:noProof/>
                <w:lang w:eastAsia="en-AU"/>
              </w:rPr>
            </w:pPr>
          </w:p>
        </w:tc>
        <w:tc>
          <w:tcPr>
            <w:tcW w:w="2971" w:type="dxa"/>
            <w:gridSpan w:val="2"/>
            <w:tcBorders>
              <w:bottom w:val="single" w:color="BCBEC0" w:sz="4" w:space="0"/>
            </w:tcBorders>
          </w:tcPr>
          <w:p w:rsidRPr="00A8226F" w:rsidR="00556802" w:rsidP="00131261" w:rsidRDefault="00556802" w14:paraId="3A14DF15" w14:textId="77777777">
            <w:r>
              <w:t>Optimise Business Outcomes</w:t>
            </w:r>
          </w:p>
        </w:tc>
        <w:tc>
          <w:tcPr>
            <w:tcW w:w="4770" w:type="dxa"/>
            <w:tcBorders>
              <w:bottom w:val="single" w:color="BCBEC0" w:sz="4" w:space="0"/>
            </w:tcBorders>
          </w:tcPr>
          <w:p w:rsidR="00556802" w:rsidP="00131261" w:rsidRDefault="00556802" w14:paraId="4DBEF00A" w14:textId="77777777">
            <w:r>
              <w:t>Manage people and resources effectively to achieve public value</w:t>
            </w:r>
          </w:p>
        </w:tc>
        <w:tc>
          <w:tcPr>
            <w:tcW w:w="1606" w:type="dxa"/>
            <w:tcBorders>
              <w:bottom w:val="single" w:color="BCBEC0" w:sz="4" w:space="0"/>
            </w:tcBorders>
          </w:tcPr>
          <w:p w:rsidR="00556802" w:rsidP="00131261" w:rsidRDefault="00556802" w14:paraId="310B7E15" w14:textId="77777777">
            <w:pPr>
              <w:pStyle w:val="TableBullet"/>
              <w:numPr>
                <w:ilvl w:val="0"/>
                <w:numId w:val="0"/>
              </w:numPr>
              <w:jc w:val="both"/>
            </w:pPr>
            <w:r>
              <w:t>Adept</w:t>
            </w:r>
          </w:p>
        </w:tc>
      </w:tr>
      <w:tr w:rsidRPr="00C978B9" w:rsidR="00556802" w:rsidTr="00131261" w14:paraId="1930AD96" w14:textId="77777777">
        <w:tc>
          <w:tcPr>
            <w:tcW w:w="1406" w:type="dxa"/>
            <w:vMerge/>
            <w:tcBorders>
              <w:bottom w:val="single" w:color="BCBEC0" w:sz="4" w:space="0"/>
            </w:tcBorders>
          </w:tcPr>
          <w:p w:rsidR="00556802" w:rsidP="00131261" w:rsidRDefault="00556802" w14:paraId="50D9F27F" w14:textId="77777777">
            <w:pPr>
              <w:keepNext/>
              <w:rPr>
                <w:noProof/>
                <w:lang w:eastAsia="en-AU"/>
              </w:rPr>
            </w:pPr>
          </w:p>
        </w:tc>
        <w:tc>
          <w:tcPr>
            <w:tcW w:w="2971" w:type="dxa"/>
            <w:gridSpan w:val="2"/>
            <w:tcBorders>
              <w:bottom w:val="single" w:color="BCBEC0" w:sz="4" w:space="0"/>
            </w:tcBorders>
          </w:tcPr>
          <w:p w:rsidRPr="00A8226F" w:rsidR="00556802" w:rsidP="00131261" w:rsidRDefault="00556802" w14:paraId="5438D424" w14:textId="77777777">
            <w:r>
              <w:t>Manage Reform and Change</w:t>
            </w:r>
          </w:p>
        </w:tc>
        <w:tc>
          <w:tcPr>
            <w:tcW w:w="4770" w:type="dxa"/>
            <w:tcBorders>
              <w:bottom w:val="single" w:color="BCBEC0" w:sz="4" w:space="0"/>
            </w:tcBorders>
          </w:tcPr>
          <w:p w:rsidR="00556802" w:rsidP="00131261" w:rsidRDefault="00556802" w14:paraId="232F5966" w14:textId="77777777">
            <w:r>
              <w:t>Support, promote and champion change, and assist others to engage with change</w:t>
            </w:r>
          </w:p>
        </w:tc>
        <w:tc>
          <w:tcPr>
            <w:tcW w:w="1606" w:type="dxa"/>
            <w:tcBorders>
              <w:bottom w:val="single" w:color="BCBEC0" w:sz="4" w:space="0"/>
            </w:tcBorders>
          </w:tcPr>
          <w:p w:rsidR="00556802" w:rsidP="00131261" w:rsidRDefault="00556802" w14:paraId="6A855C3E" w14:textId="77777777">
            <w:pPr>
              <w:pStyle w:val="TableBullet"/>
              <w:numPr>
                <w:ilvl w:val="0"/>
                <w:numId w:val="0"/>
              </w:numPr>
              <w:jc w:val="both"/>
            </w:pPr>
            <w:r>
              <w:t>Adept</w:t>
            </w:r>
          </w:p>
        </w:tc>
      </w:tr>
    </w:tbl>
    <w:p w:rsidR="00556802" w:rsidP="00556802" w:rsidRDefault="00556802" w14:paraId="7B801F04" w14:textId="77777777">
      <w:pPr>
        <w:pStyle w:val="PlainText"/>
        <w:spacing w:before="62" w:line="276" w:lineRule="auto"/>
        <w:rPr>
          <w:rFonts w:ascii="Arial" w:hAnsi="Arial" w:eastAsiaTheme="minorEastAsia"/>
          <w:szCs w:val="22"/>
          <w:lang w:val="en-US"/>
        </w:rPr>
      </w:pPr>
    </w:p>
    <w:sectPr w:rsidR="00556802" w:rsidSect="00845A0F">
      <w:footerReference w:type="default" r:id="rId18"/>
      <w:headerReference w:type="first" r:id="rId19"/>
      <w:footerReference w:type="first" r:id="rId20"/>
      <w:pgSz w:w="12240" w:h="15840" w:orient="portrait"/>
      <w:pgMar w:top="851" w:right="720" w:bottom="720" w:left="72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72BA" w:rsidP="00BB532F" w:rsidRDefault="00C172BA" w14:paraId="36169A75" w14:textId="77777777">
      <w:pPr>
        <w:spacing w:after="0" w:line="240" w:lineRule="auto"/>
      </w:pPr>
      <w:r>
        <w:separator/>
      </w:r>
    </w:p>
  </w:endnote>
  <w:endnote w:type="continuationSeparator" w:id="0">
    <w:p w:rsidR="00C172BA" w:rsidP="00BB532F" w:rsidRDefault="00C172BA" w14:paraId="0257A5B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MT">
    <w:altName w:val="Arial"/>
    <w:charset w:val="01"/>
    <w:family w:val="swiss"/>
    <w:pitch w:val="variable"/>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tbl>
    <w:tblPr>
      <w:tblStyle w:val="TableGrid"/>
      <w:tblW w:w="5000"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010"/>
      <w:gridCol w:w="556"/>
      <w:gridCol w:w="5234"/>
    </w:tblGrid>
    <w:tr w:rsidR="00D15085" w:rsidTr="00C03AFD" w14:paraId="7A72FA4B" w14:textId="77777777">
      <w:tc>
        <w:tcPr>
          <w:tcW w:w="2250" w:type="pct"/>
          <w:vAlign w:val="center"/>
        </w:tcPr>
        <w:p w:rsidR="00D15085" w:rsidP="00D0090C" w:rsidRDefault="00D15085" w14:paraId="158A0A4B" w14:textId="2E901354">
          <w:pPr>
            <w:pStyle w:val="Footer"/>
          </w:pPr>
          <w:r w:rsidRPr="00C03AFD">
            <w:rPr>
              <w:color w:val="928B81"/>
              <w:sz w:val="18"/>
            </w:rPr>
            <w:t xml:space="preserve">Role </w:t>
          </w:r>
          <w:proofErr w:type="gramStart"/>
          <w:r w:rsidRPr="00C03AFD">
            <w:rPr>
              <w:color w:val="928B81"/>
              <w:sz w:val="18"/>
            </w:rPr>
            <w:t>Description</w:t>
          </w:r>
          <w:r w:rsidRPr="00C03AFD">
            <w:rPr>
              <w:color w:val="595959" w:themeColor="text1" w:themeTint="A6"/>
              <w:sz w:val="18"/>
            </w:rPr>
            <w:t xml:space="preserve">  </w:t>
          </w:r>
          <w:r w:rsidRPr="00AD0B07" w:rsidR="00227A39">
            <w:rPr>
              <w:color w:val="000000" w:themeColor="text1"/>
              <w:sz w:val="18"/>
            </w:rPr>
            <w:t>Manager</w:t>
          </w:r>
          <w:proofErr w:type="gramEnd"/>
          <w:r w:rsidRPr="00AD0B07" w:rsidR="00227A39">
            <w:rPr>
              <w:color w:val="000000" w:themeColor="text1"/>
              <w:sz w:val="18"/>
            </w:rPr>
            <w:t xml:space="preserve"> </w:t>
          </w:r>
          <w:r w:rsidR="00EA6249">
            <w:rPr>
              <w:color w:val="000000" w:themeColor="text1"/>
              <w:sz w:val="18"/>
            </w:rPr>
            <w:t>Engagement</w:t>
          </w:r>
        </w:p>
      </w:tc>
      <w:tc>
        <w:tcPr>
          <w:tcW w:w="250" w:type="pct"/>
          <w:vAlign w:val="center"/>
        </w:tcPr>
        <w:p w:rsidRPr="00C03AFD" w:rsidR="00D15085" w:rsidP="00C03AFD" w:rsidRDefault="00351481" w14:paraId="6BB9A7D9" w14:textId="1E97570F">
          <w:pPr>
            <w:pStyle w:val="Footer"/>
            <w:jc w:val="center"/>
            <w:rPr>
              <w:color w:val="928B81"/>
            </w:rPr>
          </w:pPr>
          <w:r w:rsidRPr="00C03AFD">
            <w:rPr>
              <w:noProof/>
              <w:color w:val="928B81"/>
              <w:sz w:val="18"/>
              <w:lang w:eastAsia="en-AU"/>
            </w:rPr>
            <w:fldChar w:fldCharType="begin"/>
          </w:r>
          <w:r w:rsidRPr="00C03AFD" w:rsidR="00D15085">
            <w:rPr>
              <w:noProof/>
              <w:color w:val="928B81"/>
              <w:sz w:val="18"/>
              <w:lang w:eastAsia="en-AU"/>
            </w:rPr>
            <w:instrText xml:space="preserve"> PAGE  \* Arabic </w:instrText>
          </w:r>
          <w:r w:rsidRPr="00C03AFD">
            <w:rPr>
              <w:noProof/>
              <w:color w:val="928B81"/>
              <w:sz w:val="18"/>
              <w:lang w:eastAsia="en-AU"/>
            </w:rPr>
            <w:fldChar w:fldCharType="separate"/>
          </w:r>
          <w:r w:rsidR="004A3A18">
            <w:rPr>
              <w:noProof/>
              <w:color w:val="928B81"/>
              <w:sz w:val="18"/>
              <w:lang w:eastAsia="en-AU"/>
            </w:rPr>
            <w:t>2</w:t>
          </w:r>
          <w:r w:rsidRPr="00C03AFD">
            <w:rPr>
              <w:noProof/>
              <w:color w:val="928B81"/>
              <w:sz w:val="18"/>
              <w:lang w:eastAsia="en-AU"/>
            </w:rPr>
            <w:fldChar w:fldCharType="end"/>
          </w:r>
        </w:p>
      </w:tc>
      <w:tc>
        <w:tcPr>
          <w:tcW w:w="2350" w:type="pct"/>
        </w:tcPr>
        <w:p w:rsidR="00D15085" w:rsidP="00C03AFD" w:rsidRDefault="00556802" w14:paraId="4C693069" w14:textId="77777777">
          <w:pPr>
            <w:pStyle w:val="Footer"/>
            <w:jc w:val="right"/>
          </w:pPr>
          <w:r>
            <w:rPr>
              <w:noProof/>
              <w:lang w:val="en-AU" w:eastAsia="en-AU"/>
            </w:rPr>
            <w:drawing>
              <wp:inline distT="0" distB="0" distL="0" distR="0" wp14:anchorId="63AF64E5" wp14:editId="5ABE9D13">
                <wp:extent cx="432000" cy="452144"/>
                <wp:effectExtent l="0" t="0" r="6350" b="508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2000" cy="452144"/>
                        </a:xfrm>
                        <a:prstGeom prst="rect">
                          <a:avLst/>
                        </a:prstGeom>
                      </pic:spPr>
                    </pic:pic>
                  </a:graphicData>
                </a:graphic>
              </wp:inline>
            </w:drawing>
          </w:r>
        </w:p>
      </w:tc>
    </w:tr>
  </w:tbl>
  <w:p w:rsidR="00D15085" w:rsidRDefault="00D15085" w14:paraId="27F8FA6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tbl>
    <w:tblPr>
      <w:tblW w:w="10880" w:type="dxa"/>
      <w:tblInd w:w="-90" w:type="dxa"/>
      <w:tblLayout w:type="fixed"/>
      <w:tblCellMar>
        <w:left w:w="0" w:type="dxa"/>
        <w:right w:w="0" w:type="dxa"/>
      </w:tblCellMar>
      <w:tblLook w:val="04A0" w:firstRow="1" w:lastRow="0" w:firstColumn="1" w:lastColumn="0" w:noHBand="0" w:noVBand="1"/>
    </w:tblPr>
    <w:tblGrid>
      <w:gridCol w:w="10005"/>
      <w:gridCol w:w="875"/>
    </w:tblGrid>
    <w:tr w:rsidR="00D15085" w:rsidTr="0047547E" w14:paraId="20D097D5" w14:textId="77777777">
      <w:trPr>
        <w:trHeight w:val="811"/>
      </w:trPr>
      <w:tc>
        <w:tcPr>
          <w:tcW w:w="10005" w:type="dxa"/>
          <w:vAlign w:val="bottom"/>
        </w:tcPr>
        <w:p w:rsidRPr="00051237" w:rsidR="00D15085" w:rsidP="00F63915" w:rsidRDefault="00D15085" w14:paraId="438E81D5" w14:textId="745A33EC">
          <w:pPr>
            <w:pStyle w:val="Footer"/>
            <w:tabs>
              <w:tab w:val="center" w:pos="5315"/>
            </w:tabs>
          </w:pPr>
          <w:r>
            <w:rPr>
              <w:color w:val="000000" w:themeColor="text1"/>
            </w:rPr>
            <w:tab/>
          </w:r>
          <w:r>
            <w:rPr>
              <w:color w:val="000000" w:themeColor="text1"/>
            </w:rPr>
            <w:ptab w:alignment="center" w:relativeTo="indent" w:leader="none"/>
          </w:r>
          <w:r w:rsidR="00351481">
            <w:rPr>
              <w:noProof/>
              <w:lang w:eastAsia="en-AU"/>
            </w:rPr>
            <w:fldChar w:fldCharType="begin"/>
          </w:r>
          <w:r>
            <w:rPr>
              <w:noProof/>
              <w:lang w:eastAsia="en-AU"/>
            </w:rPr>
            <w:instrText xml:space="preserve"> PAGE  \* Arabic </w:instrText>
          </w:r>
          <w:r w:rsidR="00351481">
            <w:rPr>
              <w:noProof/>
              <w:lang w:eastAsia="en-AU"/>
            </w:rPr>
            <w:fldChar w:fldCharType="separate"/>
          </w:r>
          <w:r w:rsidR="004A3A18">
            <w:rPr>
              <w:noProof/>
              <w:lang w:eastAsia="en-AU"/>
            </w:rPr>
            <w:t>1</w:t>
          </w:r>
          <w:r w:rsidR="00351481">
            <w:rPr>
              <w:noProof/>
              <w:lang w:eastAsia="en-AU"/>
            </w:rPr>
            <w:fldChar w:fldCharType="end"/>
          </w:r>
        </w:p>
      </w:tc>
      <w:tc>
        <w:tcPr>
          <w:tcW w:w="875" w:type="dxa"/>
        </w:tcPr>
        <w:p w:rsidR="00D15085" w:rsidP="00F63915" w:rsidRDefault="00556802" w14:paraId="4D17B03B" w14:textId="77777777">
          <w:pPr>
            <w:pStyle w:val="Footer"/>
            <w:jc w:val="right"/>
          </w:pPr>
          <w:r>
            <w:rPr>
              <w:noProof/>
              <w:lang w:val="en-AU" w:eastAsia="en-AU"/>
            </w:rPr>
            <w:drawing>
              <wp:inline distT="0" distB="0" distL="0" distR="0" wp14:anchorId="61E79732" wp14:editId="0CA03CE6">
                <wp:extent cx="432000" cy="452144"/>
                <wp:effectExtent l="0" t="0" r="6350" b="508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2000" cy="452144"/>
                        </a:xfrm>
                        <a:prstGeom prst="rect">
                          <a:avLst/>
                        </a:prstGeom>
                      </pic:spPr>
                    </pic:pic>
                  </a:graphicData>
                </a:graphic>
              </wp:inline>
            </w:drawing>
          </w:r>
        </w:p>
      </w:tc>
    </w:tr>
  </w:tbl>
  <w:p w:rsidR="00D15085" w:rsidRDefault="00D15085" w14:paraId="7D5D9C6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72BA" w:rsidP="00BB532F" w:rsidRDefault="00C172BA" w14:paraId="15CEF9A5" w14:textId="77777777">
      <w:pPr>
        <w:spacing w:after="0" w:line="240" w:lineRule="auto"/>
      </w:pPr>
      <w:r>
        <w:separator/>
      </w:r>
    </w:p>
  </w:footnote>
  <w:footnote w:type="continuationSeparator" w:id="0">
    <w:p w:rsidR="00C172BA" w:rsidP="00BB532F" w:rsidRDefault="00C172BA" w14:paraId="3BB56379"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tbl>
    <w:tblPr>
      <w:tblStyle w:val="TableGrid"/>
      <w:tblW w:w="1070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038"/>
      <w:gridCol w:w="3665"/>
    </w:tblGrid>
    <w:tr w:rsidR="00D15085" w:rsidTr="00685B34" w14:paraId="117794E4" w14:textId="77777777">
      <w:trPr>
        <w:trHeight w:val="1337"/>
      </w:trPr>
      <w:tc>
        <w:tcPr>
          <w:tcW w:w="7038" w:type="dxa"/>
          <w:vAlign w:val="center"/>
        </w:tcPr>
        <w:p w:rsidRPr="001E49B2" w:rsidR="00D15085" w:rsidP="00685B34" w:rsidRDefault="00D15085" w14:paraId="535219A2" w14:textId="77777777">
          <w:pPr>
            <w:pStyle w:val="TitleSub"/>
            <w:spacing w:after="0"/>
            <w:rPr>
              <w:rFonts w:ascii="Arial" w:hAnsi="Arial" w:cs="Arial"/>
            </w:rPr>
          </w:pPr>
          <w:r w:rsidRPr="001E49B2">
            <w:rPr>
              <w:rFonts w:ascii="Arial" w:hAnsi="Arial" w:cs="Arial"/>
            </w:rPr>
            <w:t xml:space="preserve">Role Description </w:t>
          </w:r>
        </w:p>
        <w:p w:rsidRPr="001E49B2" w:rsidR="00D15085" w:rsidP="009A16FF" w:rsidRDefault="00227A39" w14:paraId="0FAE2BA7" w14:textId="0AA7D6FC">
          <w:pPr>
            <w:pStyle w:val="TitleSub"/>
            <w:spacing w:after="0"/>
            <w:rPr>
              <w:rFonts w:ascii="Arial" w:hAnsi="Arial" w:cs="Arial"/>
              <w:b/>
            </w:rPr>
          </w:pPr>
          <w:r>
            <w:rPr>
              <w:rFonts w:ascii="Arial" w:hAnsi="Arial" w:cs="Arial"/>
              <w:b/>
            </w:rPr>
            <w:t>Manager</w:t>
          </w:r>
          <w:r w:rsidR="00D15085">
            <w:rPr>
              <w:rFonts w:ascii="Arial" w:hAnsi="Arial" w:cs="Arial"/>
              <w:b/>
            </w:rPr>
            <w:t xml:space="preserve"> </w:t>
          </w:r>
          <w:r w:rsidR="00B52633">
            <w:rPr>
              <w:rFonts w:ascii="Arial" w:hAnsi="Arial" w:cs="Arial"/>
              <w:b/>
            </w:rPr>
            <w:t>Engagement</w:t>
          </w:r>
        </w:p>
      </w:tc>
      <w:tc>
        <w:tcPr>
          <w:tcW w:w="3665" w:type="dxa"/>
          <w:vAlign w:val="center"/>
        </w:tcPr>
        <w:p w:rsidR="001B50CD" w:rsidP="00685B34" w:rsidRDefault="00845A0F" w14:paraId="27CD6A4E" w14:textId="4967CB31">
          <w:pPr>
            <w:jc w:val="right"/>
          </w:pPr>
          <w:r>
            <w:rPr>
              <w:noProof/>
              <w:lang w:eastAsia="en-AU"/>
            </w:rPr>
            <w:drawing>
              <wp:anchor distT="0" distB="0" distL="114300" distR="114300" simplePos="0" relativeHeight="251658240" behindDoc="0" locked="0" layoutInCell="1" allowOverlap="1" wp14:anchorId="5BF178FF" wp14:editId="23FF80A0">
                <wp:simplePos x="0" y="0"/>
                <wp:positionH relativeFrom="column">
                  <wp:posOffset>403225</wp:posOffset>
                </wp:positionH>
                <wp:positionV relativeFrom="paragraph">
                  <wp:posOffset>-4445</wp:posOffset>
                </wp:positionV>
                <wp:extent cx="1804035" cy="564515"/>
                <wp:effectExtent l="0" t="0" r="5715" b="6985"/>
                <wp:wrapSquare wrapText="bothSides"/>
                <wp:docPr id="15" name="Picture 1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NS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4035" cy="564515"/>
                        </a:xfrm>
                        <a:prstGeom prst="rect">
                          <a:avLst/>
                        </a:prstGeom>
                      </pic:spPr>
                    </pic:pic>
                  </a:graphicData>
                </a:graphic>
                <wp14:sizeRelH relativeFrom="margin">
                  <wp14:pctWidth>0</wp14:pctWidth>
                </wp14:sizeRelH>
                <wp14:sizeRelV relativeFrom="margin">
                  <wp14:pctHeight>0</wp14:pctHeight>
                </wp14:sizeRelV>
              </wp:anchor>
            </w:drawing>
          </w:r>
        </w:p>
        <w:p w:rsidRPr="001B50CD" w:rsidR="00D15085" w:rsidP="00685B34" w:rsidRDefault="001B50CD" w14:paraId="0E73F480" w14:textId="45437EE4">
          <w:pPr>
            <w:tabs>
              <w:tab w:val="left" w:pos="1185"/>
            </w:tabs>
            <w:jc w:val="right"/>
          </w:pPr>
          <w:r>
            <w:tab/>
          </w:r>
        </w:p>
      </w:tc>
    </w:tr>
  </w:tbl>
  <w:p w:rsidR="00D15085" w:rsidP="00A2122C" w:rsidRDefault="00D15085" w14:paraId="33979FC2" w14:textId="17A1C6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2A10028"/>
    <w:multiLevelType w:val="hybridMultilevel"/>
    <w:tmpl w:val="7843A7E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hint="default" w:ascii="Symbol" w:hAnsi="Symbol"/>
      </w:rPr>
    </w:lvl>
  </w:abstractNum>
  <w:abstractNum w:abstractNumId="2" w15:restartNumberingAfterBreak="0">
    <w:nsid w:val="03934E8C"/>
    <w:multiLevelType w:val="hybridMultilevel"/>
    <w:tmpl w:val="49F0DC2C"/>
    <w:lvl w:ilvl="0" w:tplc="C03C3BEA">
      <w:start w:val="1"/>
      <w:numFmt w:val="bullet"/>
      <w:lvlText w:val=""/>
      <w:lvlJc w:val="left"/>
      <w:pPr>
        <w:ind w:left="360" w:hanging="360"/>
      </w:pPr>
      <w:rPr>
        <w:rFonts w:hint="default" w:ascii="Wingdings" w:hAnsi="Wingdings"/>
        <w:color w:val="auto"/>
      </w:rPr>
    </w:lvl>
    <w:lvl w:ilvl="1" w:tplc="0C090003" w:tentative="1">
      <w:start w:val="1"/>
      <w:numFmt w:val="bullet"/>
      <w:lvlText w:val="o"/>
      <w:lvlJc w:val="left"/>
      <w:pPr>
        <w:ind w:left="1080" w:hanging="360"/>
      </w:pPr>
      <w:rPr>
        <w:rFonts w:hint="default" w:ascii="Courier New" w:hAnsi="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rPr>
    </w:lvl>
    <w:lvl w:ilvl="8" w:tplc="0C090005" w:tentative="1">
      <w:start w:val="1"/>
      <w:numFmt w:val="bullet"/>
      <w:lvlText w:val=""/>
      <w:lvlJc w:val="left"/>
      <w:pPr>
        <w:ind w:left="6120" w:hanging="360"/>
      </w:pPr>
      <w:rPr>
        <w:rFonts w:hint="default" w:ascii="Wingdings" w:hAnsi="Wingdings"/>
      </w:rPr>
    </w:lvl>
  </w:abstractNum>
  <w:abstractNum w:abstractNumId="3" w15:restartNumberingAfterBreak="0">
    <w:nsid w:val="04BB38D8"/>
    <w:multiLevelType w:val="hybridMultilevel"/>
    <w:tmpl w:val="5484DE70"/>
    <w:lvl w:ilvl="0" w:tplc="0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07C824EB"/>
    <w:multiLevelType w:val="hybridMultilevel"/>
    <w:tmpl w:val="EDBCE7F8"/>
    <w:lvl w:ilvl="0" w:tplc="C03C3BEA">
      <w:start w:val="1"/>
      <w:numFmt w:val="bullet"/>
      <w:lvlText w:val=""/>
      <w:lvlJc w:val="left"/>
      <w:pPr>
        <w:ind w:left="360" w:hanging="360"/>
      </w:pPr>
      <w:rPr>
        <w:rFonts w:hint="default" w:ascii="Wingdings" w:hAnsi="Wingdings"/>
        <w:color w:val="auto"/>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0B6C5D0B"/>
    <w:multiLevelType w:val="hybridMultilevel"/>
    <w:tmpl w:val="CE6226C8"/>
    <w:lvl w:ilvl="0" w:tplc="0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18133BCE"/>
    <w:multiLevelType w:val="hybridMultilevel"/>
    <w:tmpl w:val="3C6E9134"/>
    <w:lvl w:ilvl="0" w:tplc="C03C3BEA">
      <w:start w:val="1"/>
      <w:numFmt w:val="bullet"/>
      <w:lvlText w:val=""/>
      <w:lvlJc w:val="left"/>
      <w:pPr>
        <w:ind w:left="360" w:hanging="360"/>
      </w:pPr>
      <w:rPr>
        <w:rFonts w:hint="default" w:ascii="Wingdings" w:hAnsi="Wingdings"/>
        <w:color w:val="auto"/>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7" w15:restartNumberingAfterBreak="0">
    <w:nsid w:val="18174077"/>
    <w:multiLevelType w:val="hybridMultilevel"/>
    <w:tmpl w:val="438C7DA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9EF1316"/>
    <w:multiLevelType w:val="hybridMultilevel"/>
    <w:tmpl w:val="31C8232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1A183D2B"/>
    <w:multiLevelType w:val="multilevel"/>
    <w:tmpl w:val="3EC436AC"/>
    <w:lvl w:ilvl="0">
      <w:start w:val="1"/>
      <w:numFmt w:val="bullet"/>
      <w:lvlText w:val=""/>
      <w:lvlJc w:val="left"/>
      <w:pPr>
        <w:tabs>
          <w:tab w:val="num" w:pos="720"/>
        </w:tabs>
        <w:ind w:left="720" w:hanging="360"/>
      </w:pPr>
      <w:rPr>
        <w:rFonts w:hint="default" w:ascii="Symbol" w:hAnsi="Symbol"/>
        <w:sz w:val="20"/>
      </w:rPr>
    </w:lvl>
    <w:lvl w:ilvl="1">
      <w:numFmt w:val="bullet"/>
      <w:lvlText w:val="•"/>
      <w:lvlJc w:val="left"/>
      <w:pPr>
        <w:ind w:left="1440" w:hanging="360"/>
      </w:pPr>
      <w:rPr>
        <w:rFonts w:hint="default" w:ascii="Arial" w:hAnsi="Arial" w:cs="Arial" w:eastAsiaTheme="minorEastAsia"/>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10" w15:restartNumberingAfterBreak="0">
    <w:nsid w:val="1A5B38EC"/>
    <w:multiLevelType w:val="singleLevel"/>
    <w:tmpl w:val="72964ECE"/>
    <w:lvl w:ilvl="0">
      <w:start w:val="1"/>
      <w:numFmt w:val="bullet"/>
      <w:lvlText w:val=""/>
      <w:lvlJc w:val="left"/>
      <w:pPr>
        <w:tabs>
          <w:tab w:val="num" w:pos="720"/>
        </w:tabs>
        <w:ind w:left="720" w:hanging="360"/>
      </w:pPr>
      <w:rPr>
        <w:rFonts w:hint="default" w:ascii="Symbol" w:hAnsi="Symbol"/>
      </w:rPr>
    </w:lvl>
  </w:abstractNum>
  <w:abstractNum w:abstractNumId="11" w15:restartNumberingAfterBreak="0">
    <w:nsid w:val="26AE21D5"/>
    <w:multiLevelType w:val="hybridMultilevel"/>
    <w:tmpl w:val="39AA9BC0"/>
    <w:lvl w:ilvl="0" w:tplc="5546F8F8">
      <w:start w:val="1"/>
      <w:numFmt w:val="bullet"/>
      <w:lvlText w:val=""/>
      <w:lvlJc w:val="left"/>
      <w:pPr>
        <w:ind w:left="720" w:hanging="360"/>
      </w:pPr>
      <w:rPr>
        <w:rFonts w:hint="default" w:ascii="Symbol" w:hAnsi="Symbol"/>
      </w:rPr>
    </w:lvl>
    <w:lvl w:ilvl="1" w:tplc="E5127AE6" w:tentative="1">
      <w:start w:val="1"/>
      <w:numFmt w:val="bullet"/>
      <w:lvlText w:val="o"/>
      <w:lvlJc w:val="left"/>
      <w:pPr>
        <w:ind w:left="1440" w:hanging="360"/>
      </w:pPr>
      <w:rPr>
        <w:rFonts w:hint="default" w:ascii="Courier New" w:hAnsi="Courier New" w:cs="Courier New"/>
      </w:rPr>
    </w:lvl>
    <w:lvl w:ilvl="2" w:tplc="527E21DA" w:tentative="1">
      <w:start w:val="1"/>
      <w:numFmt w:val="bullet"/>
      <w:lvlText w:val=""/>
      <w:lvlJc w:val="left"/>
      <w:pPr>
        <w:ind w:left="2160" w:hanging="360"/>
      </w:pPr>
      <w:rPr>
        <w:rFonts w:hint="default" w:ascii="Wingdings" w:hAnsi="Wingdings"/>
      </w:rPr>
    </w:lvl>
    <w:lvl w:ilvl="3" w:tplc="26D07714" w:tentative="1">
      <w:start w:val="1"/>
      <w:numFmt w:val="bullet"/>
      <w:lvlText w:val=""/>
      <w:lvlJc w:val="left"/>
      <w:pPr>
        <w:ind w:left="2880" w:hanging="360"/>
      </w:pPr>
      <w:rPr>
        <w:rFonts w:hint="default" w:ascii="Symbol" w:hAnsi="Symbol"/>
      </w:rPr>
    </w:lvl>
    <w:lvl w:ilvl="4" w:tplc="9BEC3DBA" w:tentative="1">
      <w:start w:val="1"/>
      <w:numFmt w:val="bullet"/>
      <w:lvlText w:val="o"/>
      <w:lvlJc w:val="left"/>
      <w:pPr>
        <w:ind w:left="3600" w:hanging="360"/>
      </w:pPr>
      <w:rPr>
        <w:rFonts w:hint="default" w:ascii="Courier New" w:hAnsi="Courier New" w:cs="Courier New"/>
      </w:rPr>
    </w:lvl>
    <w:lvl w:ilvl="5" w:tplc="96746588" w:tentative="1">
      <w:start w:val="1"/>
      <w:numFmt w:val="bullet"/>
      <w:lvlText w:val=""/>
      <w:lvlJc w:val="left"/>
      <w:pPr>
        <w:ind w:left="4320" w:hanging="360"/>
      </w:pPr>
      <w:rPr>
        <w:rFonts w:hint="default" w:ascii="Wingdings" w:hAnsi="Wingdings"/>
      </w:rPr>
    </w:lvl>
    <w:lvl w:ilvl="6" w:tplc="ABE89610" w:tentative="1">
      <w:start w:val="1"/>
      <w:numFmt w:val="bullet"/>
      <w:lvlText w:val=""/>
      <w:lvlJc w:val="left"/>
      <w:pPr>
        <w:ind w:left="5040" w:hanging="360"/>
      </w:pPr>
      <w:rPr>
        <w:rFonts w:hint="default" w:ascii="Symbol" w:hAnsi="Symbol"/>
      </w:rPr>
    </w:lvl>
    <w:lvl w:ilvl="7" w:tplc="8AA8D518" w:tentative="1">
      <w:start w:val="1"/>
      <w:numFmt w:val="bullet"/>
      <w:lvlText w:val="o"/>
      <w:lvlJc w:val="left"/>
      <w:pPr>
        <w:ind w:left="5760" w:hanging="360"/>
      </w:pPr>
      <w:rPr>
        <w:rFonts w:hint="default" w:ascii="Courier New" w:hAnsi="Courier New" w:cs="Courier New"/>
      </w:rPr>
    </w:lvl>
    <w:lvl w:ilvl="8" w:tplc="8DD80BC2" w:tentative="1">
      <w:start w:val="1"/>
      <w:numFmt w:val="bullet"/>
      <w:lvlText w:val=""/>
      <w:lvlJc w:val="left"/>
      <w:pPr>
        <w:ind w:left="6480" w:hanging="360"/>
      </w:pPr>
      <w:rPr>
        <w:rFonts w:hint="default" w:ascii="Wingdings" w:hAnsi="Wingdings"/>
      </w:rPr>
    </w:lvl>
  </w:abstractNum>
  <w:abstractNum w:abstractNumId="12" w15:restartNumberingAfterBreak="0">
    <w:nsid w:val="2C2420BC"/>
    <w:multiLevelType w:val="hybridMultilevel"/>
    <w:tmpl w:val="ED6CFA92"/>
    <w:lvl w:ilvl="0" w:tplc="3DCC2578">
      <w:numFmt w:val="bullet"/>
      <w:lvlText w:val=""/>
      <w:lvlJc w:val="left"/>
      <w:pPr>
        <w:ind w:left="1342" w:hanging="360"/>
      </w:pPr>
      <w:rPr>
        <w:rFonts w:hint="default" w:ascii="Symbol" w:hAnsi="Symbol" w:eastAsia="Symbol" w:cs="Symbol"/>
        <w:w w:val="99"/>
        <w:sz w:val="20"/>
        <w:szCs w:val="20"/>
        <w:lang w:val="en-US" w:eastAsia="en-US" w:bidi="ar-SA"/>
      </w:rPr>
    </w:lvl>
    <w:lvl w:ilvl="1" w:tplc="E03C1DAA">
      <w:numFmt w:val="bullet"/>
      <w:lvlText w:val="•"/>
      <w:lvlJc w:val="left"/>
      <w:pPr>
        <w:ind w:left="1961" w:hanging="360"/>
      </w:pPr>
      <w:rPr>
        <w:rFonts w:hint="default"/>
        <w:lang w:val="en-US" w:eastAsia="en-US" w:bidi="ar-SA"/>
      </w:rPr>
    </w:lvl>
    <w:lvl w:ilvl="2" w:tplc="4A04D9E2">
      <w:numFmt w:val="bullet"/>
      <w:lvlText w:val="•"/>
      <w:lvlJc w:val="left"/>
      <w:pPr>
        <w:ind w:left="2582" w:hanging="360"/>
      </w:pPr>
      <w:rPr>
        <w:rFonts w:hint="default"/>
        <w:lang w:val="en-US" w:eastAsia="en-US" w:bidi="ar-SA"/>
      </w:rPr>
    </w:lvl>
    <w:lvl w:ilvl="3" w:tplc="56209BC2">
      <w:numFmt w:val="bullet"/>
      <w:lvlText w:val="•"/>
      <w:lvlJc w:val="left"/>
      <w:pPr>
        <w:ind w:left="3203" w:hanging="360"/>
      </w:pPr>
      <w:rPr>
        <w:rFonts w:hint="default"/>
        <w:lang w:val="en-US" w:eastAsia="en-US" w:bidi="ar-SA"/>
      </w:rPr>
    </w:lvl>
    <w:lvl w:ilvl="4" w:tplc="080E3F74">
      <w:numFmt w:val="bullet"/>
      <w:lvlText w:val="•"/>
      <w:lvlJc w:val="left"/>
      <w:pPr>
        <w:ind w:left="3825" w:hanging="360"/>
      </w:pPr>
      <w:rPr>
        <w:rFonts w:hint="default"/>
        <w:lang w:val="en-US" w:eastAsia="en-US" w:bidi="ar-SA"/>
      </w:rPr>
    </w:lvl>
    <w:lvl w:ilvl="5" w:tplc="D340E9B8">
      <w:numFmt w:val="bullet"/>
      <w:lvlText w:val="•"/>
      <w:lvlJc w:val="left"/>
      <w:pPr>
        <w:ind w:left="4446" w:hanging="360"/>
      </w:pPr>
      <w:rPr>
        <w:rFonts w:hint="default"/>
        <w:lang w:val="en-US" w:eastAsia="en-US" w:bidi="ar-SA"/>
      </w:rPr>
    </w:lvl>
    <w:lvl w:ilvl="6" w:tplc="CEA07DEC">
      <w:numFmt w:val="bullet"/>
      <w:lvlText w:val="•"/>
      <w:lvlJc w:val="left"/>
      <w:pPr>
        <w:ind w:left="5067" w:hanging="360"/>
      </w:pPr>
      <w:rPr>
        <w:rFonts w:hint="default"/>
        <w:lang w:val="en-US" w:eastAsia="en-US" w:bidi="ar-SA"/>
      </w:rPr>
    </w:lvl>
    <w:lvl w:ilvl="7" w:tplc="5176B0B2">
      <w:numFmt w:val="bullet"/>
      <w:lvlText w:val="•"/>
      <w:lvlJc w:val="left"/>
      <w:pPr>
        <w:ind w:left="5689" w:hanging="360"/>
      </w:pPr>
      <w:rPr>
        <w:rFonts w:hint="default"/>
        <w:lang w:val="en-US" w:eastAsia="en-US" w:bidi="ar-SA"/>
      </w:rPr>
    </w:lvl>
    <w:lvl w:ilvl="8" w:tplc="4F7A4D5C">
      <w:numFmt w:val="bullet"/>
      <w:lvlText w:val="•"/>
      <w:lvlJc w:val="left"/>
      <w:pPr>
        <w:ind w:left="6310" w:hanging="360"/>
      </w:pPr>
      <w:rPr>
        <w:rFonts w:hint="default"/>
        <w:lang w:val="en-US" w:eastAsia="en-US" w:bidi="ar-SA"/>
      </w:rPr>
    </w:lvl>
  </w:abstractNum>
  <w:abstractNum w:abstractNumId="13" w15:restartNumberingAfterBreak="0">
    <w:nsid w:val="2F050FE3"/>
    <w:multiLevelType w:val="multilevel"/>
    <w:tmpl w:val="3A7ACEB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4" w15:restartNumberingAfterBreak="0">
    <w:nsid w:val="4BD86339"/>
    <w:multiLevelType w:val="hybridMultilevel"/>
    <w:tmpl w:val="7BA260EC"/>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15" w15:restartNumberingAfterBreak="0">
    <w:nsid w:val="66BA2EB3"/>
    <w:multiLevelType w:val="hybridMultilevel"/>
    <w:tmpl w:val="5CE65024"/>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6" w15:restartNumberingAfterBreak="0">
    <w:nsid w:val="67EF7D71"/>
    <w:multiLevelType w:val="hybridMultilevel"/>
    <w:tmpl w:val="6738622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
  </w:num>
  <w:num w:numId="2">
    <w:abstractNumId w:val="8"/>
  </w:num>
  <w:num w:numId="3">
    <w:abstractNumId w:val="11"/>
  </w:num>
  <w:num w:numId="4">
    <w:abstractNumId w:val="5"/>
  </w:num>
  <w:num w:numId="5">
    <w:abstractNumId w:val="3"/>
  </w:num>
  <w:num w:numId="6">
    <w:abstractNumId w:val="16"/>
  </w:num>
  <w:num w:numId="7">
    <w:abstractNumId w:val="6"/>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
  </w:num>
  <w:num w:numId="15">
    <w:abstractNumId w:val="11"/>
  </w:num>
  <w:num w:numId="16">
    <w:abstractNumId w:val="13"/>
  </w:num>
  <w:num w:numId="17">
    <w:abstractNumId w:val="9"/>
  </w:num>
  <w:num w:numId="18">
    <w:abstractNumId w:val="10"/>
  </w:num>
  <w:num w:numId="19">
    <w:abstractNumId w:val="12"/>
  </w:num>
  <w:num w:numId="20">
    <w:abstractNumId w:val="14"/>
  </w:num>
  <w:num w:numId="21">
    <w:abstractNumId w:val="7"/>
  </w:num>
  <w:num w:numId="22">
    <w:abstractNumId w:val="0"/>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trackRevisions w:val="false"/>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32F"/>
    <w:rsid w:val="00002237"/>
    <w:rsid w:val="000050C8"/>
    <w:rsid w:val="00005219"/>
    <w:rsid w:val="0001016C"/>
    <w:rsid w:val="00011BAF"/>
    <w:rsid w:val="00015873"/>
    <w:rsid w:val="00016CBF"/>
    <w:rsid w:val="0001706E"/>
    <w:rsid w:val="00017B6A"/>
    <w:rsid w:val="00020023"/>
    <w:rsid w:val="00022223"/>
    <w:rsid w:val="00023FAA"/>
    <w:rsid w:val="00026543"/>
    <w:rsid w:val="00027E23"/>
    <w:rsid w:val="00030565"/>
    <w:rsid w:val="0003263C"/>
    <w:rsid w:val="00035639"/>
    <w:rsid w:val="0003564E"/>
    <w:rsid w:val="00037FD5"/>
    <w:rsid w:val="000477E1"/>
    <w:rsid w:val="0005565D"/>
    <w:rsid w:val="00060B58"/>
    <w:rsid w:val="000645C8"/>
    <w:rsid w:val="00067161"/>
    <w:rsid w:val="00076C54"/>
    <w:rsid w:val="000A2621"/>
    <w:rsid w:val="000B428C"/>
    <w:rsid w:val="000C3CC8"/>
    <w:rsid w:val="000D12B3"/>
    <w:rsid w:val="000D799A"/>
    <w:rsid w:val="000E2481"/>
    <w:rsid w:val="000F0A47"/>
    <w:rsid w:val="000F231F"/>
    <w:rsid w:val="000F25A8"/>
    <w:rsid w:val="00104E9D"/>
    <w:rsid w:val="00104EC7"/>
    <w:rsid w:val="00124F04"/>
    <w:rsid w:val="001270BC"/>
    <w:rsid w:val="001336E8"/>
    <w:rsid w:val="0013413E"/>
    <w:rsid w:val="00134F5E"/>
    <w:rsid w:val="00150A10"/>
    <w:rsid w:val="00153F10"/>
    <w:rsid w:val="00165754"/>
    <w:rsid w:val="001671DC"/>
    <w:rsid w:val="00176B47"/>
    <w:rsid w:val="0018091E"/>
    <w:rsid w:val="001815E8"/>
    <w:rsid w:val="00185ABC"/>
    <w:rsid w:val="00187039"/>
    <w:rsid w:val="00194A32"/>
    <w:rsid w:val="001A00F1"/>
    <w:rsid w:val="001A025F"/>
    <w:rsid w:val="001A1AA1"/>
    <w:rsid w:val="001A1EC8"/>
    <w:rsid w:val="001A4F0B"/>
    <w:rsid w:val="001B184E"/>
    <w:rsid w:val="001B1F0F"/>
    <w:rsid w:val="001B50CD"/>
    <w:rsid w:val="001B5DFD"/>
    <w:rsid w:val="001B75A6"/>
    <w:rsid w:val="001C0E5F"/>
    <w:rsid w:val="001C2248"/>
    <w:rsid w:val="001C5166"/>
    <w:rsid w:val="001C5A46"/>
    <w:rsid w:val="001D097C"/>
    <w:rsid w:val="001E2792"/>
    <w:rsid w:val="001E27DB"/>
    <w:rsid w:val="001E49B2"/>
    <w:rsid w:val="001F2503"/>
    <w:rsid w:val="001F3F9E"/>
    <w:rsid w:val="00201E8B"/>
    <w:rsid w:val="00205A8A"/>
    <w:rsid w:val="00211F68"/>
    <w:rsid w:val="002207BE"/>
    <w:rsid w:val="00225036"/>
    <w:rsid w:val="00227A39"/>
    <w:rsid w:val="00237421"/>
    <w:rsid w:val="00240608"/>
    <w:rsid w:val="00240A8E"/>
    <w:rsid w:val="002624C7"/>
    <w:rsid w:val="00263ACB"/>
    <w:rsid w:val="002802B6"/>
    <w:rsid w:val="0028314F"/>
    <w:rsid w:val="00284F97"/>
    <w:rsid w:val="00287C54"/>
    <w:rsid w:val="002A648F"/>
    <w:rsid w:val="002B0B83"/>
    <w:rsid w:val="002B1F76"/>
    <w:rsid w:val="002C2823"/>
    <w:rsid w:val="002D36BB"/>
    <w:rsid w:val="002E0967"/>
    <w:rsid w:val="002E0F2A"/>
    <w:rsid w:val="002E52E7"/>
    <w:rsid w:val="002F02E4"/>
    <w:rsid w:val="00301747"/>
    <w:rsid w:val="00306EBE"/>
    <w:rsid w:val="00307BD4"/>
    <w:rsid w:val="00325E9D"/>
    <w:rsid w:val="00327F5C"/>
    <w:rsid w:val="00340ADC"/>
    <w:rsid w:val="003410F1"/>
    <w:rsid w:val="00343491"/>
    <w:rsid w:val="00345199"/>
    <w:rsid w:val="00346D51"/>
    <w:rsid w:val="00351481"/>
    <w:rsid w:val="00351826"/>
    <w:rsid w:val="00357E82"/>
    <w:rsid w:val="00372A99"/>
    <w:rsid w:val="00373737"/>
    <w:rsid w:val="00375289"/>
    <w:rsid w:val="00377118"/>
    <w:rsid w:val="00393425"/>
    <w:rsid w:val="0039395B"/>
    <w:rsid w:val="003A2AFA"/>
    <w:rsid w:val="003A3538"/>
    <w:rsid w:val="003B0F42"/>
    <w:rsid w:val="003B403A"/>
    <w:rsid w:val="003C00FD"/>
    <w:rsid w:val="003C031F"/>
    <w:rsid w:val="003C5EB3"/>
    <w:rsid w:val="003D5227"/>
    <w:rsid w:val="003E2663"/>
    <w:rsid w:val="00411F3E"/>
    <w:rsid w:val="0041525E"/>
    <w:rsid w:val="004203B4"/>
    <w:rsid w:val="00436621"/>
    <w:rsid w:val="004421E6"/>
    <w:rsid w:val="00442732"/>
    <w:rsid w:val="004628FF"/>
    <w:rsid w:val="00466287"/>
    <w:rsid w:val="0047547E"/>
    <w:rsid w:val="00481554"/>
    <w:rsid w:val="00492AA6"/>
    <w:rsid w:val="00493360"/>
    <w:rsid w:val="004A3A18"/>
    <w:rsid w:val="004B24BD"/>
    <w:rsid w:val="004C45E2"/>
    <w:rsid w:val="004D0C22"/>
    <w:rsid w:val="004D27C8"/>
    <w:rsid w:val="004D3EB4"/>
    <w:rsid w:val="004E44A5"/>
    <w:rsid w:val="004E474E"/>
    <w:rsid w:val="004E7F32"/>
    <w:rsid w:val="004F1B5A"/>
    <w:rsid w:val="00502DBF"/>
    <w:rsid w:val="00521D19"/>
    <w:rsid w:val="00523CFF"/>
    <w:rsid w:val="00527FCF"/>
    <w:rsid w:val="005307BA"/>
    <w:rsid w:val="00536F6F"/>
    <w:rsid w:val="00544C1D"/>
    <w:rsid w:val="00545AC6"/>
    <w:rsid w:val="00551038"/>
    <w:rsid w:val="00556802"/>
    <w:rsid w:val="005712B3"/>
    <w:rsid w:val="00571645"/>
    <w:rsid w:val="00575BE1"/>
    <w:rsid w:val="0059035B"/>
    <w:rsid w:val="005B10E1"/>
    <w:rsid w:val="005B5053"/>
    <w:rsid w:val="005C6089"/>
    <w:rsid w:val="005C7AF5"/>
    <w:rsid w:val="005D3EF9"/>
    <w:rsid w:val="005D71EA"/>
    <w:rsid w:val="005E6C59"/>
    <w:rsid w:val="005E75FC"/>
    <w:rsid w:val="005F5FD1"/>
    <w:rsid w:val="005F7EE8"/>
    <w:rsid w:val="006022B4"/>
    <w:rsid w:val="00603D53"/>
    <w:rsid w:val="00612673"/>
    <w:rsid w:val="00612AFA"/>
    <w:rsid w:val="00614552"/>
    <w:rsid w:val="00621D45"/>
    <w:rsid w:val="006228E2"/>
    <w:rsid w:val="00623950"/>
    <w:rsid w:val="00626492"/>
    <w:rsid w:val="00630026"/>
    <w:rsid w:val="00631638"/>
    <w:rsid w:val="00635298"/>
    <w:rsid w:val="0063544E"/>
    <w:rsid w:val="0063682F"/>
    <w:rsid w:val="006538BF"/>
    <w:rsid w:val="00674D4C"/>
    <w:rsid w:val="00683870"/>
    <w:rsid w:val="00685085"/>
    <w:rsid w:val="00685B34"/>
    <w:rsid w:val="006934EC"/>
    <w:rsid w:val="006A2280"/>
    <w:rsid w:val="006B723B"/>
    <w:rsid w:val="006B7284"/>
    <w:rsid w:val="006C1FC3"/>
    <w:rsid w:val="006C2473"/>
    <w:rsid w:val="006C3A7D"/>
    <w:rsid w:val="006C4218"/>
    <w:rsid w:val="006C5997"/>
    <w:rsid w:val="006D1FBC"/>
    <w:rsid w:val="006E28E7"/>
    <w:rsid w:val="006F3012"/>
    <w:rsid w:val="006F6652"/>
    <w:rsid w:val="006F7124"/>
    <w:rsid w:val="00701F8B"/>
    <w:rsid w:val="007041EA"/>
    <w:rsid w:val="00704F6D"/>
    <w:rsid w:val="007249EC"/>
    <w:rsid w:val="00732F16"/>
    <w:rsid w:val="00733D8E"/>
    <w:rsid w:val="00735B28"/>
    <w:rsid w:val="00735E89"/>
    <w:rsid w:val="00742966"/>
    <w:rsid w:val="00753EEE"/>
    <w:rsid w:val="00767553"/>
    <w:rsid w:val="007736B4"/>
    <w:rsid w:val="00773975"/>
    <w:rsid w:val="0077424E"/>
    <w:rsid w:val="00776DCB"/>
    <w:rsid w:val="00780299"/>
    <w:rsid w:val="00780DDB"/>
    <w:rsid w:val="007862DE"/>
    <w:rsid w:val="00786A0F"/>
    <w:rsid w:val="00792A3E"/>
    <w:rsid w:val="00794CC1"/>
    <w:rsid w:val="00794E0E"/>
    <w:rsid w:val="007951B2"/>
    <w:rsid w:val="007A76EF"/>
    <w:rsid w:val="007B7C1F"/>
    <w:rsid w:val="007C21C8"/>
    <w:rsid w:val="007C4DBA"/>
    <w:rsid w:val="007D0E2E"/>
    <w:rsid w:val="007E2FB7"/>
    <w:rsid w:val="007E434F"/>
    <w:rsid w:val="007F345C"/>
    <w:rsid w:val="00805561"/>
    <w:rsid w:val="00806FE1"/>
    <w:rsid w:val="00807ED1"/>
    <w:rsid w:val="00817B11"/>
    <w:rsid w:val="008203EE"/>
    <w:rsid w:val="00820A54"/>
    <w:rsid w:val="008267A0"/>
    <w:rsid w:val="0083547C"/>
    <w:rsid w:val="008362FC"/>
    <w:rsid w:val="00845A0F"/>
    <w:rsid w:val="008476E6"/>
    <w:rsid w:val="0085706D"/>
    <w:rsid w:val="00860904"/>
    <w:rsid w:val="00862083"/>
    <w:rsid w:val="00865BCE"/>
    <w:rsid w:val="00890233"/>
    <w:rsid w:val="00891C18"/>
    <w:rsid w:val="008938A4"/>
    <w:rsid w:val="00897F1A"/>
    <w:rsid w:val="008A0EBB"/>
    <w:rsid w:val="008A13AC"/>
    <w:rsid w:val="008A29CE"/>
    <w:rsid w:val="008B74C1"/>
    <w:rsid w:val="008C0B4D"/>
    <w:rsid w:val="008C134E"/>
    <w:rsid w:val="008C37C8"/>
    <w:rsid w:val="008C775E"/>
    <w:rsid w:val="008D7766"/>
    <w:rsid w:val="008E08E3"/>
    <w:rsid w:val="00902EC0"/>
    <w:rsid w:val="009077E2"/>
    <w:rsid w:val="00910F45"/>
    <w:rsid w:val="00911725"/>
    <w:rsid w:val="009160CF"/>
    <w:rsid w:val="00933CC4"/>
    <w:rsid w:val="009351E9"/>
    <w:rsid w:val="00940C04"/>
    <w:rsid w:val="009461CF"/>
    <w:rsid w:val="00950C46"/>
    <w:rsid w:val="0095678A"/>
    <w:rsid w:val="00957666"/>
    <w:rsid w:val="00964A6C"/>
    <w:rsid w:val="00970179"/>
    <w:rsid w:val="00972816"/>
    <w:rsid w:val="00977E40"/>
    <w:rsid w:val="00985984"/>
    <w:rsid w:val="00994DCE"/>
    <w:rsid w:val="0099587E"/>
    <w:rsid w:val="009979FA"/>
    <w:rsid w:val="009A16FF"/>
    <w:rsid w:val="009B3103"/>
    <w:rsid w:val="009C12FA"/>
    <w:rsid w:val="009C6AB0"/>
    <w:rsid w:val="009D72FE"/>
    <w:rsid w:val="009D747B"/>
    <w:rsid w:val="009E5102"/>
    <w:rsid w:val="009E56DF"/>
    <w:rsid w:val="00A00C30"/>
    <w:rsid w:val="00A02AEF"/>
    <w:rsid w:val="00A067D3"/>
    <w:rsid w:val="00A13227"/>
    <w:rsid w:val="00A14A03"/>
    <w:rsid w:val="00A2122C"/>
    <w:rsid w:val="00A34CB2"/>
    <w:rsid w:val="00A40FD8"/>
    <w:rsid w:val="00A41E4E"/>
    <w:rsid w:val="00A4412E"/>
    <w:rsid w:val="00A47353"/>
    <w:rsid w:val="00A62F0B"/>
    <w:rsid w:val="00A7265C"/>
    <w:rsid w:val="00A73C38"/>
    <w:rsid w:val="00A77B0C"/>
    <w:rsid w:val="00A83932"/>
    <w:rsid w:val="00A83C49"/>
    <w:rsid w:val="00A85305"/>
    <w:rsid w:val="00A8686E"/>
    <w:rsid w:val="00A8732A"/>
    <w:rsid w:val="00A94605"/>
    <w:rsid w:val="00A970A2"/>
    <w:rsid w:val="00AB120A"/>
    <w:rsid w:val="00AB50E4"/>
    <w:rsid w:val="00AB512F"/>
    <w:rsid w:val="00AB67E6"/>
    <w:rsid w:val="00AC1AF9"/>
    <w:rsid w:val="00AC52B9"/>
    <w:rsid w:val="00AC742D"/>
    <w:rsid w:val="00AC7DC9"/>
    <w:rsid w:val="00AD0B07"/>
    <w:rsid w:val="00AD61B9"/>
    <w:rsid w:val="00AE14D7"/>
    <w:rsid w:val="00AF01AC"/>
    <w:rsid w:val="00AF7D0C"/>
    <w:rsid w:val="00B0574B"/>
    <w:rsid w:val="00B2037F"/>
    <w:rsid w:val="00B32691"/>
    <w:rsid w:val="00B407F6"/>
    <w:rsid w:val="00B419C9"/>
    <w:rsid w:val="00B52633"/>
    <w:rsid w:val="00B56FE9"/>
    <w:rsid w:val="00B635E3"/>
    <w:rsid w:val="00B72B4F"/>
    <w:rsid w:val="00B835C0"/>
    <w:rsid w:val="00B876AF"/>
    <w:rsid w:val="00BA759E"/>
    <w:rsid w:val="00BB532F"/>
    <w:rsid w:val="00BC162D"/>
    <w:rsid w:val="00BC2FE4"/>
    <w:rsid w:val="00BD4DDA"/>
    <w:rsid w:val="00BD6501"/>
    <w:rsid w:val="00BE4EAE"/>
    <w:rsid w:val="00C03AFD"/>
    <w:rsid w:val="00C172BA"/>
    <w:rsid w:val="00C271F9"/>
    <w:rsid w:val="00C30CB9"/>
    <w:rsid w:val="00C31764"/>
    <w:rsid w:val="00C403E9"/>
    <w:rsid w:val="00C517B6"/>
    <w:rsid w:val="00C626B4"/>
    <w:rsid w:val="00C63F0F"/>
    <w:rsid w:val="00C70636"/>
    <w:rsid w:val="00C70842"/>
    <w:rsid w:val="00C9055E"/>
    <w:rsid w:val="00CC59AC"/>
    <w:rsid w:val="00CC76F2"/>
    <w:rsid w:val="00CD6A25"/>
    <w:rsid w:val="00CE105E"/>
    <w:rsid w:val="00CE1E5E"/>
    <w:rsid w:val="00CE70C3"/>
    <w:rsid w:val="00D0090C"/>
    <w:rsid w:val="00D033A9"/>
    <w:rsid w:val="00D03CFF"/>
    <w:rsid w:val="00D15085"/>
    <w:rsid w:val="00D52A86"/>
    <w:rsid w:val="00D55E55"/>
    <w:rsid w:val="00D64EEA"/>
    <w:rsid w:val="00D663ED"/>
    <w:rsid w:val="00D67A17"/>
    <w:rsid w:val="00D74882"/>
    <w:rsid w:val="00D759EE"/>
    <w:rsid w:val="00D80EBF"/>
    <w:rsid w:val="00D956AA"/>
    <w:rsid w:val="00DA543F"/>
    <w:rsid w:val="00DB059A"/>
    <w:rsid w:val="00DB7269"/>
    <w:rsid w:val="00DC0173"/>
    <w:rsid w:val="00DC11EA"/>
    <w:rsid w:val="00DC4056"/>
    <w:rsid w:val="00DE2472"/>
    <w:rsid w:val="00DE58C6"/>
    <w:rsid w:val="00DE6C80"/>
    <w:rsid w:val="00DF1540"/>
    <w:rsid w:val="00DF5EB4"/>
    <w:rsid w:val="00E016E6"/>
    <w:rsid w:val="00E03072"/>
    <w:rsid w:val="00E060FF"/>
    <w:rsid w:val="00E14B27"/>
    <w:rsid w:val="00E15F2B"/>
    <w:rsid w:val="00E25470"/>
    <w:rsid w:val="00E27471"/>
    <w:rsid w:val="00E41194"/>
    <w:rsid w:val="00E41446"/>
    <w:rsid w:val="00E422D4"/>
    <w:rsid w:val="00E44564"/>
    <w:rsid w:val="00E66F11"/>
    <w:rsid w:val="00E72D70"/>
    <w:rsid w:val="00E80A46"/>
    <w:rsid w:val="00E81653"/>
    <w:rsid w:val="00E83B02"/>
    <w:rsid w:val="00E85FA0"/>
    <w:rsid w:val="00E87997"/>
    <w:rsid w:val="00E95F38"/>
    <w:rsid w:val="00E971EB"/>
    <w:rsid w:val="00EA6249"/>
    <w:rsid w:val="00EA7A67"/>
    <w:rsid w:val="00EB54B6"/>
    <w:rsid w:val="00EC0B04"/>
    <w:rsid w:val="00EC2F37"/>
    <w:rsid w:val="00EC4A51"/>
    <w:rsid w:val="00EC5C1D"/>
    <w:rsid w:val="00ED176B"/>
    <w:rsid w:val="00F12275"/>
    <w:rsid w:val="00F15DC2"/>
    <w:rsid w:val="00F1785C"/>
    <w:rsid w:val="00F31B35"/>
    <w:rsid w:val="00F339CD"/>
    <w:rsid w:val="00F33A43"/>
    <w:rsid w:val="00F41650"/>
    <w:rsid w:val="00F47143"/>
    <w:rsid w:val="00F63915"/>
    <w:rsid w:val="00F63E22"/>
    <w:rsid w:val="00F70CC3"/>
    <w:rsid w:val="00F913D3"/>
    <w:rsid w:val="00F9569D"/>
    <w:rsid w:val="00FC306C"/>
    <w:rsid w:val="00FC6457"/>
    <w:rsid w:val="00FD3076"/>
    <w:rsid w:val="00FD46BA"/>
    <w:rsid w:val="00FE1CBC"/>
    <w:rsid w:val="00FE2E58"/>
    <w:rsid w:val="00FE5458"/>
    <w:rsid w:val="00FF467A"/>
    <w:rsid w:val="00FF6513"/>
    <w:rsid w:val="32E603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51EF39"/>
  <w15:docId w15:val="{150C9479-1620-46DF-914E-04F48760A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hAnsi="Arial" w:eastAsiaTheme="minorEastAsia"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uiPriority="1"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2"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15"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7424E"/>
  </w:style>
  <w:style w:type="paragraph" w:styleId="Heading1">
    <w:name w:val="heading 1"/>
    <w:basedOn w:val="Normal"/>
    <w:next w:val="Normal"/>
    <w:link w:val="Heading1Char"/>
    <w:uiPriority w:val="1"/>
    <w:qFormat/>
    <w:rsid w:val="00994DCE"/>
    <w:pPr>
      <w:keepNext/>
      <w:spacing w:after="120" w:line="400" w:lineRule="atLeast"/>
      <w:outlineLvl w:val="0"/>
    </w:pPr>
    <w:rPr>
      <w:rFonts w:cs="Arial" w:eastAsiaTheme="minorHAnsi"/>
      <w:b/>
      <w:bCs/>
      <w:kern w:val="32"/>
      <w:sz w:val="26"/>
      <w:szCs w:val="32"/>
      <w:lang w:val="en-AU"/>
    </w:rPr>
  </w:style>
  <w:style w:type="paragraph" w:styleId="Heading2">
    <w:name w:val="heading 2"/>
    <w:basedOn w:val="Normal"/>
    <w:next w:val="Normal"/>
    <w:link w:val="Heading2Char"/>
    <w:uiPriority w:val="1"/>
    <w:qFormat/>
    <w:rsid w:val="00994DCE"/>
    <w:pPr>
      <w:keepNext/>
      <w:spacing w:after="120" w:line="260" w:lineRule="atLeast"/>
      <w:outlineLvl w:val="1"/>
    </w:pPr>
    <w:rPr>
      <w:rFonts w:cs="Arial" w:eastAsiaTheme="minorHAnsi"/>
      <w:b/>
      <w:bCs/>
      <w:iCs/>
      <w:color w:val="6D6E71"/>
      <w:sz w:val="24"/>
      <w:szCs w:val="28"/>
      <w:lang w:val="en-AU"/>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PSCGreen" w:customStyle="1">
    <w:name w:val="PSC_Green"/>
    <w:basedOn w:val="TableNormal"/>
    <w:uiPriority w:val="99"/>
    <w:rsid w:val="00BB532F"/>
    <w:pPr>
      <w:spacing w:after="0" w:line="280" w:lineRule="atLeast"/>
    </w:pPr>
    <w:rPr>
      <w:rFonts w:cs="Times New Roman" w:eastAsiaTheme="minorHAnsi"/>
      <w:color w:val="FFFFFF" w:themeColor="background1"/>
      <w:sz w:val="20"/>
      <w:szCs w:val="20"/>
      <w:lang w:val="en-AU"/>
    </w:rPr>
    <w:tblPr>
      <w:tblBorders>
        <w:top w:val="single" w:color="auto" w:sz="8" w:space="0"/>
        <w:bottom w:val="single" w:color="auto" w:sz="8" w:space="0"/>
        <w:insideH w:val="single" w:color="FFFFFF" w:themeColor="background1" w:sz="8" w:space="0"/>
      </w:tblBorders>
      <w:tblCellMar>
        <w:left w:w="57" w:type="dxa"/>
        <w:right w:w="0" w:type="dxa"/>
      </w:tblCellMar>
    </w:tblPr>
    <w:tcPr>
      <w:shd w:val="clear" w:color="auto" w:fill="00A88F"/>
    </w:tcPr>
    <w:tblStylePr w:type="firstRow">
      <w:tblPr/>
      <w:tcPr>
        <w:tcBorders>
          <w:top w:val="single" w:color="auto" w:sz="8" w:space="0"/>
          <w:left w:val="nil"/>
          <w:bottom w:val="nil"/>
          <w:right w:val="nil"/>
          <w:insideH w:val="nil"/>
          <w:insideV w:val="nil"/>
          <w:tl2br w:val="nil"/>
          <w:tr2bl w:val="nil"/>
        </w:tcBorders>
      </w:tcPr>
    </w:tblStylePr>
    <w:tblStylePr w:type="lastRow">
      <w:tblPr/>
      <w:tcPr>
        <w:tcBorders>
          <w:top w:val="nil"/>
          <w:left w:val="nil"/>
          <w:bottom w:val="single" w:color="auto" w:sz="8" w:space="0"/>
          <w:right w:val="nil"/>
          <w:insideH w:val="nil"/>
          <w:insideV w:val="nil"/>
          <w:tl2br w:val="nil"/>
          <w:tr2bl w:val="nil"/>
        </w:tcBorders>
      </w:tcPr>
    </w:tblStylePr>
  </w:style>
  <w:style w:type="paragraph" w:styleId="TableTextWhite" w:customStyle="1">
    <w:name w:val="Table Text White"/>
    <w:basedOn w:val="Normal"/>
    <w:qFormat/>
    <w:rsid w:val="00BB532F"/>
    <w:pPr>
      <w:spacing w:before="40" w:after="40" w:line="280" w:lineRule="atLeast"/>
    </w:pPr>
    <w:rPr>
      <w:rFonts w:cs="Times New Roman" w:eastAsiaTheme="minorHAnsi"/>
      <w:color w:val="FFFFFF"/>
      <w:sz w:val="20"/>
      <w:szCs w:val="20"/>
      <w:lang w:val="en-AU"/>
    </w:rPr>
  </w:style>
  <w:style w:type="table" w:styleId="PSCPurple" w:customStyle="1">
    <w:name w:val="PSC_Purple"/>
    <w:basedOn w:val="TableNormal"/>
    <w:uiPriority w:val="99"/>
    <w:rsid w:val="00BB532F"/>
    <w:pPr>
      <w:spacing w:after="0" w:line="240" w:lineRule="auto"/>
    </w:pPr>
    <w:rPr>
      <w:rFonts w:cs="Times New Roman" w:eastAsiaTheme="minorHAnsi"/>
      <w:sz w:val="20"/>
      <w:szCs w:val="20"/>
      <w:lang w:val="en-AU"/>
    </w:rPr>
    <w:tblPr>
      <w:tblStyleRowBandSize w:val="1"/>
      <w:tblBorders>
        <w:top w:val="single" w:color="auto" w:sz="8" w:space="0"/>
        <w:bottom w:val="single" w:color="BCBEC0" w:sz="8" w:space="0"/>
        <w:insideH w:val="single" w:color="BCBEC0" w:sz="8" w:space="0"/>
      </w:tblBorders>
      <w:tblCellMar>
        <w:left w:w="57" w:type="dxa"/>
        <w:right w:w="0" w:type="dxa"/>
      </w:tblCellMar>
    </w:tblPr>
    <w:tblStylePr w:type="firstRow">
      <w:tblPr/>
      <w:tcPr>
        <w:tcBorders>
          <w:top w:val="single" w:color="auto" w:sz="8" w:space="0"/>
          <w:left w:val="nil"/>
          <w:bottom w:val="single" w:color="auto" w:sz="8" w:space="0"/>
          <w:right w:val="nil"/>
          <w:insideH w:val="nil"/>
          <w:insideV w:val="nil"/>
          <w:tl2br w:val="nil"/>
          <w:tr2bl w:val="nil"/>
        </w:tcBorders>
        <w:shd w:val="clear" w:color="auto" w:fill="6D276A"/>
      </w:tcPr>
    </w:tblStylePr>
  </w:style>
  <w:style w:type="paragraph" w:styleId="TableText" w:customStyle="1">
    <w:name w:val="Table Text"/>
    <w:basedOn w:val="TableTextWhite"/>
    <w:qFormat/>
    <w:rsid w:val="00BB532F"/>
    <w:rPr>
      <w:color w:val="auto"/>
    </w:rPr>
  </w:style>
  <w:style w:type="paragraph" w:styleId="TableTextWhite0" w:customStyle="1">
    <w:name w:val="Table_Text_White"/>
    <w:basedOn w:val="Normal"/>
    <w:qFormat/>
    <w:rsid w:val="00BB532F"/>
    <w:pPr>
      <w:spacing w:before="40" w:after="40" w:line="280" w:lineRule="atLeast"/>
    </w:pPr>
    <w:rPr>
      <w:rFonts w:cs="Times New Roman" w:eastAsiaTheme="minorHAnsi"/>
      <w:b/>
      <w:color w:val="FFFFFF"/>
      <w:szCs w:val="20"/>
      <w:lang w:val="en-AU"/>
    </w:rPr>
  </w:style>
  <w:style w:type="paragraph" w:styleId="Header">
    <w:name w:val="header"/>
    <w:basedOn w:val="Normal"/>
    <w:link w:val="HeaderChar"/>
    <w:uiPriority w:val="99"/>
    <w:unhideWhenUsed/>
    <w:rsid w:val="00BB532F"/>
    <w:pPr>
      <w:tabs>
        <w:tab w:val="center" w:pos="4680"/>
        <w:tab w:val="right" w:pos="9360"/>
      </w:tabs>
      <w:spacing w:after="0" w:line="240" w:lineRule="auto"/>
    </w:pPr>
  </w:style>
  <w:style w:type="character" w:styleId="HeaderChar" w:customStyle="1">
    <w:name w:val="Header Char"/>
    <w:basedOn w:val="DefaultParagraphFont"/>
    <w:link w:val="Header"/>
    <w:uiPriority w:val="99"/>
    <w:rsid w:val="00BB532F"/>
  </w:style>
  <w:style w:type="paragraph" w:styleId="Footer">
    <w:name w:val="footer"/>
    <w:basedOn w:val="Normal"/>
    <w:link w:val="FooterChar"/>
    <w:uiPriority w:val="99"/>
    <w:unhideWhenUsed/>
    <w:rsid w:val="00BB532F"/>
    <w:pPr>
      <w:tabs>
        <w:tab w:val="center" w:pos="4680"/>
        <w:tab w:val="right" w:pos="9360"/>
      </w:tabs>
      <w:spacing w:after="0" w:line="240" w:lineRule="auto"/>
    </w:pPr>
  </w:style>
  <w:style w:type="character" w:styleId="FooterChar" w:customStyle="1">
    <w:name w:val="Footer Char"/>
    <w:basedOn w:val="DefaultParagraphFont"/>
    <w:link w:val="Footer"/>
    <w:uiPriority w:val="99"/>
    <w:rsid w:val="00BB532F"/>
  </w:style>
  <w:style w:type="paragraph" w:styleId="BalloonText">
    <w:name w:val="Balloon Text"/>
    <w:basedOn w:val="Normal"/>
    <w:link w:val="BalloonTextChar"/>
    <w:uiPriority w:val="99"/>
    <w:semiHidden/>
    <w:unhideWhenUsed/>
    <w:rsid w:val="00BB532F"/>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BB532F"/>
    <w:rPr>
      <w:rFonts w:ascii="Tahoma" w:hAnsi="Tahoma" w:cs="Tahoma"/>
      <w:sz w:val="16"/>
      <w:szCs w:val="16"/>
    </w:rPr>
  </w:style>
  <w:style w:type="paragraph" w:styleId="Title">
    <w:name w:val="Title"/>
    <w:basedOn w:val="Normal"/>
    <w:next w:val="Normal"/>
    <w:link w:val="TitleChar"/>
    <w:uiPriority w:val="14"/>
    <w:rsid w:val="00BB532F"/>
    <w:pPr>
      <w:autoSpaceDE w:val="0"/>
      <w:autoSpaceDN w:val="0"/>
      <w:adjustRightInd w:val="0"/>
      <w:spacing w:after="0" w:line="448" w:lineRule="atLeast"/>
      <w:textAlignment w:val="center"/>
    </w:pPr>
    <w:rPr>
      <w:rFonts w:ascii="Georgia" w:hAnsi="Georgia" w:cs="Georgia" w:eastAsiaTheme="minorHAnsi"/>
      <w:b/>
      <w:bCs/>
      <w:color w:val="000000"/>
      <w:sz w:val="42"/>
      <w:szCs w:val="42"/>
    </w:rPr>
  </w:style>
  <w:style w:type="character" w:styleId="TitleChar" w:customStyle="1">
    <w:name w:val="Title Char"/>
    <w:basedOn w:val="DefaultParagraphFont"/>
    <w:link w:val="Title"/>
    <w:uiPriority w:val="14"/>
    <w:rsid w:val="00BB532F"/>
    <w:rPr>
      <w:rFonts w:ascii="Georgia" w:hAnsi="Georgia" w:cs="Georgia" w:eastAsiaTheme="minorHAnsi"/>
      <w:b/>
      <w:bCs/>
      <w:color w:val="000000"/>
      <w:sz w:val="42"/>
      <w:szCs w:val="42"/>
    </w:rPr>
  </w:style>
  <w:style w:type="table" w:styleId="TableGrid">
    <w:name w:val="Table Grid"/>
    <w:basedOn w:val="TableNormal"/>
    <w:uiPriority w:val="59"/>
    <w:rsid w:val="007E2FB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itleSub" w:customStyle="1">
    <w:name w:val="Title Sub"/>
    <w:basedOn w:val="Normal"/>
    <w:qFormat/>
    <w:rsid w:val="007E2FB7"/>
    <w:pPr>
      <w:autoSpaceDE w:val="0"/>
      <w:autoSpaceDN w:val="0"/>
      <w:adjustRightInd w:val="0"/>
      <w:spacing w:after="120" w:line="420" w:lineRule="atLeast"/>
      <w:textAlignment w:val="center"/>
    </w:pPr>
    <w:rPr>
      <w:rFonts w:ascii="Georgia" w:hAnsi="Georgia" w:cs="Georgia" w:eastAsiaTheme="minorHAnsi"/>
      <w:color w:val="000000"/>
      <w:spacing w:val="-10"/>
      <w:sz w:val="42"/>
      <w:szCs w:val="42"/>
    </w:rPr>
  </w:style>
  <w:style w:type="character" w:styleId="Style1" w:customStyle="1">
    <w:name w:val="Style1"/>
    <w:basedOn w:val="DefaultParagraphFont"/>
    <w:uiPriority w:val="1"/>
    <w:rsid w:val="007E2FB7"/>
    <w:rPr>
      <w:rFonts w:ascii="Georgia" w:hAnsi="Georgia"/>
      <w:sz w:val="42"/>
    </w:rPr>
  </w:style>
  <w:style w:type="character" w:styleId="PlaceholderText">
    <w:name w:val="Placeholder Text"/>
    <w:basedOn w:val="DefaultParagraphFont"/>
    <w:uiPriority w:val="99"/>
    <w:semiHidden/>
    <w:rsid w:val="00237421"/>
    <w:rPr>
      <w:color w:val="808080"/>
    </w:rPr>
  </w:style>
  <w:style w:type="paragraph" w:styleId="ListBullet">
    <w:name w:val="List Bullet"/>
    <w:basedOn w:val="Normal"/>
    <w:uiPriority w:val="2"/>
    <w:qFormat/>
    <w:rsid w:val="002D36BB"/>
    <w:pPr>
      <w:numPr>
        <w:numId w:val="1"/>
      </w:numPr>
      <w:spacing w:after="0" w:line="280" w:lineRule="atLeast"/>
    </w:pPr>
    <w:rPr>
      <w:rFonts w:ascii="Georgia" w:hAnsi="Georgia" w:cs="Times New Roman" w:eastAsiaTheme="minorHAnsi"/>
      <w:szCs w:val="20"/>
      <w:lang w:val="en-AU"/>
    </w:rPr>
  </w:style>
  <w:style w:type="paragraph" w:styleId="TableBullet" w:customStyle="1">
    <w:name w:val="Table Bullet"/>
    <w:basedOn w:val="ListBullet"/>
    <w:qFormat/>
    <w:rsid w:val="002D36BB"/>
    <w:rPr>
      <w:rFonts w:ascii="Arial" w:hAnsi="Arial"/>
      <w:sz w:val="20"/>
    </w:rPr>
  </w:style>
  <w:style w:type="character" w:styleId="Style2" w:customStyle="1">
    <w:name w:val="Style2"/>
    <w:basedOn w:val="DefaultParagraphFont"/>
    <w:uiPriority w:val="1"/>
    <w:rsid w:val="0028314F"/>
    <w:rPr>
      <w:rFonts w:ascii="Georgia" w:hAnsi="Georgia"/>
      <w:sz w:val="22"/>
    </w:rPr>
  </w:style>
  <w:style w:type="paragraph" w:styleId="ListParagraph">
    <w:name w:val="List Paragraph"/>
    <w:aliases w:val="Recommendation,List Paragraph1,Bulleted Para,NFP GP Bulleted List,bullet point list,List 1 Paragraph,standard lewis,CDHP List Paragraph,Bullets,dot point 1,List Paragraph11,List Paragraph111,L,F5 List Paragraph,Dot pt,CV text"/>
    <w:basedOn w:val="Normal"/>
    <w:link w:val="ListParagraphChar"/>
    <w:uiPriority w:val="34"/>
    <w:qFormat/>
    <w:rsid w:val="0013413E"/>
    <w:pPr>
      <w:ind w:left="720"/>
      <w:contextualSpacing/>
    </w:pPr>
  </w:style>
  <w:style w:type="character" w:styleId="Heading1Char" w:customStyle="1">
    <w:name w:val="Heading 1 Char"/>
    <w:basedOn w:val="DefaultParagraphFont"/>
    <w:link w:val="Heading1"/>
    <w:uiPriority w:val="1"/>
    <w:rsid w:val="00994DCE"/>
    <w:rPr>
      <w:rFonts w:ascii="Arial" w:hAnsi="Arial" w:cs="Arial" w:eastAsiaTheme="minorHAnsi"/>
      <w:b/>
      <w:bCs/>
      <w:kern w:val="32"/>
      <w:sz w:val="26"/>
      <w:szCs w:val="32"/>
      <w:lang w:val="en-AU"/>
    </w:rPr>
  </w:style>
  <w:style w:type="character" w:styleId="Heading2Char" w:customStyle="1">
    <w:name w:val="Heading 2 Char"/>
    <w:basedOn w:val="DefaultParagraphFont"/>
    <w:link w:val="Heading2"/>
    <w:uiPriority w:val="1"/>
    <w:rsid w:val="00994DCE"/>
    <w:rPr>
      <w:rFonts w:ascii="Arial" w:hAnsi="Arial" w:cs="Arial" w:eastAsiaTheme="minorHAnsi"/>
      <w:b/>
      <w:bCs/>
      <w:iCs/>
      <w:color w:val="6D6E71"/>
      <w:sz w:val="24"/>
      <w:szCs w:val="28"/>
      <w:lang w:val="en-AU"/>
    </w:rPr>
  </w:style>
  <w:style w:type="character" w:styleId="Hyperlink">
    <w:name w:val="Hyperlink"/>
    <w:basedOn w:val="DefaultParagraphFont"/>
    <w:uiPriority w:val="15"/>
    <w:semiHidden/>
    <w:rsid w:val="00994DCE"/>
    <w:rPr>
      <w:rFonts w:ascii="Arial" w:hAnsi="Arial"/>
      <w:color w:val="0000FF" w:themeColor="hyperlink"/>
      <w:sz w:val="20"/>
      <w:u w:val="single"/>
    </w:rPr>
  </w:style>
  <w:style w:type="character" w:styleId="CommentReference">
    <w:name w:val="annotation reference"/>
    <w:basedOn w:val="DefaultParagraphFont"/>
    <w:uiPriority w:val="99"/>
    <w:semiHidden/>
    <w:unhideWhenUsed/>
    <w:rsid w:val="00E66F11"/>
    <w:rPr>
      <w:sz w:val="16"/>
      <w:szCs w:val="16"/>
    </w:rPr>
  </w:style>
  <w:style w:type="paragraph" w:styleId="CommentText">
    <w:name w:val="annotation text"/>
    <w:basedOn w:val="Normal"/>
    <w:link w:val="CommentTextChar"/>
    <w:uiPriority w:val="99"/>
    <w:semiHidden/>
    <w:unhideWhenUsed/>
    <w:rsid w:val="00E66F11"/>
    <w:pPr>
      <w:spacing w:line="240" w:lineRule="auto"/>
    </w:pPr>
    <w:rPr>
      <w:sz w:val="20"/>
      <w:szCs w:val="20"/>
    </w:rPr>
  </w:style>
  <w:style w:type="character" w:styleId="CommentTextChar" w:customStyle="1">
    <w:name w:val="Comment Text Char"/>
    <w:basedOn w:val="DefaultParagraphFont"/>
    <w:link w:val="CommentText"/>
    <w:uiPriority w:val="99"/>
    <w:semiHidden/>
    <w:rsid w:val="00E66F11"/>
    <w:rPr>
      <w:sz w:val="20"/>
      <w:szCs w:val="20"/>
    </w:rPr>
  </w:style>
  <w:style w:type="paragraph" w:styleId="CommentSubject">
    <w:name w:val="annotation subject"/>
    <w:basedOn w:val="CommentText"/>
    <w:next w:val="CommentText"/>
    <w:link w:val="CommentSubjectChar"/>
    <w:uiPriority w:val="99"/>
    <w:semiHidden/>
    <w:unhideWhenUsed/>
    <w:rsid w:val="00E66F11"/>
    <w:rPr>
      <w:b/>
      <w:bCs/>
    </w:rPr>
  </w:style>
  <w:style w:type="character" w:styleId="CommentSubjectChar" w:customStyle="1">
    <w:name w:val="Comment Subject Char"/>
    <w:basedOn w:val="CommentTextChar"/>
    <w:link w:val="CommentSubject"/>
    <w:uiPriority w:val="99"/>
    <w:semiHidden/>
    <w:rsid w:val="00E66F11"/>
    <w:rPr>
      <w:b/>
      <w:bCs/>
      <w:sz w:val="20"/>
      <w:szCs w:val="20"/>
    </w:rPr>
  </w:style>
  <w:style w:type="paragraph" w:styleId="FootnoteText">
    <w:name w:val="footnote text"/>
    <w:basedOn w:val="Normal"/>
    <w:link w:val="FootnoteTextChar"/>
    <w:uiPriority w:val="99"/>
    <w:semiHidden/>
    <w:unhideWhenUsed/>
    <w:rsid w:val="00002237"/>
    <w:pPr>
      <w:widowControl w:val="0"/>
      <w:autoSpaceDE w:val="0"/>
      <w:autoSpaceDN w:val="0"/>
      <w:adjustRightInd w:val="0"/>
      <w:spacing w:after="0" w:line="240" w:lineRule="auto"/>
    </w:pPr>
    <w:rPr>
      <w:rFonts w:eastAsia="Times New Roman" w:cs="Arial"/>
      <w:sz w:val="20"/>
      <w:szCs w:val="20"/>
      <w:lang w:val="en-AU" w:eastAsia="en-AU"/>
    </w:rPr>
  </w:style>
  <w:style w:type="character" w:styleId="FootnoteTextChar" w:customStyle="1">
    <w:name w:val="Footnote Text Char"/>
    <w:basedOn w:val="DefaultParagraphFont"/>
    <w:link w:val="FootnoteText"/>
    <w:uiPriority w:val="99"/>
    <w:semiHidden/>
    <w:rsid w:val="00002237"/>
    <w:rPr>
      <w:rFonts w:eastAsia="Times New Roman" w:cs="Arial"/>
      <w:sz w:val="20"/>
      <w:szCs w:val="20"/>
      <w:lang w:val="en-AU" w:eastAsia="en-AU"/>
    </w:rPr>
  </w:style>
  <w:style w:type="paragraph" w:styleId="Default" w:customStyle="1">
    <w:name w:val="Default"/>
    <w:rsid w:val="00862083"/>
    <w:pPr>
      <w:widowControl w:val="0"/>
      <w:autoSpaceDE w:val="0"/>
      <w:autoSpaceDN w:val="0"/>
      <w:adjustRightInd w:val="0"/>
      <w:spacing w:after="0" w:line="240" w:lineRule="auto"/>
    </w:pPr>
    <w:rPr>
      <w:rFonts w:eastAsia="Times New Roman" w:cs="Arial"/>
      <w:color w:val="000000"/>
      <w:sz w:val="24"/>
      <w:szCs w:val="24"/>
      <w:lang w:val="en-AU" w:eastAsia="en-AU"/>
    </w:rPr>
  </w:style>
  <w:style w:type="paragraph" w:styleId="BodyText">
    <w:name w:val="Body Text"/>
    <w:basedOn w:val="Normal"/>
    <w:link w:val="BodyTextChar"/>
    <w:rsid w:val="00862083"/>
    <w:pPr>
      <w:spacing w:after="0" w:line="240" w:lineRule="auto"/>
    </w:pPr>
    <w:rPr>
      <w:rFonts w:eastAsia="Times New Roman" w:cs="Times New Roman"/>
      <w:szCs w:val="20"/>
      <w:lang w:val="en-AU"/>
    </w:rPr>
  </w:style>
  <w:style w:type="character" w:styleId="BodyTextChar" w:customStyle="1">
    <w:name w:val="Body Text Char"/>
    <w:basedOn w:val="DefaultParagraphFont"/>
    <w:link w:val="BodyText"/>
    <w:rsid w:val="00862083"/>
    <w:rPr>
      <w:rFonts w:eastAsia="Times New Roman" w:cs="Times New Roman"/>
      <w:szCs w:val="20"/>
      <w:lang w:val="en-AU"/>
    </w:rPr>
  </w:style>
  <w:style w:type="paragraph" w:styleId="BodyTextIndent2">
    <w:name w:val="Body Text Indent 2"/>
    <w:basedOn w:val="Normal"/>
    <w:link w:val="BodyTextIndent2Char"/>
    <w:uiPriority w:val="99"/>
    <w:unhideWhenUsed/>
    <w:rsid w:val="00AB67E6"/>
    <w:pPr>
      <w:spacing w:after="120" w:line="480" w:lineRule="auto"/>
      <w:ind w:left="283"/>
    </w:pPr>
  </w:style>
  <w:style w:type="character" w:styleId="BodyTextIndent2Char" w:customStyle="1">
    <w:name w:val="Body Text Indent 2 Char"/>
    <w:basedOn w:val="DefaultParagraphFont"/>
    <w:link w:val="BodyTextIndent2"/>
    <w:uiPriority w:val="99"/>
    <w:rsid w:val="00AB67E6"/>
  </w:style>
  <w:style w:type="table" w:styleId="PSCPurple1" w:customStyle="1">
    <w:name w:val="PSC_Purple1"/>
    <w:basedOn w:val="TableNormal"/>
    <w:uiPriority w:val="99"/>
    <w:rsid w:val="00820A54"/>
    <w:pPr>
      <w:spacing w:after="0" w:line="240" w:lineRule="auto"/>
    </w:pPr>
    <w:rPr>
      <w:rFonts w:cs="Times New Roman" w:eastAsiaTheme="minorHAnsi"/>
      <w:sz w:val="20"/>
      <w:szCs w:val="20"/>
    </w:rPr>
    <w:tblPr>
      <w:tblStyleRowBandSize w:val="1"/>
      <w:tblBorders>
        <w:top w:val="single" w:color="auto" w:sz="8" w:space="0"/>
        <w:bottom w:val="single" w:color="BCBEC0" w:sz="8" w:space="0"/>
        <w:insideH w:val="single" w:color="BCBEC0" w:sz="8" w:space="0"/>
      </w:tblBorders>
      <w:tblCellMar>
        <w:left w:w="57" w:type="dxa"/>
        <w:right w:w="0" w:type="dxa"/>
      </w:tblCellMar>
    </w:tblPr>
    <w:tblStylePr w:type="firstRow">
      <w:tblPr/>
      <w:tcPr>
        <w:tcBorders>
          <w:top w:val="single" w:color="auto" w:sz="8" w:space="0"/>
          <w:left w:val="nil"/>
          <w:bottom w:val="single" w:color="auto" w:sz="8" w:space="0"/>
          <w:right w:val="nil"/>
          <w:insideH w:val="nil"/>
          <w:insideV w:val="nil"/>
          <w:tl2br w:val="nil"/>
          <w:tr2bl w:val="nil"/>
        </w:tcBorders>
        <w:shd w:val="clear" w:color="auto" w:fill="6D276A"/>
      </w:tcPr>
    </w:tblStylePr>
  </w:style>
  <w:style w:type="paragraph" w:styleId="PlainText">
    <w:name w:val="Plain Text"/>
    <w:basedOn w:val="Normal"/>
    <w:link w:val="PlainTextChar"/>
    <w:uiPriority w:val="99"/>
    <w:unhideWhenUsed/>
    <w:rsid w:val="00556802"/>
    <w:pPr>
      <w:spacing w:after="0" w:line="240" w:lineRule="auto"/>
    </w:pPr>
    <w:rPr>
      <w:rFonts w:ascii="Calibri" w:hAnsi="Calibri" w:eastAsiaTheme="minorHAnsi"/>
      <w:szCs w:val="21"/>
      <w:lang w:val="en-AU"/>
    </w:rPr>
  </w:style>
  <w:style w:type="character" w:styleId="PlainTextChar" w:customStyle="1">
    <w:name w:val="Plain Text Char"/>
    <w:basedOn w:val="DefaultParagraphFont"/>
    <w:link w:val="PlainText"/>
    <w:uiPriority w:val="99"/>
    <w:rsid w:val="00556802"/>
    <w:rPr>
      <w:rFonts w:ascii="Calibri" w:hAnsi="Calibri" w:eastAsiaTheme="minorHAnsi"/>
      <w:szCs w:val="21"/>
      <w:lang w:val="en-AU"/>
    </w:rPr>
  </w:style>
  <w:style w:type="paragraph" w:styleId="xmsonormal" w:customStyle="1">
    <w:name w:val="x_msonormal"/>
    <w:basedOn w:val="Normal"/>
    <w:rsid w:val="00685B34"/>
    <w:pPr>
      <w:spacing w:before="100" w:beforeAutospacing="1" w:after="100" w:afterAutospacing="1" w:line="240" w:lineRule="auto"/>
    </w:pPr>
    <w:rPr>
      <w:rFonts w:ascii="Times New Roman" w:hAnsi="Times New Roman" w:eastAsia="Times New Roman" w:cs="Times New Roman"/>
      <w:sz w:val="24"/>
      <w:szCs w:val="24"/>
      <w:lang w:val="en-AU" w:eastAsia="en-AU"/>
    </w:rPr>
  </w:style>
  <w:style w:type="character" w:styleId="ListParagraphChar" w:customStyle="1">
    <w:name w:val="List Paragraph Char"/>
    <w:aliases w:val="Recommendation Char,List Paragraph1 Char,Bulleted Para Char,NFP GP Bulleted List Char,bullet point list Char,List 1 Paragraph Char,standard lewis Char,CDHP List Paragraph Char,Bullets Char,dot point 1 Char,List Paragraph11 Char"/>
    <w:link w:val="ListParagraph"/>
    <w:uiPriority w:val="34"/>
    <w:locked/>
    <w:rsid w:val="006C1FC3"/>
  </w:style>
  <w:style w:type="paragraph" w:styleId="TableParagraph" w:customStyle="1">
    <w:name w:val="Table Paragraph"/>
    <w:basedOn w:val="Normal"/>
    <w:uiPriority w:val="1"/>
    <w:qFormat/>
    <w:rsid w:val="006C1FC3"/>
    <w:pPr>
      <w:widowControl w:val="0"/>
      <w:autoSpaceDE w:val="0"/>
      <w:autoSpaceDN w:val="0"/>
      <w:spacing w:after="0" w:line="240" w:lineRule="auto"/>
      <w:ind w:left="414"/>
    </w:pPr>
    <w:rPr>
      <w:rFonts w:ascii="Arial MT" w:hAnsi="Arial MT" w:eastAsia="Arial MT" w:cs="Arial M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458434">
      <w:bodyDiv w:val="1"/>
      <w:marLeft w:val="0"/>
      <w:marRight w:val="0"/>
      <w:marTop w:val="0"/>
      <w:marBottom w:val="0"/>
      <w:divBdr>
        <w:top w:val="none" w:sz="0" w:space="0" w:color="auto"/>
        <w:left w:val="none" w:sz="0" w:space="0" w:color="auto"/>
        <w:bottom w:val="none" w:sz="0" w:space="0" w:color="auto"/>
        <w:right w:val="none" w:sz="0" w:space="0" w:color="auto"/>
      </w:divBdr>
    </w:div>
    <w:div w:id="444345803">
      <w:bodyDiv w:val="1"/>
      <w:marLeft w:val="0"/>
      <w:marRight w:val="0"/>
      <w:marTop w:val="0"/>
      <w:marBottom w:val="0"/>
      <w:divBdr>
        <w:top w:val="none" w:sz="0" w:space="0" w:color="auto"/>
        <w:left w:val="none" w:sz="0" w:space="0" w:color="auto"/>
        <w:bottom w:val="none" w:sz="0" w:space="0" w:color="auto"/>
        <w:right w:val="none" w:sz="0" w:space="0" w:color="auto"/>
      </w:divBdr>
    </w:div>
    <w:div w:id="791241745">
      <w:bodyDiv w:val="1"/>
      <w:marLeft w:val="0"/>
      <w:marRight w:val="0"/>
      <w:marTop w:val="0"/>
      <w:marBottom w:val="0"/>
      <w:divBdr>
        <w:top w:val="none" w:sz="0" w:space="0" w:color="auto"/>
        <w:left w:val="none" w:sz="0" w:space="0" w:color="auto"/>
        <w:bottom w:val="none" w:sz="0" w:space="0" w:color="auto"/>
        <w:right w:val="none" w:sz="0" w:space="0" w:color="auto"/>
      </w:divBdr>
    </w:div>
    <w:div w:id="1091467107">
      <w:bodyDiv w:val="1"/>
      <w:marLeft w:val="0"/>
      <w:marRight w:val="0"/>
      <w:marTop w:val="0"/>
      <w:marBottom w:val="0"/>
      <w:divBdr>
        <w:top w:val="none" w:sz="0" w:space="0" w:color="auto"/>
        <w:left w:val="none" w:sz="0" w:space="0" w:color="auto"/>
        <w:bottom w:val="none" w:sz="0" w:space="0" w:color="auto"/>
        <w:right w:val="none" w:sz="0" w:space="0" w:color="auto"/>
      </w:divBdr>
    </w:div>
    <w:div w:id="1100377181">
      <w:bodyDiv w:val="1"/>
      <w:marLeft w:val="0"/>
      <w:marRight w:val="0"/>
      <w:marTop w:val="0"/>
      <w:marBottom w:val="0"/>
      <w:divBdr>
        <w:top w:val="none" w:sz="0" w:space="0" w:color="auto"/>
        <w:left w:val="none" w:sz="0" w:space="0" w:color="auto"/>
        <w:bottom w:val="none" w:sz="0" w:space="0" w:color="auto"/>
        <w:right w:val="none" w:sz="0" w:space="0" w:color="auto"/>
      </w:divBdr>
    </w:div>
    <w:div w:id="1392074269">
      <w:bodyDiv w:val="1"/>
      <w:marLeft w:val="0"/>
      <w:marRight w:val="0"/>
      <w:marTop w:val="0"/>
      <w:marBottom w:val="0"/>
      <w:divBdr>
        <w:top w:val="none" w:sz="0" w:space="0" w:color="auto"/>
        <w:left w:val="none" w:sz="0" w:space="0" w:color="auto"/>
        <w:bottom w:val="none" w:sz="0" w:space="0" w:color="auto"/>
        <w:right w:val="none" w:sz="0" w:space="0" w:color="auto"/>
      </w:divBdr>
    </w:div>
    <w:div w:id="1559590852">
      <w:bodyDiv w:val="1"/>
      <w:marLeft w:val="0"/>
      <w:marRight w:val="0"/>
      <w:marTop w:val="0"/>
      <w:marBottom w:val="0"/>
      <w:divBdr>
        <w:top w:val="none" w:sz="0" w:space="0" w:color="auto"/>
        <w:left w:val="none" w:sz="0" w:space="0" w:color="auto"/>
        <w:bottom w:val="none" w:sz="0" w:space="0" w:color="auto"/>
        <w:right w:val="none" w:sz="0" w:space="0" w:color="auto"/>
      </w:divBdr>
      <w:divsChild>
        <w:div w:id="1605768576">
          <w:marLeft w:val="0"/>
          <w:marRight w:val="0"/>
          <w:marTop w:val="0"/>
          <w:marBottom w:val="0"/>
          <w:divBdr>
            <w:top w:val="none" w:sz="0" w:space="0" w:color="auto"/>
            <w:left w:val="none" w:sz="0" w:space="0" w:color="auto"/>
            <w:bottom w:val="none" w:sz="0" w:space="0" w:color="auto"/>
            <w:right w:val="none" w:sz="0" w:space="0" w:color="auto"/>
          </w:divBdr>
          <w:divsChild>
            <w:div w:id="191963995">
              <w:marLeft w:val="0"/>
              <w:marRight w:val="0"/>
              <w:marTop w:val="0"/>
              <w:marBottom w:val="0"/>
              <w:divBdr>
                <w:top w:val="none" w:sz="0" w:space="0" w:color="auto"/>
                <w:left w:val="none" w:sz="0" w:space="0" w:color="auto"/>
                <w:bottom w:val="none" w:sz="0" w:space="0" w:color="auto"/>
                <w:right w:val="none" w:sz="0" w:space="0" w:color="auto"/>
              </w:divBdr>
              <w:divsChild>
                <w:div w:id="1637181004">
                  <w:marLeft w:val="0"/>
                  <w:marRight w:val="0"/>
                  <w:marTop w:val="0"/>
                  <w:marBottom w:val="0"/>
                  <w:divBdr>
                    <w:top w:val="none" w:sz="0" w:space="0" w:color="auto"/>
                    <w:left w:val="none" w:sz="0" w:space="0" w:color="auto"/>
                    <w:bottom w:val="none" w:sz="0" w:space="0" w:color="auto"/>
                    <w:right w:val="none" w:sz="0" w:space="0" w:color="auto"/>
                  </w:divBdr>
                  <w:divsChild>
                    <w:div w:id="432744507">
                      <w:marLeft w:val="0"/>
                      <w:marRight w:val="0"/>
                      <w:marTop w:val="0"/>
                      <w:marBottom w:val="0"/>
                      <w:divBdr>
                        <w:top w:val="none" w:sz="0" w:space="0" w:color="auto"/>
                        <w:left w:val="none" w:sz="0" w:space="0" w:color="auto"/>
                        <w:bottom w:val="none" w:sz="0" w:space="0" w:color="auto"/>
                        <w:right w:val="none" w:sz="0" w:space="0" w:color="auto"/>
                      </w:divBdr>
                      <w:divsChild>
                        <w:div w:id="37913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7831548">
      <w:bodyDiv w:val="1"/>
      <w:marLeft w:val="0"/>
      <w:marRight w:val="0"/>
      <w:marTop w:val="0"/>
      <w:marBottom w:val="0"/>
      <w:divBdr>
        <w:top w:val="none" w:sz="0" w:space="0" w:color="auto"/>
        <w:left w:val="none" w:sz="0" w:space="0" w:color="auto"/>
        <w:bottom w:val="none" w:sz="0" w:space="0" w:color="auto"/>
        <w:right w:val="none" w:sz="0" w:space="0" w:color="auto"/>
      </w:divBdr>
    </w:div>
    <w:div w:id="2005550342">
      <w:bodyDiv w:val="1"/>
      <w:marLeft w:val="0"/>
      <w:marRight w:val="0"/>
      <w:marTop w:val="0"/>
      <w:marBottom w:val="0"/>
      <w:divBdr>
        <w:top w:val="none" w:sz="0" w:space="0" w:color="auto"/>
        <w:left w:val="none" w:sz="0" w:space="0" w:color="auto"/>
        <w:bottom w:val="none" w:sz="0" w:space="0" w:color="auto"/>
        <w:right w:val="none" w:sz="0" w:space="0" w:color="auto"/>
      </w:divBdr>
    </w:div>
    <w:div w:id="2083091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image" Target="media/image1.png" Id="rId13" /><Relationship Type="http://schemas.openxmlformats.org/officeDocument/2006/relationships/footer" Target="footer1.xml" Id="rId18" /><Relationship Type="http://schemas.openxmlformats.org/officeDocument/2006/relationships/customXml" Target="../customXml/item3.xml" Id="rId3" /><Relationship Type="http://schemas.openxmlformats.org/officeDocument/2006/relationships/fontTable" Target="fontTable.xml" Id="rId21" /><Relationship Type="http://schemas.openxmlformats.org/officeDocument/2006/relationships/settings" Target="settings.xml" Id="rId7" /><Relationship Type="http://schemas.openxmlformats.org/officeDocument/2006/relationships/hyperlink" Target="https://www.psc.nsw.gov.au/workforce-management/capability-framework/the-capability-framework" TargetMode="External" Id="rId12" /><Relationship Type="http://schemas.openxmlformats.org/officeDocument/2006/relationships/image" Target="media/image5.png" Id="rId17" /><Relationship Type="http://schemas.openxmlformats.org/officeDocument/2006/relationships/customXml" Target="../customXml/item2.xml" Id="rId2" /><Relationship Type="http://schemas.openxmlformats.org/officeDocument/2006/relationships/image" Target="media/image4.png" Id="rId16" /><Relationship Type="http://schemas.openxmlformats.org/officeDocument/2006/relationships/footer" Target="footer2.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www.regional.nsw.gov.au" TargetMode="External" Id="rId11" /><Relationship Type="http://schemas.openxmlformats.org/officeDocument/2006/relationships/numbering" Target="numbering.xml" Id="rId5" /><Relationship Type="http://schemas.openxmlformats.org/officeDocument/2006/relationships/image" Target="media/image3.png" Id="rId15" /><Relationship Type="http://schemas.openxmlformats.org/officeDocument/2006/relationships/endnotes" Target="endnotes.xml" Id="rId10" /><Relationship Type="http://schemas.openxmlformats.org/officeDocument/2006/relationships/header" Target="header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image" Target="media/image2.png" Id="rId14" /><Relationship Type="http://schemas.openxmlformats.org/officeDocument/2006/relationships/theme" Target="theme/theme1.xml" Id="rId22" /></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_rels/settings.xml.rels><?xml version="1.0" encoding="UTF-8" standalone="yes"?>
<Relationships xmlns="http://schemas.openxmlformats.org/package/2006/relationships"><Relationship Id="rId1" Type="http://schemas.openxmlformats.org/officeDocument/2006/relationships/attachedTemplate" Target="file:///D:\Websites\PSC\web\PSCRD\DocumentGeneration\Template\PSC_Basi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34A55975AF3C4E85DF837E2A36A473" ma:contentTypeVersion="12" ma:contentTypeDescription="Create a new document." ma:contentTypeScope="" ma:versionID="cdaf5e6db725e13868959d56d12fe596">
  <xsd:schema xmlns:xsd="http://www.w3.org/2001/XMLSchema" xmlns:xs="http://www.w3.org/2001/XMLSchema" xmlns:p="http://schemas.microsoft.com/office/2006/metadata/properties" xmlns:ns2="0da7b1cd-1cea-4c06-abc5-537787b1b50c" xmlns:ns3="6ad3194e-372e-4eb0-9b94-b90f331bb54e" targetNamespace="http://schemas.microsoft.com/office/2006/metadata/properties" ma:root="true" ma:fieldsID="657ba10ade333e003326734e6cbbe565" ns2:_="" ns3:_="">
    <xsd:import namespace="0da7b1cd-1cea-4c06-abc5-537787b1b50c"/>
    <xsd:import namespace="6ad3194e-372e-4eb0-9b94-b90f331bb54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a7b1cd-1cea-4c06-abc5-537787b1b5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d3194e-372e-4eb0-9b94-b90f331bb54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00D785-0270-4B48-A91B-7192AB55CA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a7b1cd-1cea-4c06-abc5-537787b1b50c"/>
    <ds:schemaRef ds:uri="6ad3194e-372e-4eb0-9b94-b90f331bb5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3D8D5E-323A-4ADF-83B9-D4A751A9059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966F467-983C-42FD-9108-EFC97DD5FB30}">
  <ds:schemaRefs>
    <ds:schemaRef ds:uri="http://schemas.microsoft.com/sharepoint/v3/contenttype/forms"/>
  </ds:schemaRefs>
</ds:datastoreItem>
</file>

<file path=customXml/itemProps4.xml><?xml version="1.0" encoding="utf-8"?>
<ds:datastoreItem xmlns:ds="http://schemas.openxmlformats.org/officeDocument/2006/customXml" ds:itemID="{A0D8425D-8BAF-4713-A1A5-B6A36DD2A50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PSC_Basic_Template.dotx</ap:Template>
  <ap:Application>Microsoft Word for the web</ap:Application>
  <ap:DocSecurity>0</ap:DocSecurity>
  <ap:ScaleCrop>false</ap:ScaleCrop>
  <ap:Company>NSW Government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Anbarasu Palanisamy</dc:creator>
  <lastModifiedBy>Matt Clark</lastModifiedBy>
  <revision>3</revision>
  <lastPrinted>2017-01-10T01:25:00.0000000Z</lastPrinted>
  <dcterms:created xsi:type="dcterms:W3CDTF">2021-09-21T01:21:00.0000000Z</dcterms:created>
  <dcterms:modified xsi:type="dcterms:W3CDTF">2021-09-22T02:44:34.9975457Z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0x010100FC34A55975AF3C4E85DF837E2A36A473</vt:lpwstr>
  </property>
</Properties>
</file>