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4B096B6E"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2D3002CA" w14:textId="48DCC13E" w:rsidR="00801E41" w:rsidRPr="00DC0173" w:rsidRDefault="002F7614" w:rsidP="00C60D72">
            <w:pPr>
              <w:pStyle w:val="TableTextWhite"/>
              <w:rPr>
                <w:b/>
              </w:rPr>
            </w:pPr>
            <w:r w:rsidRPr="002F7614">
              <w:rPr>
                <w:b/>
                <w:bCs/>
                <w:lang w:val="en-US"/>
              </w:rPr>
              <w:t>Portfolio</w:t>
            </w:r>
            <w:r w:rsidRPr="002F7614">
              <w:rPr>
                <w:b/>
                <w:lang w:val="en-US"/>
              </w:rPr>
              <w:t> </w:t>
            </w:r>
          </w:p>
        </w:tc>
        <w:tc>
          <w:tcPr>
            <w:tcW w:w="6831" w:type="dxa"/>
          </w:tcPr>
          <w:p w14:paraId="25E7DCAC" w14:textId="584FDE4D" w:rsidR="00801E41" w:rsidRPr="005452E9" w:rsidRDefault="002F7614" w:rsidP="00C60D72">
            <w:pPr>
              <w:pStyle w:val="TableTextWhite"/>
              <w:rPr>
                <w:b/>
                <w:bCs/>
                <w:color w:val="FFFFFF" w:themeColor="background1"/>
              </w:rPr>
            </w:pPr>
            <w:r w:rsidRPr="002F7614">
              <w:rPr>
                <w:b/>
                <w:bCs/>
                <w:color w:val="FFFFFF" w:themeColor="background1"/>
                <w:lang w:val="en-US"/>
              </w:rPr>
              <w:t>Primary Industries and Regional Development </w:t>
            </w:r>
          </w:p>
        </w:tc>
      </w:tr>
      <w:tr w:rsidR="00801E41" w:rsidRPr="00DC0173" w14:paraId="27894835" w14:textId="77777777" w:rsidTr="00C60D72">
        <w:tc>
          <w:tcPr>
            <w:tcW w:w="4026" w:type="dxa"/>
          </w:tcPr>
          <w:p w14:paraId="436B3699" w14:textId="5445941B" w:rsidR="00801E41" w:rsidRDefault="002F7614" w:rsidP="00C60D72">
            <w:pPr>
              <w:pStyle w:val="TableTextWhite"/>
              <w:rPr>
                <w:b/>
              </w:rPr>
            </w:pPr>
            <w:r w:rsidRPr="002F7614">
              <w:rPr>
                <w:b/>
                <w:bCs/>
                <w:lang w:val="en-US"/>
              </w:rPr>
              <w:t>Department</w:t>
            </w:r>
            <w:r w:rsidRPr="002F7614">
              <w:rPr>
                <w:b/>
                <w:lang w:val="en-US"/>
              </w:rPr>
              <w:t> </w:t>
            </w:r>
          </w:p>
        </w:tc>
        <w:tc>
          <w:tcPr>
            <w:tcW w:w="6831" w:type="dxa"/>
          </w:tcPr>
          <w:p w14:paraId="031A6B0B" w14:textId="0C47AF5B" w:rsidR="00801E41" w:rsidRPr="005452E9" w:rsidRDefault="00801E41" w:rsidP="00C60D72">
            <w:pPr>
              <w:pStyle w:val="TableTextWhite"/>
              <w:rPr>
                <w:b/>
                <w:bCs/>
                <w:color w:val="FFFFFF" w:themeColor="background1"/>
              </w:rPr>
            </w:pPr>
            <w:r w:rsidRPr="005452E9">
              <w:rPr>
                <w:b/>
                <w:bCs/>
                <w:color w:val="FFFFFF" w:themeColor="background1"/>
              </w:rPr>
              <w:t xml:space="preserve">Department of </w:t>
            </w:r>
            <w:r w:rsidR="00892763">
              <w:rPr>
                <w:b/>
                <w:bCs/>
                <w:color w:val="FFFFFF" w:themeColor="background1"/>
              </w:rPr>
              <w:t>Primary Industries and Regional Development</w:t>
            </w:r>
          </w:p>
        </w:tc>
      </w:tr>
      <w:tr w:rsidR="00801E41" w:rsidRPr="00DC0173" w14:paraId="3FC120D7" w14:textId="77777777" w:rsidTr="00C60D72">
        <w:tc>
          <w:tcPr>
            <w:tcW w:w="4026" w:type="dxa"/>
          </w:tcPr>
          <w:p w14:paraId="58A3F079" w14:textId="78DCBF9A" w:rsidR="00801E41" w:rsidRDefault="002F7614" w:rsidP="00C60D72">
            <w:pPr>
              <w:pStyle w:val="TableTextWhite"/>
              <w:rPr>
                <w:b/>
              </w:rPr>
            </w:pPr>
            <w:r w:rsidRPr="002F7614">
              <w:rPr>
                <w:b/>
                <w:bCs/>
                <w:lang w:val="en-US"/>
              </w:rPr>
              <w:t>Group/Division/Branch</w:t>
            </w:r>
            <w:r w:rsidRPr="002F7614">
              <w:rPr>
                <w:b/>
                <w:lang w:val="en-US"/>
              </w:rPr>
              <w:t> </w:t>
            </w:r>
          </w:p>
        </w:tc>
        <w:tc>
          <w:tcPr>
            <w:tcW w:w="6831" w:type="dxa"/>
          </w:tcPr>
          <w:p w14:paraId="244D2CEC" w14:textId="351EDB00" w:rsidR="00801E41" w:rsidRPr="005452E9" w:rsidRDefault="00892763" w:rsidP="00C60D72">
            <w:pPr>
              <w:pStyle w:val="TableTextWhite"/>
              <w:rPr>
                <w:b/>
                <w:bCs/>
                <w:color w:val="FFFFFF" w:themeColor="background1"/>
              </w:rPr>
            </w:pPr>
            <w:r>
              <w:rPr>
                <w:b/>
                <w:bCs/>
                <w:color w:val="FFFFFF" w:themeColor="background1"/>
              </w:rPr>
              <w:t>NSW Resources</w:t>
            </w:r>
            <w:r w:rsidR="004747B3" w:rsidRPr="005452E9">
              <w:rPr>
                <w:b/>
                <w:bCs/>
                <w:color w:val="FFFFFF" w:themeColor="background1"/>
              </w:rPr>
              <w:t xml:space="preserve"> / </w:t>
            </w:r>
            <w:r w:rsidR="00801E41" w:rsidRPr="005452E9">
              <w:rPr>
                <w:b/>
                <w:bCs/>
                <w:color w:val="FFFFFF" w:themeColor="background1"/>
              </w:rPr>
              <w:t>Resources Regulator / Mine Safety Inspectorate</w:t>
            </w:r>
          </w:p>
        </w:tc>
      </w:tr>
      <w:tr w:rsidR="00931219" w:rsidRPr="00DC0173" w14:paraId="48FD6133" w14:textId="77777777" w:rsidTr="00C60D72">
        <w:tc>
          <w:tcPr>
            <w:tcW w:w="4026" w:type="dxa"/>
          </w:tcPr>
          <w:p w14:paraId="5B921022" w14:textId="5628E896" w:rsidR="00931219" w:rsidRPr="00FC13A3" w:rsidRDefault="00931219" w:rsidP="00C60D72">
            <w:pPr>
              <w:pStyle w:val="TableTextWhite"/>
              <w:rPr>
                <w:b/>
              </w:rPr>
            </w:pPr>
            <w:r>
              <w:rPr>
                <w:b/>
              </w:rPr>
              <w:t>Location</w:t>
            </w:r>
          </w:p>
        </w:tc>
        <w:tc>
          <w:tcPr>
            <w:tcW w:w="6831" w:type="dxa"/>
          </w:tcPr>
          <w:p w14:paraId="0D81D60D" w14:textId="12B4980F" w:rsidR="00931219" w:rsidRPr="005452E9" w:rsidRDefault="005452E9" w:rsidP="00C60D72">
            <w:pPr>
              <w:pStyle w:val="TableTextWhite"/>
              <w:rPr>
                <w:b/>
                <w:bCs/>
                <w:color w:val="FFFFFF" w:themeColor="background1"/>
              </w:rPr>
            </w:pPr>
            <w:r>
              <w:rPr>
                <w:b/>
                <w:bCs/>
                <w:color w:val="FFFFFF" w:themeColor="background1"/>
              </w:rPr>
              <w:t>Negotiable</w:t>
            </w:r>
          </w:p>
        </w:tc>
      </w:tr>
      <w:tr w:rsidR="00801E41" w:rsidRPr="00DC0173" w14:paraId="32E0C2DB" w14:textId="77777777" w:rsidTr="00C60D72">
        <w:tc>
          <w:tcPr>
            <w:tcW w:w="4026" w:type="dxa"/>
          </w:tcPr>
          <w:p w14:paraId="6F15C067" w14:textId="77777777" w:rsidR="00801E41" w:rsidRDefault="00801E41" w:rsidP="00C60D72">
            <w:pPr>
              <w:pStyle w:val="TableTextWhite"/>
              <w:rPr>
                <w:b/>
              </w:rPr>
            </w:pPr>
            <w:r w:rsidRPr="00FC13A3">
              <w:rPr>
                <w:b/>
              </w:rPr>
              <w:t>Role number</w:t>
            </w:r>
          </w:p>
        </w:tc>
        <w:tc>
          <w:tcPr>
            <w:tcW w:w="6831" w:type="dxa"/>
          </w:tcPr>
          <w:p w14:paraId="308329A1" w14:textId="1A0165D1" w:rsidR="00801E41" w:rsidRPr="005452E9" w:rsidRDefault="00EA62E5" w:rsidP="00C60D72">
            <w:pPr>
              <w:pStyle w:val="TableTextWhite"/>
              <w:rPr>
                <w:b/>
                <w:bCs/>
                <w:color w:val="FFFFFF" w:themeColor="background1"/>
              </w:rPr>
            </w:pPr>
            <w:r w:rsidRPr="005452E9">
              <w:rPr>
                <w:b/>
                <w:bCs/>
                <w:color w:val="FFFFFF" w:themeColor="background1"/>
              </w:rPr>
              <w:t>TBD</w:t>
            </w:r>
          </w:p>
        </w:tc>
      </w:tr>
      <w:tr w:rsidR="00801E41" w:rsidRPr="00DC0173" w14:paraId="20002B44" w14:textId="77777777" w:rsidTr="00C60D72">
        <w:tc>
          <w:tcPr>
            <w:tcW w:w="4026" w:type="dxa"/>
          </w:tcPr>
          <w:p w14:paraId="73A01C54" w14:textId="77777777" w:rsidR="00801E41" w:rsidRDefault="00801E41" w:rsidP="00C60D72">
            <w:pPr>
              <w:pStyle w:val="TableTextWhite"/>
              <w:rPr>
                <w:b/>
              </w:rPr>
            </w:pPr>
            <w:r w:rsidRPr="00FC13A3">
              <w:rPr>
                <w:b/>
              </w:rPr>
              <w:t>Classification/Grade/Band</w:t>
            </w:r>
          </w:p>
        </w:tc>
        <w:tc>
          <w:tcPr>
            <w:tcW w:w="6831" w:type="dxa"/>
          </w:tcPr>
          <w:p w14:paraId="606BBB60" w14:textId="5CA3C7F2" w:rsidR="00801E41" w:rsidRPr="005452E9" w:rsidRDefault="006921D0" w:rsidP="00C60D72">
            <w:pPr>
              <w:pStyle w:val="TableTextWhite"/>
              <w:rPr>
                <w:b/>
                <w:bCs/>
                <w:color w:val="FFFFFF" w:themeColor="background1"/>
              </w:rPr>
            </w:pPr>
            <w:r>
              <w:rPr>
                <w:b/>
                <w:bCs/>
                <w:color w:val="FFFFFF" w:themeColor="background1"/>
              </w:rPr>
              <w:t>Inspector</w:t>
            </w:r>
            <w:r w:rsidR="008825FE" w:rsidRPr="005452E9">
              <w:rPr>
                <w:b/>
                <w:bCs/>
                <w:color w:val="FFFFFF" w:themeColor="background1"/>
              </w:rPr>
              <w:t xml:space="preserve"> </w:t>
            </w:r>
            <w:r w:rsidR="00AB3FBC" w:rsidRPr="005452E9">
              <w:rPr>
                <w:b/>
                <w:bCs/>
                <w:color w:val="FFFFFF" w:themeColor="background1"/>
              </w:rPr>
              <w:t xml:space="preserve">Grade 3 </w:t>
            </w:r>
          </w:p>
        </w:tc>
      </w:tr>
      <w:tr w:rsidR="00801E41" w:rsidRPr="00DC0173" w14:paraId="20602CF6" w14:textId="77777777" w:rsidTr="00C60D72">
        <w:tc>
          <w:tcPr>
            <w:tcW w:w="4026" w:type="dxa"/>
          </w:tcPr>
          <w:p w14:paraId="41889DEE" w14:textId="77777777" w:rsidR="00801E41" w:rsidRDefault="00801E41" w:rsidP="00C60D72">
            <w:pPr>
              <w:pStyle w:val="TableTextWhite"/>
              <w:rPr>
                <w:b/>
              </w:rPr>
            </w:pPr>
            <w:r w:rsidRPr="00FC13A3">
              <w:rPr>
                <w:b/>
              </w:rPr>
              <w:t>ANZSCO Code</w:t>
            </w:r>
          </w:p>
        </w:tc>
        <w:tc>
          <w:tcPr>
            <w:tcW w:w="6831" w:type="dxa"/>
          </w:tcPr>
          <w:p w14:paraId="311F7F37" w14:textId="30A3A33A" w:rsidR="00801E41" w:rsidRPr="005452E9" w:rsidRDefault="005452E9" w:rsidP="00C60D72">
            <w:pPr>
              <w:pStyle w:val="TableTextWhite"/>
              <w:rPr>
                <w:b/>
                <w:bCs/>
                <w:color w:val="FFFFFF" w:themeColor="background1"/>
              </w:rPr>
            </w:pPr>
            <w:r w:rsidRPr="005452E9">
              <w:rPr>
                <w:b/>
                <w:bCs/>
                <w:color w:val="FFFFFF" w:themeColor="background1"/>
              </w:rPr>
              <w:t>139999</w:t>
            </w:r>
          </w:p>
        </w:tc>
      </w:tr>
      <w:tr w:rsidR="00801E41" w:rsidRPr="00DC0173" w14:paraId="16F27C31" w14:textId="77777777" w:rsidTr="00C60D72">
        <w:tc>
          <w:tcPr>
            <w:tcW w:w="4026" w:type="dxa"/>
          </w:tcPr>
          <w:p w14:paraId="24A993E3" w14:textId="77777777" w:rsidR="00801E41" w:rsidRDefault="00801E41" w:rsidP="00C60D72">
            <w:pPr>
              <w:pStyle w:val="TableTextWhite"/>
              <w:rPr>
                <w:b/>
              </w:rPr>
            </w:pPr>
            <w:r w:rsidRPr="00FC13A3">
              <w:rPr>
                <w:b/>
              </w:rPr>
              <w:t>PCAT Code</w:t>
            </w:r>
          </w:p>
        </w:tc>
        <w:tc>
          <w:tcPr>
            <w:tcW w:w="6831" w:type="dxa"/>
          </w:tcPr>
          <w:p w14:paraId="189B3FFD" w14:textId="65BA8E05" w:rsidR="00801E41" w:rsidRPr="005452E9" w:rsidRDefault="005452E9" w:rsidP="00C60D72">
            <w:pPr>
              <w:pStyle w:val="TableTextWhite"/>
              <w:rPr>
                <w:b/>
                <w:bCs/>
                <w:color w:val="FFFFFF" w:themeColor="background1"/>
              </w:rPr>
            </w:pPr>
            <w:r w:rsidRPr="005452E9">
              <w:rPr>
                <w:b/>
                <w:bCs/>
                <w:color w:val="FFFFFF" w:themeColor="background1"/>
              </w:rPr>
              <w:t>1119192</w:t>
            </w:r>
          </w:p>
        </w:tc>
      </w:tr>
      <w:tr w:rsidR="00801E41" w:rsidRPr="00DC0173" w14:paraId="7A1E8A40" w14:textId="77777777" w:rsidTr="00C60D72">
        <w:tc>
          <w:tcPr>
            <w:tcW w:w="4026" w:type="dxa"/>
          </w:tcPr>
          <w:p w14:paraId="6F932EE0" w14:textId="77777777" w:rsidR="00801E41" w:rsidRDefault="00801E41" w:rsidP="00C60D72">
            <w:pPr>
              <w:pStyle w:val="TableTextWhite"/>
              <w:rPr>
                <w:b/>
              </w:rPr>
            </w:pPr>
            <w:r w:rsidRPr="00FC13A3">
              <w:rPr>
                <w:b/>
              </w:rPr>
              <w:t>Date of Approval</w:t>
            </w:r>
          </w:p>
        </w:tc>
        <w:tc>
          <w:tcPr>
            <w:tcW w:w="6831" w:type="dxa"/>
          </w:tcPr>
          <w:p w14:paraId="7C7A47B9" w14:textId="6F7EA4C1" w:rsidR="00801E41" w:rsidRPr="005452E9" w:rsidRDefault="005452E9" w:rsidP="00C60D72">
            <w:pPr>
              <w:pStyle w:val="TableTextWhite"/>
              <w:rPr>
                <w:b/>
                <w:bCs/>
                <w:color w:val="FFFFFF" w:themeColor="background1"/>
              </w:rPr>
            </w:pPr>
            <w:r w:rsidRPr="005452E9">
              <w:rPr>
                <w:b/>
                <w:bCs/>
                <w:color w:val="FFFFFF" w:themeColor="background1"/>
              </w:rPr>
              <w:t>March 2024</w:t>
            </w:r>
            <w:r w:rsidR="008C03A9">
              <w:rPr>
                <w:b/>
                <w:bCs/>
                <w:color w:val="FFFFFF" w:themeColor="background1"/>
              </w:rPr>
              <w:t xml:space="preserve"> </w:t>
            </w:r>
          </w:p>
        </w:tc>
      </w:tr>
      <w:tr w:rsidR="00801E41" w:rsidRPr="00DC0173" w14:paraId="0E4C933C" w14:textId="77777777" w:rsidTr="00C60D72">
        <w:tc>
          <w:tcPr>
            <w:tcW w:w="4026" w:type="dxa"/>
          </w:tcPr>
          <w:p w14:paraId="00AAB7CF" w14:textId="77777777" w:rsidR="00801E41" w:rsidRDefault="00801E41" w:rsidP="00C60D72">
            <w:pPr>
              <w:pStyle w:val="TableTextWhite"/>
              <w:rPr>
                <w:b/>
              </w:rPr>
            </w:pPr>
            <w:r w:rsidRPr="00FC13A3">
              <w:rPr>
                <w:b/>
              </w:rPr>
              <w:t>Agency Website</w:t>
            </w:r>
          </w:p>
        </w:tc>
        <w:tc>
          <w:tcPr>
            <w:tcW w:w="6831" w:type="dxa"/>
          </w:tcPr>
          <w:p w14:paraId="305A2BBC" w14:textId="7BC45787" w:rsidR="00801E41" w:rsidRPr="005452E9" w:rsidRDefault="00891C38" w:rsidP="00C60D72">
            <w:pPr>
              <w:pStyle w:val="TableTextWhite"/>
              <w:rPr>
                <w:b/>
                <w:bCs/>
                <w:color w:val="FFFFFF" w:themeColor="background1"/>
              </w:rPr>
            </w:pPr>
            <w:r w:rsidRPr="005452E9">
              <w:rPr>
                <w:b/>
                <w:bCs/>
                <w:color w:val="FFFFFF" w:themeColor="background1"/>
              </w:rPr>
              <w:t>www.</w:t>
            </w:r>
            <w:r w:rsidR="00892763">
              <w:rPr>
                <w:b/>
                <w:bCs/>
                <w:color w:val="FFFFFF" w:themeColor="background1"/>
              </w:rPr>
              <w:t>dpird</w:t>
            </w:r>
            <w:r w:rsidRPr="005452E9">
              <w:rPr>
                <w:b/>
                <w:bCs/>
                <w:color w:val="FFFFFF" w:themeColor="background1"/>
              </w:rPr>
              <w:t>.nsw.gov.au</w:t>
            </w:r>
          </w:p>
        </w:tc>
      </w:tr>
    </w:tbl>
    <w:p w14:paraId="02E7DFA8" w14:textId="77777777" w:rsidR="007B27D1" w:rsidRDefault="007B27D1" w:rsidP="00A251CF">
      <w:pPr>
        <w:tabs>
          <w:tab w:val="left" w:pos="2925"/>
        </w:tabs>
        <w:spacing w:before="120"/>
        <w:rPr>
          <w:rStyle w:val="Heading1Char"/>
        </w:rPr>
      </w:pPr>
    </w:p>
    <w:p w14:paraId="18066CA3" w14:textId="2487A594" w:rsidR="003927AE" w:rsidRPr="00614552" w:rsidRDefault="003927AE" w:rsidP="00A251CF">
      <w:pPr>
        <w:tabs>
          <w:tab w:val="left" w:pos="2925"/>
        </w:tabs>
        <w:spacing w:before="120"/>
        <w:rPr>
          <w:rStyle w:val="Heading1Char"/>
        </w:rPr>
      </w:pPr>
      <w:r w:rsidRPr="00614552">
        <w:rPr>
          <w:rStyle w:val="Heading1Char"/>
        </w:rPr>
        <w:t>Agency overview</w:t>
      </w:r>
    </w:p>
    <w:p w14:paraId="39AF4958" w14:textId="77777777" w:rsidR="00892763" w:rsidRPr="00892763" w:rsidRDefault="00892763" w:rsidP="00892763">
      <w:pPr>
        <w:rPr>
          <w:lang w:val="en-AU"/>
        </w:rPr>
      </w:pPr>
      <w:bookmarkStart w:id="0" w:name="_Hlk160177127"/>
      <w:r w:rsidRPr="00892763">
        <w:rPr>
          <w:lang w:val="en-AU"/>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149D7975" w14:textId="77777777" w:rsidR="00892763" w:rsidRPr="00892763" w:rsidRDefault="00892763" w:rsidP="00892763">
      <w:pPr>
        <w:rPr>
          <w:lang w:val="en-AU"/>
        </w:rPr>
      </w:pPr>
      <w:r w:rsidRPr="00892763">
        <w:rPr>
          <w:lang w:val="en-AU"/>
        </w:rPr>
        <w:t>DPIRD brings together Agriculture; Biosecurity; Forestry and Fishing; Local Land Services; NSW Resources; Regional Development and Delivery; the Regional Growth NSW Development Corporation; NSW Public Works and Soil Conservation Service.</w:t>
      </w:r>
    </w:p>
    <w:p w14:paraId="784931BA" w14:textId="77777777" w:rsidR="00892763" w:rsidRPr="00892763" w:rsidRDefault="00892763" w:rsidP="00892763">
      <w:pPr>
        <w:rPr>
          <w:lang w:val="en-AU"/>
        </w:rPr>
      </w:pPr>
      <w:r w:rsidRPr="00892763">
        <w:rPr>
          <w:lang w:val="en-AU"/>
        </w:rPr>
        <w:t>We have nearly 5,000 employees, with almost 80 per cent of us living and working in regional NSW.</w:t>
      </w:r>
    </w:p>
    <w:p w14:paraId="2B059D90" w14:textId="77777777" w:rsidR="00892763" w:rsidRPr="00892763" w:rsidRDefault="00892763" w:rsidP="00892763">
      <w:pPr>
        <w:rPr>
          <w:lang w:val="en-AU"/>
        </w:rPr>
      </w:pPr>
      <w:r w:rsidRPr="00892763">
        <w:rPr>
          <w:lang w:val="en-AU"/>
        </w:rPr>
        <w:t>NSW Resources sets strategic policy for the state’s mineral and energy resources, gathers, analyses and disseminates geoscientific information, and assesses and determines applications for mineral and petroleum titles for exploration activities and extractive uses. </w:t>
      </w:r>
    </w:p>
    <w:p w14:paraId="117A73DC" w14:textId="77777777" w:rsidR="00892763" w:rsidRPr="00892763" w:rsidRDefault="00892763" w:rsidP="00892763">
      <w:pPr>
        <w:rPr>
          <w:lang w:val="en-AU"/>
        </w:rPr>
      </w:pPr>
      <w:r w:rsidRPr="00892763">
        <w:rPr>
          <w:lang w:val="en-AU"/>
        </w:rPr>
        <w:t>NSW Resources is committed to delivering strong and quality outcomes, with the vision of our minerals and petroleum resources generating prosperity for the people of NSW.</w:t>
      </w:r>
    </w:p>
    <w:bookmarkEnd w:id="0"/>
    <w:p w14:paraId="2B513B35" w14:textId="77777777" w:rsidR="003927AE" w:rsidRPr="00614552" w:rsidRDefault="003927AE" w:rsidP="00760BB6">
      <w:pPr>
        <w:tabs>
          <w:tab w:val="left" w:pos="2925"/>
        </w:tabs>
        <w:spacing w:after="120"/>
        <w:rPr>
          <w:rStyle w:val="Heading1Char"/>
        </w:rPr>
      </w:pPr>
      <w:r w:rsidRPr="00614552">
        <w:rPr>
          <w:rStyle w:val="Heading1Char"/>
        </w:rPr>
        <w:t>Primary purpose of the role</w:t>
      </w:r>
    </w:p>
    <w:p w14:paraId="4EE81DAE" w14:textId="0B555F50" w:rsidR="00AB3FBC" w:rsidRPr="007B27D1" w:rsidRDefault="00AB3FBC" w:rsidP="00F54155">
      <w:pPr>
        <w:tabs>
          <w:tab w:val="left" w:pos="2925"/>
        </w:tabs>
        <w:rPr>
          <w:rFonts w:cs="Arial"/>
        </w:rPr>
      </w:pPr>
      <w:r w:rsidRPr="007B27D1">
        <w:rPr>
          <w:rFonts w:cs="Arial"/>
        </w:rPr>
        <w:t>Lead a team of health and hygiene experts and provide specialist health and human factors expertise to improve health and safety performance</w:t>
      </w:r>
      <w:r w:rsidR="00376A98" w:rsidRPr="007B27D1">
        <w:rPr>
          <w:rFonts w:cs="Arial"/>
        </w:rPr>
        <w:t xml:space="preserve"> at mines.</w:t>
      </w:r>
      <w:r w:rsidR="00376A98" w:rsidRPr="007B27D1">
        <w:t xml:space="preserve"> The role overseas </w:t>
      </w:r>
      <w:r w:rsidR="007B27D1">
        <w:t xml:space="preserve">the </w:t>
      </w:r>
      <w:r w:rsidR="00376A98" w:rsidRPr="007B27D1">
        <w:t>verification of effective risk management and incident prevention strategies implemented in the NSW mining industry through management of site inspections, assessments, investigation of incidents and complaints, application of compliance powers, consultation and education.</w:t>
      </w:r>
    </w:p>
    <w:p w14:paraId="079AE1F5" w14:textId="3E311EAB" w:rsidR="003927AE" w:rsidRPr="00172DFE" w:rsidRDefault="003927AE" w:rsidP="00673A6A">
      <w:pPr>
        <w:rPr>
          <w:rStyle w:val="Heading1Char"/>
        </w:rPr>
      </w:pPr>
      <w:r w:rsidRPr="00172DFE">
        <w:rPr>
          <w:rStyle w:val="Heading1Char"/>
        </w:rPr>
        <w:t>Key accountabilities</w:t>
      </w:r>
      <w:r w:rsidR="00F023B3">
        <w:rPr>
          <w:rStyle w:val="Heading1Char"/>
        </w:rPr>
        <w:t xml:space="preserve"> </w:t>
      </w:r>
    </w:p>
    <w:p w14:paraId="6F1A5EBA" w14:textId="2E8AE8E7" w:rsidR="001C34A4" w:rsidRDefault="001C34A4" w:rsidP="00F54155">
      <w:pPr>
        <w:pStyle w:val="ListParagraph"/>
        <w:numPr>
          <w:ilvl w:val="0"/>
          <w:numId w:val="13"/>
        </w:numPr>
      </w:pPr>
      <w:r>
        <w:t>Provide expert skills and expertise in health</w:t>
      </w:r>
      <w:r w:rsidR="00376A98">
        <w:t xml:space="preserve"> &amp; hygiene</w:t>
      </w:r>
      <w:r w:rsidR="003C1D34">
        <w:t xml:space="preserve"> and human factors</w:t>
      </w:r>
      <w:r>
        <w:t xml:space="preserve">-related topics to Mine Safety. </w:t>
      </w:r>
    </w:p>
    <w:p w14:paraId="17218925" w14:textId="2931B845" w:rsidR="00376A98" w:rsidRDefault="00376A98" w:rsidP="00CD65AE">
      <w:pPr>
        <w:pStyle w:val="ListParagraph"/>
        <w:numPr>
          <w:ilvl w:val="0"/>
          <w:numId w:val="13"/>
        </w:numPr>
      </w:pPr>
      <w:r>
        <w:lastRenderedPageBreak/>
        <w:t>Assess, monitor, and review individual mine operator’s and other persons conducting business operations (PCBU’s) health and safety management systems to ensure regulatory compliance and that satisfactory standards are adopted and implemented.</w:t>
      </w:r>
    </w:p>
    <w:p w14:paraId="7CA85B69" w14:textId="6FD7531F" w:rsidR="00376A98" w:rsidRPr="00CD65AE" w:rsidRDefault="00376A98" w:rsidP="00376A98">
      <w:pPr>
        <w:pStyle w:val="ListParagraph"/>
        <w:numPr>
          <w:ilvl w:val="0"/>
          <w:numId w:val="13"/>
        </w:numPr>
      </w:pPr>
      <w:r w:rsidRPr="00CD65AE">
        <w:t xml:space="preserve">Manage the delivery of diverse, complex health and </w:t>
      </w:r>
      <w:r>
        <w:t>human factors</w:t>
      </w:r>
      <w:r w:rsidRPr="00CD65AE">
        <w:t xml:space="preserve"> projects, ensuring projects are completed on time, at or within budget and of the highest quality.</w:t>
      </w:r>
    </w:p>
    <w:p w14:paraId="7376FE56" w14:textId="1CA2C3E8" w:rsidR="00376A98" w:rsidRDefault="00376A98" w:rsidP="00CD65AE">
      <w:pPr>
        <w:pStyle w:val="ListParagraph"/>
        <w:numPr>
          <w:ilvl w:val="0"/>
          <w:numId w:val="13"/>
        </w:numPr>
      </w:pPr>
      <w:r>
        <w:t>Manage teams carrying out announced and unannounced inspections and assessment activities at mine sites, including inspections on weekends and back shifts. Review assessment and inspection reports and enforcement actions</w:t>
      </w:r>
      <w:r w:rsidR="007B27D1">
        <w:t xml:space="preserve"> and m</w:t>
      </w:r>
      <w:r>
        <w:t>aintain oversight to ensure corrective actions are addressed in a timely manner.</w:t>
      </w:r>
    </w:p>
    <w:p w14:paraId="414DD6D3" w14:textId="45A9C947" w:rsidR="00376A98" w:rsidRDefault="00376A98" w:rsidP="00CD65AE">
      <w:pPr>
        <w:pStyle w:val="ListParagraph"/>
        <w:numPr>
          <w:ilvl w:val="0"/>
          <w:numId w:val="13"/>
        </w:numPr>
      </w:pPr>
      <w:r>
        <w:t xml:space="preserve">Manage enforcement activities to ensure mine operations comply with health and safety legislation including overseeing </w:t>
      </w:r>
      <w:r w:rsidR="007B27D1">
        <w:t xml:space="preserve">the </w:t>
      </w:r>
      <w:r>
        <w:t>issuing of written advice, improvement, prohibition and penalty notices. This includes oversight of consultation with mine operators to ensure corrective actions are addressed in a timely manner.</w:t>
      </w:r>
    </w:p>
    <w:p w14:paraId="6A309BFA" w14:textId="1D9B9165" w:rsidR="00376A98" w:rsidRDefault="00376A98" w:rsidP="00CD65AE">
      <w:pPr>
        <w:pStyle w:val="ListParagraph"/>
        <w:numPr>
          <w:ilvl w:val="0"/>
          <w:numId w:val="13"/>
        </w:numPr>
      </w:pPr>
      <w:r>
        <w:t>Create and manage targeted health and safety campaigns, workshops, working groups or committees, industry forums and community meetings to provide specialist knowledge and promote the Resource Regulators business plans and strategies. This includes participation in the development of codes of practices, standards and guidelines for the industry</w:t>
      </w:r>
      <w:r w:rsidR="007B27D1">
        <w:t>.</w:t>
      </w:r>
    </w:p>
    <w:p w14:paraId="66E99CFF" w14:textId="61B3A593" w:rsidR="00D5605D" w:rsidRDefault="00D5605D" w:rsidP="00376A98">
      <w:pPr>
        <w:pStyle w:val="ListParagraph"/>
        <w:numPr>
          <w:ilvl w:val="0"/>
          <w:numId w:val="13"/>
        </w:numPr>
      </w:pPr>
      <w:r>
        <w:t xml:space="preserve">Provide strategic advice to the Chief Inspector on emerging health issues within the NSW mining sector. </w:t>
      </w:r>
    </w:p>
    <w:p w14:paraId="6BFB49B8" w14:textId="0BC0FA1F" w:rsidR="00376A98" w:rsidRDefault="00CD65AE" w:rsidP="00844CE4">
      <w:pPr>
        <w:pStyle w:val="ListParagraph"/>
        <w:numPr>
          <w:ilvl w:val="0"/>
          <w:numId w:val="13"/>
        </w:numPr>
      </w:pPr>
      <w:r w:rsidRPr="00CD65AE">
        <w:t xml:space="preserve">Keep abreast of and translate research into innovative strategies and interventions for implementation by </w:t>
      </w:r>
      <w:r w:rsidR="00892763">
        <w:t xml:space="preserve">the </w:t>
      </w:r>
      <w:r>
        <w:t>Resources Regulator</w:t>
      </w:r>
      <w:r w:rsidRPr="00CD65AE">
        <w:t xml:space="preserve"> whilst maintaining currency and alignment with industry, State, national and/or international evidence-based best practice.</w:t>
      </w:r>
      <w:r w:rsidR="007B27D1">
        <w:t xml:space="preserve"> </w:t>
      </w:r>
      <w:r w:rsidR="00E94B33">
        <w:t xml:space="preserve">Oversee the implementation of Human and organisational factors assessments and training as outlined in the incident prevention strategy.  </w:t>
      </w:r>
    </w:p>
    <w:p w14:paraId="7F44A559" w14:textId="77777777" w:rsidR="003927AE" w:rsidRPr="00614552" w:rsidRDefault="003927AE" w:rsidP="003927AE">
      <w:pPr>
        <w:tabs>
          <w:tab w:val="left" w:pos="2925"/>
        </w:tabs>
        <w:rPr>
          <w:rStyle w:val="Heading1Char"/>
        </w:rPr>
      </w:pPr>
      <w:r w:rsidRPr="00614552">
        <w:rPr>
          <w:rStyle w:val="Heading1Char"/>
        </w:rPr>
        <w:t>Key challenges</w:t>
      </w:r>
    </w:p>
    <w:p w14:paraId="2C582848" w14:textId="7DA34AE0" w:rsidR="004810BB" w:rsidRDefault="004810BB" w:rsidP="00BD2561">
      <w:pPr>
        <w:pStyle w:val="ListParagraph"/>
        <w:numPr>
          <w:ilvl w:val="0"/>
          <w:numId w:val="13"/>
        </w:numPr>
      </w:pPr>
      <w:r>
        <w:t xml:space="preserve">Dealing with mine operators who may have a limited understanding of their legal obligations, or </w:t>
      </w:r>
      <w:r w:rsidRPr="00F54155">
        <w:t xml:space="preserve">who </w:t>
      </w:r>
      <w:r>
        <w:t>may be concerned at the possible implications of compliance</w:t>
      </w:r>
      <w:r w:rsidRPr="00F54155">
        <w:t xml:space="preserve"> </w:t>
      </w:r>
      <w:r>
        <w:t>action</w:t>
      </w:r>
      <w:r w:rsidR="00F84C56">
        <w:t>, and ga</w:t>
      </w:r>
      <w:r>
        <w:t>ining the confidence of mine operators and workers, through the development of cooperative and open</w:t>
      </w:r>
      <w:r w:rsidRPr="00F54155">
        <w:t xml:space="preserve"> </w:t>
      </w:r>
      <w:r>
        <w:t>relationships.</w:t>
      </w:r>
    </w:p>
    <w:p w14:paraId="58034266" w14:textId="284095A6" w:rsidR="00BB18D5" w:rsidRPr="00C04215" w:rsidRDefault="00BB18D5" w:rsidP="00F54155">
      <w:pPr>
        <w:pStyle w:val="ListParagraph"/>
        <w:numPr>
          <w:ilvl w:val="0"/>
          <w:numId w:val="13"/>
        </w:numPr>
      </w:pPr>
      <w:r>
        <w:t xml:space="preserve">Develop strategies and programs to manage emerging health issues </w:t>
      </w:r>
      <w:r w:rsidR="00B7337E">
        <w:t>within</w:t>
      </w:r>
      <w:r>
        <w:t xml:space="preserve"> industry. </w:t>
      </w:r>
    </w:p>
    <w:p w14:paraId="4D0E2D7E" w14:textId="6BF086E4" w:rsidR="004810BB" w:rsidRDefault="004810BB" w:rsidP="00F54155">
      <w:pPr>
        <w:pStyle w:val="ListParagraph"/>
        <w:numPr>
          <w:ilvl w:val="0"/>
          <w:numId w:val="13"/>
        </w:numPr>
      </w:pPr>
      <w:r>
        <w:t>Maintaining the necessary levels of knowledge in best practice, given the variety of legislative requirements and rapid changes in technology and anticipating the health and safety issues arising from new</w:t>
      </w:r>
      <w:r w:rsidRPr="00F54155">
        <w:t xml:space="preserve"> </w:t>
      </w:r>
      <w:r>
        <w:t>technology.</w:t>
      </w:r>
    </w:p>
    <w:p w14:paraId="0FC32040" w14:textId="77777777" w:rsidR="003927AE" w:rsidRPr="00EC5C1D" w:rsidRDefault="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17E9F437"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4BB8EDF3" w14:textId="77777777" w:rsidR="003927AE" w:rsidRPr="00C978B9" w:rsidRDefault="003927AE">
            <w:pPr>
              <w:pStyle w:val="TableTextWhite0"/>
            </w:pPr>
            <w:r w:rsidRPr="00C978B9">
              <w:t>Who</w:t>
            </w:r>
          </w:p>
        </w:tc>
        <w:tc>
          <w:tcPr>
            <w:tcW w:w="7256" w:type="dxa"/>
          </w:tcPr>
          <w:p w14:paraId="108D4DAF" w14:textId="77777777" w:rsidR="003927AE" w:rsidRPr="00C978B9" w:rsidRDefault="003927AE">
            <w:pPr>
              <w:pStyle w:val="TableTextWhite0"/>
            </w:pPr>
            <w:r>
              <w:t xml:space="preserve"> </w:t>
            </w:r>
            <w:r w:rsidRPr="00C978B9">
              <w:t>Why</w:t>
            </w:r>
          </w:p>
        </w:tc>
      </w:tr>
      <w:tr w:rsidR="003927AE" w:rsidRPr="00A8245E" w14:paraId="3187182E" w14:textId="77777777" w:rsidTr="00E55704">
        <w:tc>
          <w:tcPr>
            <w:tcW w:w="3601" w:type="dxa"/>
            <w:shd w:val="clear" w:color="auto" w:fill="BCBEC0"/>
          </w:tcPr>
          <w:p w14:paraId="054A99F5" w14:textId="77777777" w:rsidR="003927AE" w:rsidRPr="00A8245E" w:rsidRDefault="003927AE" w:rsidP="00F54155">
            <w:pPr>
              <w:pStyle w:val="TableText"/>
              <w:rPr>
                <w:b/>
              </w:rPr>
            </w:pPr>
            <w:r w:rsidRPr="00A8245E">
              <w:rPr>
                <w:b/>
              </w:rPr>
              <w:t>Internal</w:t>
            </w:r>
          </w:p>
        </w:tc>
        <w:tc>
          <w:tcPr>
            <w:tcW w:w="7256" w:type="dxa"/>
            <w:shd w:val="clear" w:color="auto" w:fill="BCBEC0"/>
          </w:tcPr>
          <w:p w14:paraId="1A00F36B" w14:textId="77777777" w:rsidR="003927AE" w:rsidRPr="00A8245E" w:rsidRDefault="003927AE" w:rsidP="00F54155">
            <w:pPr>
              <w:pStyle w:val="TableText"/>
              <w:rPr>
                <w:b/>
              </w:rPr>
            </w:pPr>
          </w:p>
        </w:tc>
      </w:tr>
      <w:tr w:rsidR="00BB18D5" w:rsidRPr="00C978B9" w14:paraId="6B1EF06D" w14:textId="77777777" w:rsidTr="00E55704">
        <w:tc>
          <w:tcPr>
            <w:tcW w:w="3601" w:type="dxa"/>
            <w:tcBorders>
              <w:top w:val="single" w:sz="8" w:space="0" w:color="auto"/>
              <w:bottom w:val="single" w:sz="8" w:space="0" w:color="BCBEC0"/>
            </w:tcBorders>
          </w:tcPr>
          <w:p w14:paraId="60946003" w14:textId="3C95CAD7" w:rsidR="00BB18D5" w:rsidRPr="00297324" w:rsidRDefault="00BB18D5">
            <w:pPr>
              <w:pStyle w:val="TableText"/>
            </w:pPr>
            <w:r>
              <w:t>Chief Inspector / Director Regulatory Operations</w:t>
            </w:r>
          </w:p>
        </w:tc>
        <w:tc>
          <w:tcPr>
            <w:tcW w:w="7256" w:type="dxa"/>
            <w:tcBorders>
              <w:top w:val="single" w:sz="8" w:space="0" w:color="auto"/>
              <w:bottom w:val="single" w:sz="8" w:space="0" w:color="BCBEC0"/>
            </w:tcBorders>
          </w:tcPr>
          <w:p w14:paraId="2473CDE0" w14:textId="77777777" w:rsidR="00BB18D5" w:rsidRDefault="00BB18D5">
            <w:pPr>
              <w:pStyle w:val="TableText"/>
              <w:numPr>
                <w:ilvl w:val="0"/>
                <w:numId w:val="3"/>
              </w:numPr>
            </w:pPr>
            <w:r>
              <w:t>Discuss and resolve issues relating to provision of resources, planning conflicts, management of technical information, outcomes and recommend strategic actions arising from assessment and intervention activities</w:t>
            </w:r>
          </w:p>
          <w:p w14:paraId="09ADDA07" w14:textId="77777777" w:rsidR="00D5605D" w:rsidRDefault="00D5605D" w:rsidP="00D5605D">
            <w:pPr>
              <w:pStyle w:val="TableText"/>
              <w:numPr>
                <w:ilvl w:val="0"/>
                <w:numId w:val="3"/>
              </w:numPr>
            </w:pPr>
            <w:r>
              <w:t xml:space="preserve">Provide expert technical advice and liaise to formulate policy / direction </w:t>
            </w:r>
          </w:p>
          <w:p w14:paraId="373443EF" w14:textId="230EF242" w:rsidR="00D5605D" w:rsidRPr="00297324" w:rsidRDefault="00D5605D" w:rsidP="007B27D1">
            <w:pPr>
              <w:pStyle w:val="TableText"/>
              <w:numPr>
                <w:ilvl w:val="0"/>
                <w:numId w:val="3"/>
              </w:numPr>
            </w:pPr>
            <w:r>
              <w:t>Provide expert technical strategic and operational advice to inform decision making on complex regulatory issues</w:t>
            </w:r>
            <w:r w:rsidR="007B27D1">
              <w:t>.</w:t>
            </w:r>
          </w:p>
        </w:tc>
      </w:tr>
      <w:tr w:rsidR="00D5605D" w:rsidRPr="00C978B9" w14:paraId="4BA7ECB5" w14:textId="77777777" w:rsidTr="00E55704">
        <w:tc>
          <w:tcPr>
            <w:tcW w:w="3601" w:type="dxa"/>
            <w:tcBorders>
              <w:top w:val="single" w:sz="8" w:space="0" w:color="auto"/>
              <w:bottom w:val="single" w:sz="8" w:space="0" w:color="BCBEC0"/>
            </w:tcBorders>
          </w:tcPr>
          <w:p w14:paraId="26B75B0E" w14:textId="1786C816" w:rsidR="00D5605D" w:rsidRPr="00297324" w:rsidRDefault="00D5605D" w:rsidP="00D5605D">
            <w:pPr>
              <w:pStyle w:val="TableText"/>
            </w:pPr>
            <w:r w:rsidRPr="00297324">
              <w:t>Principal Inspector</w:t>
            </w:r>
            <w:r>
              <w:t>s</w:t>
            </w:r>
          </w:p>
        </w:tc>
        <w:tc>
          <w:tcPr>
            <w:tcW w:w="7256" w:type="dxa"/>
            <w:tcBorders>
              <w:top w:val="single" w:sz="8" w:space="0" w:color="auto"/>
              <w:bottom w:val="single" w:sz="8" w:space="0" w:color="BCBEC0"/>
            </w:tcBorders>
          </w:tcPr>
          <w:p w14:paraId="632CE05B" w14:textId="0F70A1D3" w:rsidR="00D5605D" w:rsidRPr="00297324" w:rsidRDefault="00D5605D" w:rsidP="00D5605D">
            <w:pPr>
              <w:pStyle w:val="TableText"/>
              <w:numPr>
                <w:ilvl w:val="0"/>
                <w:numId w:val="3"/>
              </w:numPr>
            </w:pPr>
            <w:r w:rsidRPr="00297324">
              <w:t>Seek direction and provide advice and report on business, operational and compliance</w:t>
            </w:r>
            <w:r w:rsidRPr="00297324">
              <w:rPr>
                <w:spacing w:val="-15"/>
              </w:rPr>
              <w:t xml:space="preserve"> </w:t>
            </w:r>
            <w:r w:rsidRPr="00297324">
              <w:t>issues</w:t>
            </w:r>
            <w:r w:rsidR="007B27D1">
              <w:t>.</w:t>
            </w:r>
          </w:p>
        </w:tc>
      </w:tr>
      <w:tr w:rsidR="00D5605D" w:rsidRPr="00C978B9" w14:paraId="1180D83C" w14:textId="77777777" w:rsidTr="00E55704">
        <w:tc>
          <w:tcPr>
            <w:tcW w:w="3601" w:type="dxa"/>
            <w:tcBorders>
              <w:top w:val="single" w:sz="8" w:space="0" w:color="auto"/>
              <w:bottom w:val="single" w:sz="8" w:space="0" w:color="BCBEC0"/>
            </w:tcBorders>
          </w:tcPr>
          <w:p w14:paraId="6DECEC6B" w14:textId="5FBF07BD" w:rsidR="00D5605D" w:rsidRPr="00297324" w:rsidRDefault="00D5605D" w:rsidP="00D5605D">
            <w:pPr>
              <w:pStyle w:val="TableText"/>
            </w:pPr>
            <w:r>
              <w:lastRenderedPageBreak/>
              <w:t>Team members</w:t>
            </w:r>
          </w:p>
        </w:tc>
        <w:tc>
          <w:tcPr>
            <w:tcW w:w="7256" w:type="dxa"/>
            <w:tcBorders>
              <w:top w:val="single" w:sz="8" w:space="0" w:color="auto"/>
              <w:bottom w:val="single" w:sz="8" w:space="0" w:color="BCBEC0"/>
            </w:tcBorders>
          </w:tcPr>
          <w:p w14:paraId="5E6546D8" w14:textId="77777777" w:rsidR="007B27D1" w:rsidRDefault="007B27D1" w:rsidP="007B27D1">
            <w:pPr>
              <w:pStyle w:val="TableText"/>
              <w:numPr>
                <w:ilvl w:val="0"/>
                <w:numId w:val="3"/>
              </w:numPr>
            </w:pPr>
            <w:r>
              <w:t>M</w:t>
            </w:r>
            <w:r w:rsidR="00D5605D">
              <w:t>onitor and manage all work done by the team to meet KPIs and quality standards, work planning, performance management, to provide leadership, support and guidance on regulatory and technical matters</w:t>
            </w:r>
            <w:r>
              <w:t>.</w:t>
            </w:r>
          </w:p>
          <w:p w14:paraId="2E74B04F" w14:textId="4D9CA170" w:rsidR="002F7614" w:rsidRPr="002F7614" w:rsidRDefault="002F7614" w:rsidP="002F7614">
            <w:pPr>
              <w:tabs>
                <w:tab w:val="left" w:pos="4485"/>
              </w:tabs>
            </w:pPr>
            <w:r>
              <w:tab/>
            </w:r>
          </w:p>
          <w:p w14:paraId="4D4FD323" w14:textId="77777777" w:rsidR="007B27D1" w:rsidRDefault="007B27D1" w:rsidP="007B27D1">
            <w:pPr>
              <w:pStyle w:val="TableText"/>
            </w:pPr>
          </w:p>
          <w:p w14:paraId="3178E816" w14:textId="77777777" w:rsidR="007B27D1" w:rsidRDefault="007B27D1" w:rsidP="007B27D1">
            <w:pPr>
              <w:pStyle w:val="TableText"/>
            </w:pPr>
          </w:p>
          <w:p w14:paraId="3536C719" w14:textId="0A63CB3F" w:rsidR="007B27D1" w:rsidRPr="00297324" w:rsidRDefault="007B27D1" w:rsidP="007B27D1">
            <w:pPr>
              <w:pStyle w:val="TableText"/>
            </w:pPr>
          </w:p>
        </w:tc>
      </w:tr>
      <w:tr w:rsidR="00D5605D" w:rsidRPr="00A8245E" w14:paraId="704ADB4B" w14:textId="77777777" w:rsidTr="007B27D1">
        <w:trPr>
          <w:trHeight w:val="163"/>
        </w:trPr>
        <w:tc>
          <w:tcPr>
            <w:tcW w:w="3601" w:type="dxa"/>
            <w:shd w:val="clear" w:color="auto" w:fill="BCBEC0"/>
          </w:tcPr>
          <w:p w14:paraId="0491B355" w14:textId="77777777" w:rsidR="00D5605D" w:rsidRPr="00A8245E" w:rsidRDefault="00D5605D" w:rsidP="00D5605D">
            <w:pPr>
              <w:pStyle w:val="TableText"/>
              <w:rPr>
                <w:b/>
              </w:rPr>
            </w:pPr>
            <w:r w:rsidRPr="00A8245E">
              <w:rPr>
                <w:b/>
              </w:rPr>
              <w:t>External</w:t>
            </w:r>
          </w:p>
        </w:tc>
        <w:tc>
          <w:tcPr>
            <w:tcW w:w="7256" w:type="dxa"/>
            <w:shd w:val="clear" w:color="auto" w:fill="BCBEC0"/>
          </w:tcPr>
          <w:p w14:paraId="64998331" w14:textId="7A3FE3B1" w:rsidR="007B27D1" w:rsidRPr="007B27D1" w:rsidRDefault="007B27D1" w:rsidP="007B27D1">
            <w:pPr>
              <w:tabs>
                <w:tab w:val="left" w:pos="6280"/>
              </w:tabs>
            </w:pPr>
            <w:r>
              <w:tab/>
            </w:r>
          </w:p>
        </w:tc>
      </w:tr>
      <w:tr w:rsidR="00D5605D" w:rsidRPr="00C978B9" w14:paraId="38CC292A" w14:textId="77777777" w:rsidTr="00630096">
        <w:tc>
          <w:tcPr>
            <w:tcW w:w="3601" w:type="dxa"/>
            <w:tcBorders>
              <w:top w:val="single" w:sz="8" w:space="0" w:color="auto"/>
              <w:bottom w:val="single" w:sz="8" w:space="0" w:color="auto"/>
            </w:tcBorders>
          </w:tcPr>
          <w:p w14:paraId="02CBCD0D" w14:textId="2B28681F" w:rsidR="00D5605D" w:rsidRPr="00802EE8" w:rsidRDefault="00D5605D" w:rsidP="00D5605D">
            <w:pPr>
              <w:pStyle w:val="TableText"/>
            </w:pPr>
            <w:r>
              <w:t>WHS duty holders, mine owners and operators, statutory position holders, unions, equipment suppliers and service providers</w:t>
            </w:r>
          </w:p>
        </w:tc>
        <w:tc>
          <w:tcPr>
            <w:tcW w:w="7256" w:type="dxa"/>
            <w:tcBorders>
              <w:top w:val="single" w:sz="8" w:space="0" w:color="auto"/>
              <w:bottom w:val="single" w:sz="8" w:space="0" w:color="auto"/>
            </w:tcBorders>
          </w:tcPr>
          <w:p w14:paraId="01421018" w14:textId="77777777" w:rsidR="00D5605D" w:rsidRDefault="00D5605D" w:rsidP="00D5605D">
            <w:pPr>
              <w:pStyle w:val="TableText"/>
              <w:numPr>
                <w:ilvl w:val="0"/>
                <w:numId w:val="3"/>
              </w:numPr>
            </w:pPr>
            <w:r w:rsidRPr="00802EE8">
              <w:t xml:space="preserve">Gather information for the purpose of improving health and safety and ensuring compliance with the relevant legislation, providing advice and support to deal with </w:t>
            </w:r>
            <w:r>
              <w:t>operational matters.</w:t>
            </w:r>
          </w:p>
          <w:p w14:paraId="5F86287D" w14:textId="066C5050" w:rsidR="00D5605D" w:rsidRPr="00802EE8" w:rsidRDefault="00D5605D" w:rsidP="00D5605D">
            <w:pPr>
              <w:pStyle w:val="TableText"/>
              <w:numPr>
                <w:ilvl w:val="0"/>
                <w:numId w:val="3"/>
              </w:numPr>
            </w:pPr>
            <w:r>
              <w:t>Discuss the implementation, execution and outcomes of strategic safety assessment and intervention programs and compliance activities with these stakeholders</w:t>
            </w:r>
            <w:r w:rsidR="007B27D1">
              <w:t>.</w:t>
            </w:r>
          </w:p>
        </w:tc>
      </w:tr>
      <w:tr w:rsidR="00D5605D" w:rsidRPr="00C978B9" w14:paraId="668819B8" w14:textId="77777777" w:rsidTr="00E55704">
        <w:tc>
          <w:tcPr>
            <w:tcW w:w="3601" w:type="dxa"/>
            <w:tcBorders>
              <w:top w:val="single" w:sz="8" w:space="0" w:color="auto"/>
              <w:bottom w:val="single" w:sz="8" w:space="0" w:color="BCBEC0"/>
            </w:tcBorders>
          </w:tcPr>
          <w:p w14:paraId="12D5EFF6" w14:textId="65A427BA" w:rsidR="00D5605D" w:rsidRDefault="00D5605D" w:rsidP="00D5605D">
            <w:pPr>
              <w:pStyle w:val="TableText"/>
            </w:pPr>
            <w:r>
              <w:t>Industry stakeholders, Government agencies</w:t>
            </w:r>
          </w:p>
        </w:tc>
        <w:tc>
          <w:tcPr>
            <w:tcW w:w="7256" w:type="dxa"/>
            <w:tcBorders>
              <w:top w:val="single" w:sz="8" w:space="0" w:color="auto"/>
              <w:bottom w:val="single" w:sz="8" w:space="0" w:color="BCBEC0"/>
            </w:tcBorders>
          </w:tcPr>
          <w:p w14:paraId="346374E4" w14:textId="0451C902" w:rsidR="00D5605D" w:rsidRPr="00802EE8" w:rsidRDefault="00D5605D" w:rsidP="00D5605D">
            <w:pPr>
              <w:pStyle w:val="TableText"/>
              <w:numPr>
                <w:ilvl w:val="0"/>
                <w:numId w:val="3"/>
              </w:numPr>
            </w:pPr>
            <w:r>
              <w:t>Disseminate information and provide advice in relation to risk assessment and safety management systems</w:t>
            </w:r>
            <w:r w:rsidR="007B27D1">
              <w:t>.</w:t>
            </w:r>
          </w:p>
        </w:tc>
      </w:tr>
    </w:tbl>
    <w:p w14:paraId="0C93A17D" w14:textId="77777777" w:rsidR="00816C4F" w:rsidRDefault="00816C4F" w:rsidP="00816C4F">
      <w:pPr>
        <w:pStyle w:val="Heading1"/>
        <w:keepNext w:val="0"/>
        <w:spacing w:before="120"/>
      </w:pPr>
    </w:p>
    <w:p w14:paraId="63B3DDA9" w14:textId="79A73632" w:rsidR="003927AE" w:rsidRDefault="003927AE" w:rsidP="00F54155">
      <w:pPr>
        <w:pStyle w:val="Heading1"/>
        <w:keepNext w:val="0"/>
        <w:spacing w:before="120"/>
        <w:rPr>
          <w:sz w:val="28"/>
        </w:rPr>
      </w:pPr>
      <w:r w:rsidRPr="00614552">
        <w:t>Role dimensions</w:t>
      </w:r>
    </w:p>
    <w:p w14:paraId="064B7856" w14:textId="56DD9B63" w:rsidR="003927AE" w:rsidRDefault="003927AE" w:rsidP="003927AE">
      <w:pPr>
        <w:pStyle w:val="Heading2"/>
      </w:pPr>
      <w:r w:rsidRPr="00614552">
        <w:t>Decision making</w:t>
      </w:r>
    </w:p>
    <w:p w14:paraId="0E9F03E7" w14:textId="2AC77698" w:rsidR="008C03A9" w:rsidRPr="008C03A9" w:rsidRDefault="008C03A9" w:rsidP="008C03A9">
      <w:pPr>
        <w:rPr>
          <w:lang w:val="en-AU"/>
        </w:rPr>
      </w:pPr>
      <w:r>
        <w:rPr>
          <w:lang w:val="en-AU"/>
        </w:rPr>
        <w:t>The role:</w:t>
      </w:r>
    </w:p>
    <w:p w14:paraId="00D13E78" w14:textId="50991131" w:rsidR="00630096" w:rsidRDefault="00630096" w:rsidP="003628A6">
      <w:pPr>
        <w:pStyle w:val="ListParagraph"/>
        <w:numPr>
          <w:ilvl w:val="0"/>
          <w:numId w:val="13"/>
        </w:numPr>
      </w:pPr>
      <w:r>
        <w:t>Makes decisions regarding the management of staff undertaking inspection and assessment activities and is responsible for ensuring that services are delivered in a transparent and timely manner and within its allocated program budget</w:t>
      </w:r>
      <w:r w:rsidR="007B27D1">
        <w:t>.</w:t>
      </w:r>
    </w:p>
    <w:p w14:paraId="52E4C48A" w14:textId="5411DE94" w:rsidR="00630096" w:rsidRDefault="00630096" w:rsidP="003628A6">
      <w:pPr>
        <w:pStyle w:val="ListParagraph"/>
        <w:numPr>
          <w:ilvl w:val="0"/>
          <w:numId w:val="13"/>
        </w:numPr>
      </w:pPr>
      <w:r>
        <w:t>Manage</w:t>
      </w:r>
      <w:r w:rsidR="009308D0">
        <w:t>s</w:t>
      </w:r>
      <w:r>
        <w:t xml:space="preserve"> and </w:t>
      </w:r>
      <w:proofErr w:type="spellStart"/>
      <w:r>
        <w:t>prioriti</w:t>
      </w:r>
      <w:r w:rsidR="009308D0">
        <w:t>ses</w:t>
      </w:r>
      <w:proofErr w:type="spellEnd"/>
      <w:r>
        <w:t xml:space="preserve"> scheduled assessment activities in consideration of allocated resources; other planned work; the nature of the assessment activity, and the potential impacts of unplanned activities.</w:t>
      </w:r>
    </w:p>
    <w:p w14:paraId="6104F203" w14:textId="30870361" w:rsidR="003628A6" w:rsidRPr="003628A6" w:rsidRDefault="00630096" w:rsidP="00630096">
      <w:pPr>
        <w:pStyle w:val="ListParagraph"/>
        <w:numPr>
          <w:ilvl w:val="0"/>
          <w:numId w:val="13"/>
        </w:numPr>
      </w:pPr>
      <w:r>
        <w:t>Guided by legislation, Departmental policies and procedures, Australian and International Standards and industry guidelines.</w:t>
      </w:r>
    </w:p>
    <w:p w14:paraId="15C5373B" w14:textId="1E37B091" w:rsidR="003628A6" w:rsidRPr="003628A6" w:rsidRDefault="003628A6" w:rsidP="003628A6">
      <w:pPr>
        <w:pStyle w:val="ListParagraph"/>
        <w:numPr>
          <w:ilvl w:val="0"/>
          <w:numId w:val="13"/>
        </w:numPr>
      </w:pPr>
      <w:r w:rsidRPr="003628A6">
        <w:t>Manage</w:t>
      </w:r>
      <w:r w:rsidR="009308D0">
        <w:t>s</w:t>
      </w:r>
      <w:r w:rsidRPr="003628A6">
        <w:t xml:space="preserve"> projects in the determination of priorities, the ongoing delivery of the program and the integrity of the delivered program.</w:t>
      </w:r>
    </w:p>
    <w:p w14:paraId="1A4B4BC9" w14:textId="77FD9381" w:rsidR="003628A6" w:rsidRPr="003628A6" w:rsidRDefault="003628A6" w:rsidP="003628A6">
      <w:pPr>
        <w:pStyle w:val="ListParagraph"/>
        <w:numPr>
          <w:ilvl w:val="0"/>
          <w:numId w:val="13"/>
        </w:numPr>
      </w:pPr>
      <w:r w:rsidRPr="003628A6">
        <w:t xml:space="preserve">Identifies areas for further research around </w:t>
      </w:r>
      <w:r w:rsidR="00630096">
        <w:t>health issues</w:t>
      </w:r>
      <w:r w:rsidRPr="003628A6">
        <w:t xml:space="preserve"> and provides recommendations for program development and projects.</w:t>
      </w:r>
    </w:p>
    <w:p w14:paraId="3BF71565" w14:textId="1BD469E9" w:rsidR="005A0B53" w:rsidRDefault="009308D0" w:rsidP="003628A6">
      <w:pPr>
        <w:pStyle w:val="ListParagraph"/>
        <w:numPr>
          <w:ilvl w:val="0"/>
          <w:numId w:val="13"/>
        </w:numPr>
      </w:pPr>
      <w:r>
        <w:t>Is g</w:t>
      </w:r>
      <w:r w:rsidR="005A0B53">
        <w:t>uided in their decision making by experience in mine health and safety management systems, legislation, Codes of Practice, Australian and International Standards and applicable Resources Regulator policies and procedures.</w:t>
      </w:r>
    </w:p>
    <w:p w14:paraId="104A7C11" w14:textId="1FDCDDE0" w:rsidR="003C1D34" w:rsidRDefault="007B27D1" w:rsidP="00CC108C">
      <w:pPr>
        <w:pStyle w:val="ListParagraph"/>
        <w:numPr>
          <w:ilvl w:val="0"/>
          <w:numId w:val="13"/>
        </w:numPr>
        <w:rPr>
          <w:rStyle w:val="ui-provider"/>
        </w:rPr>
      </w:pPr>
      <w:bookmarkStart w:id="1" w:name="This_role_consults_with_the_Principal_In"/>
      <w:bookmarkEnd w:id="1"/>
      <w:r>
        <w:t>C</w:t>
      </w:r>
      <w:r w:rsidR="005A0B53">
        <w:t>onsults with the Principal Inspector</w:t>
      </w:r>
      <w:r w:rsidR="0077578F">
        <w:t xml:space="preserve">, </w:t>
      </w:r>
      <w:r w:rsidR="00A16B21">
        <w:t>Director Technical Operations</w:t>
      </w:r>
      <w:r w:rsidR="0077578F">
        <w:t xml:space="preserve"> and Chief Inspector</w:t>
      </w:r>
      <w:r w:rsidR="005A0B53">
        <w:t xml:space="preserve"> when </w:t>
      </w:r>
      <w:proofErr w:type="spellStart"/>
      <w:r w:rsidR="00630096">
        <w:t>prioritising</w:t>
      </w:r>
      <w:proofErr w:type="spellEnd"/>
      <w:r w:rsidR="00630096">
        <w:t xml:space="preserve"> health and </w:t>
      </w:r>
      <w:r w:rsidR="003628A6">
        <w:t>human and organi</w:t>
      </w:r>
      <w:r w:rsidR="00630096">
        <w:t>s</w:t>
      </w:r>
      <w:r w:rsidR="003628A6">
        <w:t>ational factors</w:t>
      </w:r>
      <w:r w:rsidR="005A0B53">
        <w:t xml:space="preserve"> activities.</w:t>
      </w:r>
    </w:p>
    <w:p w14:paraId="6FD642EB" w14:textId="77777777" w:rsidR="003927AE" w:rsidRPr="00614552" w:rsidRDefault="003927AE" w:rsidP="003927AE">
      <w:pPr>
        <w:pStyle w:val="Heading2"/>
      </w:pPr>
      <w:r w:rsidRPr="00614552">
        <w:t>Reporting line</w:t>
      </w:r>
    </w:p>
    <w:p w14:paraId="4B400DFD" w14:textId="2F8F75B6" w:rsidR="00DD6AD3" w:rsidRDefault="004351F1" w:rsidP="00DD6AD3">
      <w:r>
        <w:t xml:space="preserve">This role reports to the </w:t>
      </w:r>
      <w:r w:rsidR="00892763">
        <w:t xml:space="preserve">Principal Inspector – </w:t>
      </w:r>
      <w:r w:rsidR="00193E9F">
        <w:t>Health, Risk and Compliance</w:t>
      </w:r>
    </w:p>
    <w:p w14:paraId="5F998803" w14:textId="0C46C06C" w:rsidR="003927AE" w:rsidRPr="00614552" w:rsidRDefault="007B27D1" w:rsidP="007B27D1">
      <w:pPr>
        <w:pStyle w:val="Heading2"/>
      </w:pPr>
      <w:r>
        <w:t>Direct reports</w:t>
      </w:r>
    </w:p>
    <w:p w14:paraId="2003CBEF" w14:textId="19DF675C" w:rsidR="003927AE" w:rsidRPr="00603D53" w:rsidRDefault="00DD6AD3" w:rsidP="003927AE">
      <w:pPr>
        <w:rPr>
          <w:rFonts w:cs="Arial"/>
          <w:szCs w:val="26"/>
        </w:rPr>
      </w:pPr>
      <w:r>
        <w:t>4</w:t>
      </w:r>
    </w:p>
    <w:p w14:paraId="4CB3586E" w14:textId="77777777" w:rsidR="003927AE" w:rsidRPr="00614552" w:rsidRDefault="003927AE" w:rsidP="003927AE">
      <w:pPr>
        <w:pStyle w:val="Heading2"/>
      </w:pPr>
      <w:r w:rsidRPr="00614552">
        <w:lastRenderedPageBreak/>
        <w:t>Budget/Expenditure</w:t>
      </w:r>
    </w:p>
    <w:p w14:paraId="17544E2D" w14:textId="266879BB" w:rsidR="003927AE" w:rsidRDefault="00DD6AD3" w:rsidP="003927AE">
      <w:pPr>
        <w:rPr>
          <w:rFonts w:cs="Arial"/>
          <w:szCs w:val="26"/>
        </w:rPr>
      </w:pPr>
      <w:r>
        <w:t>TBC</w:t>
      </w:r>
    </w:p>
    <w:p w14:paraId="1847E280" w14:textId="77777777" w:rsidR="003927AE" w:rsidRDefault="003927AE" w:rsidP="00C46408">
      <w:pPr>
        <w:tabs>
          <w:tab w:val="left" w:pos="2925"/>
        </w:tabs>
        <w:spacing w:after="120"/>
        <w:rPr>
          <w:rStyle w:val="Heading1Char"/>
        </w:rPr>
      </w:pPr>
      <w:r>
        <w:rPr>
          <w:rStyle w:val="Heading1Char"/>
        </w:rPr>
        <w:t>Key knowledge and experience</w:t>
      </w:r>
    </w:p>
    <w:p w14:paraId="18C90D49" w14:textId="6598F847" w:rsidR="003927AE" w:rsidRPr="003628A6" w:rsidRDefault="00A8497B" w:rsidP="00174F40">
      <w:pPr>
        <w:pStyle w:val="ListParagraph"/>
        <w:numPr>
          <w:ilvl w:val="0"/>
          <w:numId w:val="13"/>
        </w:numPr>
      </w:pPr>
      <w:r>
        <w:t>Sound</w:t>
      </w:r>
      <w:r w:rsidRPr="003628A6">
        <w:t xml:space="preserve"> </w:t>
      </w:r>
      <w:r>
        <w:t>knowledge</w:t>
      </w:r>
      <w:r w:rsidRPr="003628A6">
        <w:t xml:space="preserve"> </w:t>
      </w:r>
      <w:r>
        <w:t>of</w:t>
      </w:r>
      <w:r w:rsidRPr="003628A6">
        <w:t xml:space="preserve"> </w:t>
      </w:r>
      <w:r>
        <w:t>mining</w:t>
      </w:r>
      <w:r w:rsidRPr="003628A6">
        <w:t xml:space="preserve"> </w:t>
      </w:r>
      <w:r>
        <w:t>related</w:t>
      </w:r>
      <w:r w:rsidRPr="003628A6">
        <w:t xml:space="preserve"> </w:t>
      </w:r>
      <w:r w:rsidR="00FF271B" w:rsidRPr="003628A6">
        <w:t xml:space="preserve">WHS </w:t>
      </w:r>
      <w:r>
        <w:t>legislation,</w:t>
      </w:r>
      <w:r w:rsidRPr="003628A6">
        <w:t xml:space="preserve"> </w:t>
      </w:r>
      <w:r>
        <w:t>technology</w:t>
      </w:r>
      <w:r w:rsidRPr="003628A6">
        <w:t xml:space="preserve"> </w:t>
      </w:r>
      <w:r>
        <w:t>and</w:t>
      </w:r>
      <w:r w:rsidRPr="003628A6">
        <w:t xml:space="preserve"> </w:t>
      </w:r>
      <w:r>
        <w:t>systems</w:t>
      </w:r>
      <w:r w:rsidRPr="003628A6">
        <w:t xml:space="preserve"> </w:t>
      </w:r>
      <w:r>
        <w:t>applied</w:t>
      </w:r>
      <w:r w:rsidRPr="003628A6">
        <w:t xml:space="preserve"> </w:t>
      </w:r>
      <w:r>
        <w:t>in</w:t>
      </w:r>
      <w:r w:rsidRPr="003628A6">
        <w:t xml:space="preserve"> </w:t>
      </w:r>
      <w:r>
        <w:t>mining.</w:t>
      </w:r>
    </w:p>
    <w:p w14:paraId="2C2C31DB" w14:textId="0CCB8520" w:rsidR="009C7B2C" w:rsidRPr="003628A6" w:rsidRDefault="009C7B2C" w:rsidP="0077578F">
      <w:pPr>
        <w:pStyle w:val="ListParagraph"/>
        <w:numPr>
          <w:ilvl w:val="0"/>
          <w:numId w:val="13"/>
        </w:numPr>
      </w:pPr>
      <w:r w:rsidRPr="003628A6">
        <w:t xml:space="preserve">Experience in undertaking </w:t>
      </w:r>
      <w:r w:rsidR="00A67336" w:rsidRPr="003628A6">
        <w:t xml:space="preserve">detailed investigations into </w:t>
      </w:r>
      <w:r w:rsidR="00A86694" w:rsidRPr="003628A6">
        <w:t>safety incidents and</w:t>
      </w:r>
      <w:r w:rsidR="00C04109" w:rsidRPr="003628A6">
        <w:t xml:space="preserve"> non-compliances with legis</w:t>
      </w:r>
      <w:r w:rsidR="002A020E" w:rsidRPr="003628A6">
        <w:t>lation</w:t>
      </w:r>
      <w:r w:rsidR="00A86694" w:rsidRPr="003628A6">
        <w:t>.</w:t>
      </w:r>
    </w:p>
    <w:p w14:paraId="13A0CBD5" w14:textId="5398EB26" w:rsidR="00CD65AE" w:rsidRPr="003628A6" w:rsidRDefault="00CD65AE" w:rsidP="003628A6">
      <w:pPr>
        <w:pStyle w:val="ListParagraph"/>
        <w:numPr>
          <w:ilvl w:val="0"/>
          <w:numId w:val="13"/>
        </w:numPr>
      </w:pPr>
      <w:r w:rsidRPr="003628A6">
        <w:t xml:space="preserve">Demonstrated experience in </w:t>
      </w:r>
      <w:r w:rsidR="007B27D1">
        <w:t xml:space="preserve">the </w:t>
      </w:r>
      <w:r w:rsidRPr="003628A6">
        <w:t xml:space="preserve">development, coordination and delivery of </w:t>
      </w:r>
      <w:r w:rsidR="00DD6AD3">
        <w:t>health</w:t>
      </w:r>
      <w:r w:rsidRPr="003628A6">
        <w:t xml:space="preserve"> and human factors improvement strategies at both an industry and </w:t>
      </w:r>
      <w:r w:rsidR="00DD6AD3">
        <w:t xml:space="preserve">regulatory </w:t>
      </w:r>
      <w:r w:rsidRPr="003628A6">
        <w:t>level.</w:t>
      </w:r>
    </w:p>
    <w:p w14:paraId="1AB86A4C" w14:textId="75AB28D3" w:rsidR="00CD65AE" w:rsidRPr="003628A6" w:rsidRDefault="00CD65AE" w:rsidP="003628A6">
      <w:pPr>
        <w:pStyle w:val="ListParagraph"/>
        <w:numPr>
          <w:ilvl w:val="0"/>
          <w:numId w:val="13"/>
        </w:numPr>
      </w:pPr>
      <w:r w:rsidRPr="003628A6">
        <w:t xml:space="preserve">Demonstrated ability to review regulatory and technical information to develop policy and industry guidance material in relation to human factors, fatigue management, health and psychosocial hazards management, employee consultation, organisational and </w:t>
      </w:r>
      <w:r w:rsidR="003628A6" w:rsidRPr="003628A6">
        <w:t>W</w:t>
      </w:r>
      <w:r w:rsidRPr="003628A6">
        <w:t>HS culture, and prevention of musculoskeletal disorders.</w:t>
      </w:r>
    </w:p>
    <w:p w14:paraId="2FD296C3" w14:textId="0C7C4D5E" w:rsidR="00CD65AE" w:rsidRPr="003628A6" w:rsidRDefault="00CD65AE" w:rsidP="003628A6">
      <w:pPr>
        <w:pStyle w:val="ListParagraph"/>
        <w:numPr>
          <w:ilvl w:val="0"/>
          <w:numId w:val="13"/>
        </w:numPr>
      </w:pPr>
      <w:r w:rsidRPr="003628A6">
        <w:t xml:space="preserve">Sound </w:t>
      </w:r>
      <w:r w:rsidR="003628A6" w:rsidRPr="003628A6">
        <w:t>self-management</w:t>
      </w:r>
      <w:r w:rsidRPr="003628A6">
        <w:t xml:space="preserve"> skills, the capacity to set priorities, successfully manage competing projects within agreed timeframes.</w:t>
      </w:r>
    </w:p>
    <w:p w14:paraId="28172A8A" w14:textId="3C3559E8" w:rsidR="00CD65AE" w:rsidRPr="003628A6" w:rsidRDefault="00CD65AE" w:rsidP="003628A6">
      <w:pPr>
        <w:pStyle w:val="ListParagraph"/>
        <w:numPr>
          <w:ilvl w:val="0"/>
          <w:numId w:val="13"/>
        </w:numPr>
      </w:pPr>
      <w:r w:rsidRPr="003628A6">
        <w:t xml:space="preserve">Excellent interpersonal, </w:t>
      </w:r>
      <w:r w:rsidR="00DD6AD3" w:rsidRPr="003628A6">
        <w:t>oral,</w:t>
      </w:r>
      <w:r w:rsidRPr="003628A6">
        <w:t xml:space="preserve"> and written communication skills with the capacity to operate with diverse stakeholders in a sensitive environment.</w:t>
      </w:r>
    </w:p>
    <w:p w14:paraId="7CFC3ECD" w14:textId="0B07593C" w:rsidR="00CD65AE" w:rsidRPr="003628A6" w:rsidRDefault="00CD65AE" w:rsidP="00DD6AD3">
      <w:pPr>
        <w:pStyle w:val="ListParagraph"/>
        <w:numPr>
          <w:ilvl w:val="0"/>
          <w:numId w:val="13"/>
        </w:numPr>
      </w:pPr>
      <w:r w:rsidRPr="003628A6">
        <w:t>Demonstrated ability to develop and deliver partnerships with industry and other Government agencies.</w:t>
      </w:r>
    </w:p>
    <w:p w14:paraId="740F799D" w14:textId="29765A66" w:rsidR="003927AE" w:rsidRDefault="003927AE" w:rsidP="00FA2FCD">
      <w:pPr>
        <w:tabs>
          <w:tab w:val="left" w:pos="2925"/>
        </w:tabs>
        <w:spacing w:after="120"/>
        <w:ind w:left="360"/>
        <w:rPr>
          <w:rStyle w:val="Heading1Char"/>
        </w:rPr>
      </w:pPr>
      <w:r w:rsidRPr="00614552">
        <w:rPr>
          <w:rStyle w:val="Heading1Char"/>
        </w:rPr>
        <w:t>Essential requirements</w:t>
      </w:r>
    </w:p>
    <w:p w14:paraId="73C2A0A4" w14:textId="356E2987" w:rsidR="00E94B33" w:rsidRPr="00DD6AD3" w:rsidRDefault="00CD65AE" w:rsidP="00DD6AD3">
      <w:pPr>
        <w:pStyle w:val="ListParagraph"/>
        <w:numPr>
          <w:ilvl w:val="0"/>
          <w:numId w:val="13"/>
        </w:numPr>
      </w:pPr>
      <w:r w:rsidRPr="00DD6AD3">
        <w:t>A degree qualification which includes an applied health</w:t>
      </w:r>
      <w:r w:rsidR="00E94B33" w:rsidRPr="00DD6AD3">
        <w:t>, hygiene</w:t>
      </w:r>
      <w:r w:rsidRPr="00DD6AD3">
        <w:t>,</w:t>
      </w:r>
      <w:r w:rsidR="00DD6AD3" w:rsidRPr="00DD6AD3">
        <w:t xml:space="preserve"> Ergonomics, Organisation Psychology, Physiotherapy, OT, </w:t>
      </w:r>
      <w:r w:rsidRPr="00DD6AD3">
        <w:t>human factors or degree qualification with post graduate qualification in the relevant subject areas.</w:t>
      </w:r>
    </w:p>
    <w:p w14:paraId="40D07F3F" w14:textId="1041FA5B" w:rsidR="00E94B33" w:rsidRDefault="00E94B33" w:rsidP="00E94B33">
      <w:pPr>
        <w:pStyle w:val="ListParagraph"/>
        <w:numPr>
          <w:ilvl w:val="0"/>
          <w:numId w:val="13"/>
        </w:numPr>
      </w:pPr>
      <w:r>
        <w:t>Must possess and maintain</w:t>
      </w:r>
      <w:r w:rsidR="008103B6">
        <w:t xml:space="preserve"> the ability to obtain</w:t>
      </w:r>
      <w:r>
        <w:t xml:space="preserve"> the qualifications to be appointed as </w:t>
      </w:r>
      <w:r w:rsidR="00FA2FCD">
        <w:t>a Government Official</w:t>
      </w:r>
      <w:r>
        <w:t xml:space="preserve"> under section 18(2) of the Work Health and Safety (Mines and Petroleum Sites) Act 2013, and in accordance with the Resources Regulator policy on qualifications of mine safety inspectors.</w:t>
      </w:r>
    </w:p>
    <w:p w14:paraId="0ED98A9C" w14:textId="25D5D703" w:rsidR="00E94B33" w:rsidRDefault="00E94B33" w:rsidP="00E94B33">
      <w:pPr>
        <w:pStyle w:val="ListParagraph"/>
        <w:numPr>
          <w:ilvl w:val="0"/>
          <w:numId w:val="13"/>
        </w:numPr>
      </w:pPr>
      <w:r w:rsidRPr="00E94B33">
        <w:t xml:space="preserve">Being eligible for registration with the appropriate professional body (AHPRA, </w:t>
      </w:r>
      <w:r w:rsidR="001547EE">
        <w:t>AIOH, E</w:t>
      </w:r>
      <w:r w:rsidRPr="00E94B33">
        <w:t>SSA, HFESA).</w:t>
      </w:r>
    </w:p>
    <w:p w14:paraId="17A66649" w14:textId="08D43300" w:rsidR="00FA2FCD" w:rsidRPr="00E94B33" w:rsidRDefault="00FA2FCD" w:rsidP="00E94B33">
      <w:pPr>
        <w:pStyle w:val="ListParagraph"/>
        <w:numPr>
          <w:ilvl w:val="0"/>
          <w:numId w:val="13"/>
        </w:numPr>
      </w:pPr>
      <w:r>
        <w:t xml:space="preserve">Ability to process complex health information and disseminate information in practical guidance to the Regulator and internal and external stakeholders. </w:t>
      </w:r>
    </w:p>
    <w:p w14:paraId="28649DDC" w14:textId="57C08A9E" w:rsidR="00E94B33" w:rsidRPr="00DD6AD3" w:rsidRDefault="00FA2FCD" w:rsidP="00DD6AD3">
      <w:pPr>
        <w:pStyle w:val="ListParagraph"/>
        <w:numPr>
          <w:ilvl w:val="0"/>
          <w:numId w:val="13"/>
        </w:numPr>
      </w:pPr>
      <w:r>
        <w:t xml:space="preserve">Sound </w:t>
      </w:r>
      <w:r w:rsidR="00E94B33" w:rsidRPr="00DD6AD3">
        <w:t>understanding of the principles in the design of work, Human System Interaction</w:t>
      </w:r>
      <w:r w:rsidR="008103B6">
        <w:t xml:space="preserve">, </w:t>
      </w:r>
      <w:r w:rsidR="00E94B33" w:rsidRPr="00DD6AD3">
        <w:t>General Human Factors approach</w:t>
      </w:r>
      <w:r w:rsidR="008103B6">
        <w:t>, psychosocial/mental health principles</w:t>
      </w:r>
      <w:r w:rsidR="00E94B33" w:rsidRPr="00DD6AD3">
        <w:t xml:space="preserve"> and concepts</w:t>
      </w:r>
      <w:r w:rsidR="00DD6AD3">
        <w:t xml:space="preserve"> in a regulatory context.</w:t>
      </w:r>
    </w:p>
    <w:p w14:paraId="4FF96928" w14:textId="7CBC8C50" w:rsidR="00002FED" w:rsidRPr="008D47F1" w:rsidRDefault="00002FED" w:rsidP="00002FED">
      <w:pPr>
        <w:pStyle w:val="ListParagraph"/>
        <w:numPr>
          <w:ilvl w:val="0"/>
          <w:numId w:val="10"/>
        </w:numPr>
        <w:rPr>
          <w:rFonts w:cs="Arial"/>
        </w:rPr>
      </w:pPr>
      <w:r w:rsidRPr="008D47F1">
        <w:rPr>
          <w:rFonts w:cs="Arial"/>
        </w:rPr>
        <w:t xml:space="preserve">Compliance with the Resources Regulator </w:t>
      </w:r>
      <w:hyperlink r:id="rId11" w:history="1">
        <w:r w:rsidRPr="008D47F1">
          <w:rPr>
            <w:rStyle w:val="Hyperlink"/>
            <w:sz w:val="22"/>
          </w:rPr>
          <w:t>Integrity Clearance</w:t>
        </w:r>
      </w:hyperlink>
      <w:r w:rsidRPr="008D47F1">
        <w:rPr>
          <w:rFonts w:cs="Arial"/>
        </w:rPr>
        <w:t xml:space="preserve"> policy is  </w:t>
      </w:r>
      <w:r w:rsidRPr="008D47F1">
        <w:rPr>
          <w:rFonts w:cs="Arial"/>
          <w:b/>
        </w:rPr>
        <w:t>mandatory</w:t>
      </w:r>
      <w:r w:rsidRPr="008D47F1">
        <w:rPr>
          <w:rFonts w:cs="Arial"/>
        </w:rPr>
        <w:t xml:space="preserve">, and a </w:t>
      </w:r>
      <w:r w:rsidRPr="008D47F1">
        <w:rPr>
          <w:rFonts w:cs="Arial"/>
          <w:b/>
        </w:rPr>
        <w:t xml:space="preserve">condition of engagement </w:t>
      </w:r>
      <w:r w:rsidRPr="008D47F1">
        <w:rPr>
          <w:rFonts w:cs="Arial"/>
        </w:rPr>
        <w:t>for staff engaged after 3 December 2019.</w:t>
      </w:r>
    </w:p>
    <w:p w14:paraId="2E4415A6" w14:textId="77777777" w:rsidR="00002FED" w:rsidRPr="00CF63B9" w:rsidRDefault="00002FED" w:rsidP="00002FED">
      <w:pPr>
        <w:pStyle w:val="ListParagraph"/>
        <w:numPr>
          <w:ilvl w:val="0"/>
          <w:numId w:val="10"/>
        </w:numPr>
      </w:pPr>
      <w:r w:rsidRPr="008D47F1">
        <w:rPr>
          <w:rFonts w:cs="Arial"/>
        </w:rPr>
        <w:t xml:space="preserve">Compliance with the Resources Regulator </w:t>
      </w:r>
      <w:hyperlink r:id="rId12" w:history="1">
        <w:r w:rsidRPr="008D47F1">
          <w:rPr>
            <w:rStyle w:val="Hyperlink"/>
            <w:sz w:val="22"/>
          </w:rPr>
          <w:t>Pecuniary Interests in the Regulated Sector</w:t>
        </w:r>
      </w:hyperlink>
      <w:r w:rsidRPr="008D47F1">
        <w:rPr>
          <w:rFonts w:cs="Arial"/>
        </w:rPr>
        <w:t xml:space="preserve"> policy is </w:t>
      </w:r>
      <w:r w:rsidRPr="008D47F1">
        <w:rPr>
          <w:rFonts w:cs="Arial"/>
          <w:b/>
        </w:rPr>
        <w:t>mandatory</w:t>
      </w:r>
      <w:r w:rsidRPr="008D47F1">
        <w:rPr>
          <w:rFonts w:cs="Arial"/>
        </w:rPr>
        <w:t>.</w:t>
      </w:r>
    </w:p>
    <w:p w14:paraId="04FF4D49" w14:textId="4D932099" w:rsidR="00002FED" w:rsidRDefault="00002FED" w:rsidP="00002FED">
      <w:pPr>
        <w:pStyle w:val="ListParagraph"/>
        <w:numPr>
          <w:ilvl w:val="0"/>
          <w:numId w:val="10"/>
        </w:numPr>
      </w:pPr>
      <w:r w:rsidRPr="00CF63B9">
        <w:t xml:space="preserve">Appointment and ongoing assignment </w:t>
      </w:r>
      <w:proofErr w:type="gramStart"/>
      <w:r w:rsidRPr="00CF63B9">
        <w:t>is</w:t>
      </w:r>
      <w:proofErr w:type="gramEnd"/>
      <w:r w:rsidRPr="00CF63B9">
        <w:t xml:space="preserve"> subject to the satisfactory participation in ongoing </w:t>
      </w:r>
      <w:r>
        <w:t>health</w:t>
      </w:r>
      <w:r w:rsidRPr="00CF63B9">
        <w:t xml:space="preserve"> screening.</w:t>
      </w:r>
    </w:p>
    <w:p w14:paraId="2D51B157" w14:textId="77777777" w:rsidR="009A67E0" w:rsidRDefault="009A67E0" w:rsidP="009A67E0">
      <w:pPr>
        <w:pStyle w:val="ListParagraph"/>
        <w:numPr>
          <w:ilvl w:val="0"/>
          <w:numId w:val="10"/>
        </w:numPr>
        <w:rPr>
          <w:rStyle w:val="ui-provider"/>
        </w:rPr>
      </w:pPr>
      <w:r>
        <w:rPr>
          <w:rStyle w:val="ui-provider"/>
        </w:rPr>
        <w:t>Compliance with pre-employment probity screening is mandatory and a condition of engagement.</w:t>
      </w:r>
    </w:p>
    <w:p w14:paraId="3AABE43A" w14:textId="12918565" w:rsidR="00FA2FCD" w:rsidRPr="007B27D1" w:rsidRDefault="00FA2FCD" w:rsidP="00FA2FCD">
      <w:pPr>
        <w:pStyle w:val="ListParagraph"/>
        <w:numPr>
          <w:ilvl w:val="0"/>
          <w:numId w:val="10"/>
        </w:numPr>
        <w:tabs>
          <w:tab w:val="left" w:pos="2925"/>
        </w:tabs>
        <w:spacing w:after="120"/>
        <w:rPr>
          <w:rFonts w:eastAsiaTheme="minorHAnsi" w:cs="Arial"/>
          <w:b/>
          <w:bCs/>
          <w:kern w:val="32"/>
          <w:sz w:val="26"/>
          <w:szCs w:val="32"/>
          <w:lang w:val="en-AU"/>
        </w:rPr>
      </w:pPr>
      <w:r>
        <w:t xml:space="preserve">Current drivers’ </w:t>
      </w:r>
      <w:r w:rsidR="00E45C35">
        <w:t>license</w:t>
      </w:r>
      <w:r>
        <w:t xml:space="preserve"> and willingness to travel. </w:t>
      </w:r>
    </w:p>
    <w:p w14:paraId="58F40C61" w14:textId="77777777" w:rsidR="007B27D1" w:rsidRPr="00C978B9" w:rsidRDefault="007B27D1" w:rsidP="007B27D1">
      <w:pPr>
        <w:pStyle w:val="Heading2"/>
      </w:pPr>
      <w:bookmarkStart w:id="2" w:name="_Hlk36203683"/>
      <w:bookmarkStart w:id="3" w:name="_Hlk36565316"/>
      <w:bookmarkStart w:id="4" w:name="_Hlk36209343"/>
      <w:bookmarkStart w:id="5" w:name="_Hlk36710441"/>
      <w:r w:rsidRPr="00C978B9">
        <w:t>Capabilities for the role</w:t>
      </w:r>
    </w:p>
    <w:p w14:paraId="258BCE37" w14:textId="77777777" w:rsidR="007B27D1" w:rsidRPr="00175AAF" w:rsidRDefault="007B27D1" w:rsidP="007B27D1">
      <w:r w:rsidRPr="00175AAF">
        <w:t xml:space="preserve">The </w:t>
      </w:r>
      <w:hyperlink r:id="rId13"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F72D9CF" w14:textId="77777777" w:rsidR="007B27D1" w:rsidRPr="003C7A36" w:rsidRDefault="007B27D1" w:rsidP="007B27D1">
      <w:r w:rsidRPr="003E0111">
        <w:lastRenderedPageBreak/>
        <w:t>The capabilities are separated into focus capabilities and complementary capabilities</w:t>
      </w:r>
    </w:p>
    <w:p w14:paraId="741AE57D" w14:textId="77777777" w:rsidR="007B27D1" w:rsidRPr="00C978B9" w:rsidRDefault="007B27D1" w:rsidP="007B27D1">
      <w:pPr>
        <w:pStyle w:val="Heading2"/>
      </w:pPr>
      <w:r w:rsidRPr="00C978B9">
        <w:t xml:space="preserve">Focus </w:t>
      </w:r>
      <w:r>
        <w:t>c</w:t>
      </w:r>
      <w:r w:rsidRPr="00C978B9">
        <w:t>apabilities</w:t>
      </w:r>
      <w:r>
        <w:tab/>
      </w:r>
    </w:p>
    <w:p w14:paraId="46E2E006" w14:textId="77777777" w:rsidR="007B27D1" w:rsidRDefault="007B27D1" w:rsidP="007B27D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08B92A83" w14:textId="6F1DA510" w:rsidR="007B27D1" w:rsidRDefault="007B27D1" w:rsidP="007B27D1">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F524BED" w14:textId="77777777" w:rsidR="007B27D1" w:rsidRDefault="007B27D1" w:rsidP="007B27D1">
      <w:pPr>
        <w:pStyle w:val="PlainText"/>
        <w:spacing w:before="62" w:line="276" w:lineRule="auto"/>
        <w:rPr>
          <w:rFonts w:eastAsiaTheme="minorEastAsia"/>
          <w:szCs w:val="22"/>
          <w:lang w:val="en-US"/>
        </w:rPr>
      </w:pPr>
    </w:p>
    <w:p w14:paraId="42A09F62" w14:textId="77777777" w:rsidR="007B27D1" w:rsidRDefault="007B27D1" w:rsidP="007B27D1">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B27D1" w:rsidRPr="003C7A36" w14:paraId="5DDD4E5B" w14:textId="77777777" w:rsidTr="004B5098">
        <w:trPr>
          <w:cantSplit/>
        </w:trPr>
        <w:tc>
          <w:tcPr>
            <w:tcW w:w="1385" w:type="dxa"/>
            <w:shd w:val="clear" w:color="auto" w:fill="BFBFBF" w:themeFill="background1" w:themeFillShade="BF"/>
            <w:vAlign w:val="center"/>
          </w:tcPr>
          <w:p w14:paraId="270F4A7F" w14:textId="77777777" w:rsidR="007B27D1" w:rsidRPr="003C7A36" w:rsidRDefault="007B27D1" w:rsidP="004B5098">
            <w:pPr>
              <w:rPr>
                <w:sz w:val="20"/>
              </w:rPr>
            </w:pPr>
            <w:r w:rsidRPr="003C7A36">
              <w:rPr>
                <w:b/>
                <w:sz w:val="20"/>
              </w:rPr>
              <w:t>Capability group/sets</w:t>
            </w:r>
          </w:p>
        </w:tc>
        <w:tc>
          <w:tcPr>
            <w:tcW w:w="2726" w:type="dxa"/>
            <w:shd w:val="clear" w:color="auto" w:fill="BFBFBF" w:themeFill="background1" w:themeFillShade="BF"/>
          </w:tcPr>
          <w:p w14:paraId="10A9A017" w14:textId="77777777" w:rsidR="007B27D1" w:rsidRPr="003C7A36" w:rsidRDefault="007B27D1" w:rsidP="004B5098">
            <w:pPr>
              <w:rPr>
                <w:sz w:val="20"/>
              </w:rPr>
            </w:pPr>
            <w:r w:rsidRPr="003C7A36">
              <w:rPr>
                <w:b/>
                <w:sz w:val="20"/>
              </w:rPr>
              <w:t>Capability name</w:t>
            </w:r>
          </w:p>
        </w:tc>
        <w:tc>
          <w:tcPr>
            <w:tcW w:w="4709" w:type="dxa"/>
            <w:shd w:val="clear" w:color="auto" w:fill="BFBFBF" w:themeFill="background1" w:themeFillShade="BF"/>
          </w:tcPr>
          <w:p w14:paraId="566F3D70" w14:textId="77777777" w:rsidR="007B27D1" w:rsidRPr="003C7A36" w:rsidRDefault="007B27D1" w:rsidP="004B5098">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0494DC8A" w14:textId="77777777" w:rsidR="007B27D1" w:rsidRPr="00372FE9" w:rsidRDefault="007B27D1" w:rsidP="004B5098">
            <w:pPr>
              <w:rPr>
                <w:b/>
                <w:bCs/>
                <w:sz w:val="20"/>
              </w:rPr>
            </w:pPr>
            <w:r w:rsidRPr="00372FE9">
              <w:rPr>
                <w:b/>
                <w:bCs/>
                <w:sz w:val="20"/>
              </w:rPr>
              <w:t>Level</w:t>
            </w:r>
          </w:p>
        </w:tc>
      </w:tr>
      <w:tr w:rsidR="007B27D1" w:rsidRPr="003C7A36" w14:paraId="5620B087" w14:textId="77777777" w:rsidTr="004B5098">
        <w:trPr>
          <w:cantSplit/>
        </w:trPr>
        <w:tc>
          <w:tcPr>
            <w:tcW w:w="1385" w:type="dxa"/>
          </w:tcPr>
          <w:p w14:paraId="0E13EA0E"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19B5CAAC" wp14:editId="6E2CF283">
                  <wp:extent cx="749300" cy="749300"/>
                  <wp:effectExtent l="0" t="0" r="0" b="0"/>
                  <wp:docPr id="986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D06CB44" w14:textId="77777777" w:rsidR="007B27D1" w:rsidRDefault="007B27D1" w:rsidP="004B5098">
            <w:pPr>
              <w:rPr>
                <w:rFonts w:cs="Arial"/>
                <w:color w:val="000000"/>
                <w:sz w:val="20"/>
              </w:rPr>
            </w:pPr>
            <w:r w:rsidRPr="003C7A36">
              <w:rPr>
                <w:rFonts w:cs="Arial"/>
                <w:b/>
                <w:bCs/>
                <w:color w:val="000000"/>
                <w:sz w:val="20"/>
              </w:rPr>
              <w:t>Act with Integrity</w:t>
            </w:r>
          </w:p>
          <w:p w14:paraId="78B0C1AC" w14:textId="77777777" w:rsidR="007B27D1" w:rsidRPr="00667FCB" w:rsidRDefault="007B27D1" w:rsidP="004B5098">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3002D8C0" w14:textId="77777777" w:rsidR="007B27D1" w:rsidRPr="003C7A36" w:rsidRDefault="007B27D1" w:rsidP="004B5098">
            <w:pPr>
              <w:pStyle w:val="TableBullet"/>
            </w:pPr>
            <w:r w:rsidRPr="003C7A36">
              <w:t>Model the highest standards of ethical and professional behaviour and reinforce their use</w:t>
            </w:r>
          </w:p>
          <w:p w14:paraId="7841FB90" w14:textId="77777777" w:rsidR="007B27D1" w:rsidRPr="003C7A36" w:rsidRDefault="007B27D1" w:rsidP="004B5098">
            <w:pPr>
              <w:pStyle w:val="TableBullet"/>
            </w:pPr>
            <w:r w:rsidRPr="003C7A36">
              <w:t>Represent the organisation in an honest, ethical and professional way and set an example for others to follow</w:t>
            </w:r>
          </w:p>
          <w:p w14:paraId="165CBDE6" w14:textId="77777777" w:rsidR="007B27D1" w:rsidRPr="003C7A36" w:rsidRDefault="007B27D1" w:rsidP="004B5098">
            <w:pPr>
              <w:pStyle w:val="TableBullet"/>
            </w:pPr>
            <w:r w:rsidRPr="003C7A36">
              <w:t>Promote a culture of integrity and professionalism within the organisation and in dealings external to government</w:t>
            </w:r>
          </w:p>
          <w:p w14:paraId="7EEDDA52" w14:textId="77777777" w:rsidR="007B27D1" w:rsidRPr="003C7A36" w:rsidRDefault="007B27D1" w:rsidP="004B5098">
            <w:pPr>
              <w:pStyle w:val="TableBullet"/>
            </w:pPr>
            <w:r w:rsidRPr="003C7A36">
              <w:t>Monitor ethical practices, standards and systems and reinforce their use</w:t>
            </w:r>
          </w:p>
          <w:p w14:paraId="05DD7DB8" w14:textId="77777777" w:rsidR="007B27D1" w:rsidRPr="003C7A36" w:rsidRDefault="007B27D1" w:rsidP="004B5098">
            <w:pPr>
              <w:pStyle w:val="TableBullet"/>
            </w:pPr>
            <w:r w:rsidRPr="003C7A36">
              <w:t>Act promptly on reported breaches of legislation, policies and guidelines</w:t>
            </w:r>
          </w:p>
        </w:tc>
        <w:tc>
          <w:tcPr>
            <w:tcW w:w="1668" w:type="dxa"/>
          </w:tcPr>
          <w:p w14:paraId="1D2CAE20" w14:textId="77777777" w:rsidR="007B27D1" w:rsidRPr="006F0836" w:rsidRDefault="007B27D1" w:rsidP="004B5098">
            <w:pPr>
              <w:pStyle w:val="TableText"/>
            </w:pPr>
            <w:r w:rsidRPr="004C659E">
              <w:t>Advanced</w:t>
            </w:r>
          </w:p>
        </w:tc>
      </w:tr>
      <w:tr w:rsidR="007B27D1" w:rsidRPr="003C7A36" w14:paraId="7D3DCB47" w14:textId="77777777" w:rsidTr="004B5098">
        <w:trPr>
          <w:cantSplit/>
        </w:trPr>
        <w:tc>
          <w:tcPr>
            <w:tcW w:w="1385" w:type="dxa"/>
          </w:tcPr>
          <w:p w14:paraId="3F212002"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4D60771D" wp14:editId="08C66031">
                  <wp:extent cx="749300" cy="749300"/>
                  <wp:effectExtent l="0" t="0" r="0" b="0"/>
                  <wp:docPr id="628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D5B4F4" w14:textId="77777777" w:rsidR="007B27D1" w:rsidRDefault="007B27D1" w:rsidP="004B5098">
            <w:pPr>
              <w:rPr>
                <w:rFonts w:cs="Arial"/>
                <w:color w:val="000000"/>
                <w:sz w:val="20"/>
              </w:rPr>
            </w:pPr>
            <w:r w:rsidRPr="003C7A36">
              <w:rPr>
                <w:rFonts w:cs="Arial"/>
                <w:b/>
                <w:bCs/>
                <w:color w:val="000000"/>
                <w:sz w:val="20"/>
              </w:rPr>
              <w:t>Manage Self</w:t>
            </w:r>
          </w:p>
          <w:p w14:paraId="458BF8BD" w14:textId="77777777" w:rsidR="007B27D1" w:rsidRPr="00667FCB" w:rsidRDefault="007B27D1" w:rsidP="004B5098">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25D24D7E" w14:textId="77777777" w:rsidR="007B27D1" w:rsidRPr="003C7A36" w:rsidRDefault="007B27D1" w:rsidP="004B5098">
            <w:pPr>
              <w:pStyle w:val="TableBullet"/>
            </w:pPr>
            <w:r w:rsidRPr="003C7A36">
              <w:t>Act as a professional role model for colleagues, set high personal goals and take pride in their achievement</w:t>
            </w:r>
          </w:p>
          <w:p w14:paraId="0FF3A4A8" w14:textId="77777777" w:rsidR="007B27D1" w:rsidRPr="003C7A36" w:rsidRDefault="007B27D1" w:rsidP="004B5098">
            <w:pPr>
              <w:pStyle w:val="TableBullet"/>
            </w:pPr>
            <w:r w:rsidRPr="003C7A36">
              <w:t>Actively seek, reflect and act on feedback on own performance</w:t>
            </w:r>
          </w:p>
          <w:p w14:paraId="11007842" w14:textId="77777777" w:rsidR="007B27D1" w:rsidRPr="003C7A36" w:rsidRDefault="007B27D1" w:rsidP="004B5098">
            <w:pPr>
              <w:pStyle w:val="TableBullet"/>
            </w:pPr>
            <w:r w:rsidRPr="003C7A36">
              <w:t>Translate negative feedback into an opportunity to improve</w:t>
            </w:r>
          </w:p>
          <w:p w14:paraId="5A122A6E" w14:textId="77777777" w:rsidR="007B27D1" w:rsidRPr="003C7A36" w:rsidRDefault="007B27D1" w:rsidP="004B5098">
            <w:pPr>
              <w:pStyle w:val="TableBullet"/>
            </w:pPr>
            <w:r w:rsidRPr="003C7A36">
              <w:t>Take the initiative and act in a decisive way</w:t>
            </w:r>
          </w:p>
          <w:p w14:paraId="05F2AF7B" w14:textId="77777777" w:rsidR="007B27D1" w:rsidRPr="003C7A36" w:rsidRDefault="007B27D1" w:rsidP="004B5098">
            <w:pPr>
              <w:pStyle w:val="TableBullet"/>
            </w:pPr>
            <w:r w:rsidRPr="003C7A36">
              <w:t>Demonstrate a strong interest in new knowledge and emerging practices relevant to the organisation</w:t>
            </w:r>
          </w:p>
        </w:tc>
        <w:tc>
          <w:tcPr>
            <w:tcW w:w="1668" w:type="dxa"/>
          </w:tcPr>
          <w:p w14:paraId="4A42BC47" w14:textId="77777777" w:rsidR="007B27D1" w:rsidRPr="006F0836" w:rsidRDefault="007B27D1" w:rsidP="004B5098">
            <w:pPr>
              <w:pStyle w:val="TableText"/>
            </w:pPr>
            <w:r w:rsidRPr="004C659E">
              <w:t>Advanced</w:t>
            </w:r>
          </w:p>
        </w:tc>
      </w:tr>
      <w:tr w:rsidR="007B27D1" w:rsidRPr="003C7A36" w14:paraId="0CA969BC" w14:textId="77777777" w:rsidTr="004B5098">
        <w:trPr>
          <w:cantSplit/>
        </w:trPr>
        <w:tc>
          <w:tcPr>
            <w:tcW w:w="1385" w:type="dxa"/>
          </w:tcPr>
          <w:p w14:paraId="46AC5AAE"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3D64E44F" wp14:editId="6297807E">
                  <wp:extent cx="749300" cy="749300"/>
                  <wp:effectExtent l="0" t="0" r="0" b="0"/>
                  <wp:docPr id="269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1F90AA" w14:textId="77777777" w:rsidR="007B27D1" w:rsidRDefault="007B27D1" w:rsidP="004B5098">
            <w:pPr>
              <w:rPr>
                <w:rFonts w:cs="Arial"/>
                <w:color w:val="000000"/>
                <w:sz w:val="20"/>
              </w:rPr>
            </w:pPr>
            <w:r w:rsidRPr="003C7A36">
              <w:rPr>
                <w:rFonts w:cs="Arial"/>
                <w:b/>
                <w:bCs/>
                <w:color w:val="000000"/>
                <w:sz w:val="20"/>
              </w:rPr>
              <w:t>Communicate Effectively</w:t>
            </w:r>
          </w:p>
          <w:p w14:paraId="1EFDA03A" w14:textId="77777777" w:rsidR="007B27D1" w:rsidRPr="00667FCB" w:rsidRDefault="007B27D1" w:rsidP="004B5098">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2F89C14" w14:textId="77777777" w:rsidR="007B27D1" w:rsidRPr="003C7A36" w:rsidRDefault="007B27D1" w:rsidP="004B5098">
            <w:pPr>
              <w:pStyle w:val="TableBullet"/>
            </w:pPr>
            <w:r w:rsidRPr="003C7A36">
              <w:t>Present with credibility, engage diverse audiences and test levels of understanding</w:t>
            </w:r>
          </w:p>
          <w:p w14:paraId="168857ED" w14:textId="77777777" w:rsidR="007B27D1" w:rsidRPr="003C7A36" w:rsidRDefault="007B27D1" w:rsidP="004B5098">
            <w:pPr>
              <w:pStyle w:val="TableBullet"/>
            </w:pPr>
            <w:r w:rsidRPr="003C7A36">
              <w:t>Translate technical and complex information clearly and concisely for diverse audiences</w:t>
            </w:r>
          </w:p>
          <w:p w14:paraId="07A1DC78" w14:textId="77777777" w:rsidR="007B27D1" w:rsidRPr="003C7A36" w:rsidRDefault="007B27D1" w:rsidP="004B5098">
            <w:pPr>
              <w:pStyle w:val="TableBullet"/>
            </w:pPr>
            <w:r w:rsidRPr="003C7A36">
              <w:t>Create opportunities for others to contribute to discussion and debate</w:t>
            </w:r>
          </w:p>
          <w:p w14:paraId="6793A901" w14:textId="77777777" w:rsidR="007B27D1" w:rsidRPr="003C7A36" w:rsidRDefault="007B27D1" w:rsidP="004B5098">
            <w:pPr>
              <w:pStyle w:val="TableBullet"/>
            </w:pPr>
            <w:r w:rsidRPr="003C7A36">
              <w:t>Contribute to and promote information sharing across the organisation</w:t>
            </w:r>
          </w:p>
          <w:p w14:paraId="26C77B28" w14:textId="77777777" w:rsidR="007B27D1" w:rsidRPr="003C7A36" w:rsidRDefault="007B27D1" w:rsidP="004B5098">
            <w:pPr>
              <w:pStyle w:val="TableBullet"/>
            </w:pPr>
            <w:r w:rsidRPr="003C7A36">
              <w:t>Manage complex communications that involve understanding and responding to multiple and divergent viewpoints</w:t>
            </w:r>
          </w:p>
          <w:p w14:paraId="4DCC87AB" w14:textId="77777777" w:rsidR="007B27D1" w:rsidRPr="003C7A36" w:rsidRDefault="007B27D1" w:rsidP="004B5098">
            <w:pPr>
              <w:pStyle w:val="TableBullet"/>
            </w:pPr>
            <w:r w:rsidRPr="003C7A36">
              <w:t>Explore creative ways to engage diverse audiences and communicate information</w:t>
            </w:r>
          </w:p>
          <w:p w14:paraId="3A7D98AB" w14:textId="77777777" w:rsidR="007B27D1" w:rsidRPr="003C7A36" w:rsidRDefault="007B27D1" w:rsidP="004B5098">
            <w:pPr>
              <w:pStyle w:val="TableBullet"/>
            </w:pPr>
            <w:r w:rsidRPr="003C7A36">
              <w:t>Adjust style and approach to optimise outcomes</w:t>
            </w:r>
          </w:p>
          <w:p w14:paraId="7F56A106" w14:textId="77777777" w:rsidR="007B27D1" w:rsidRPr="003C7A36" w:rsidRDefault="007B27D1" w:rsidP="004B5098">
            <w:pPr>
              <w:pStyle w:val="TableBullet"/>
            </w:pPr>
            <w:r w:rsidRPr="003C7A36">
              <w:t>Write fluently and persuasively in plain English and in a range of styles and formats</w:t>
            </w:r>
          </w:p>
        </w:tc>
        <w:tc>
          <w:tcPr>
            <w:tcW w:w="1668" w:type="dxa"/>
          </w:tcPr>
          <w:p w14:paraId="396C5944" w14:textId="77777777" w:rsidR="007B27D1" w:rsidRPr="006F0836" w:rsidRDefault="007B27D1" w:rsidP="004B5098">
            <w:pPr>
              <w:pStyle w:val="TableText"/>
            </w:pPr>
            <w:r w:rsidRPr="004C659E">
              <w:t>Advanced</w:t>
            </w:r>
          </w:p>
        </w:tc>
      </w:tr>
      <w:tr w:rsidR="007B27D1" w:rsidRPr="003C7A36" w14:paraId="0701F798" w14:textId="77777777" w:rsidTr="004B5098">
        <w:trPr>
          <w:cantSplit/>
        </w:trPr>
        <w:tc>
          <w:tcPr>
            <w:tcW w:w="1385" w:type="dxa"/>
          </w:tcPr>
          <w:p w14:paraId="5A4A1794" w14:textId="77777777" w:rsidR="007B27D1" w:rsidRPr="003C7A36" w:rsidRDefault="007B27D1" w:rsidP="004B5098">
            <w:pPr>
              <w:jc w:val="center"/>
              <w:rPr>
                <w:noProof/>
                <w:sz w:val="20"/>
                <w:lang w:eastAsia="en-AU"/>
              </w:rPr>
            </w:pPr>
            <w:r w:rsidRPr="00372FE9">
              <w:rPr>
                <w:noProof/>
                <w:sz w:val="20"/>
                <w:lang w:eastAsia="en-AU"/>
              </w:rPr>
              <w:lastRenderedPageBreak/>
              <w:drawing>
                <wp:inline distT="0" distB="0" distL="0" distR="0" wp14:anchorId="69293AC9" wp14:editId="6DC12921">
                  <wp:extent cx="749300" cy="749300"/>
                  <wp:effectExtent l="0" t="0" r="0" b="0"/>
                  <wp:docPr id="433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7777123" w14:textId="77777777" w:rsidR="007B27D1" w:rsidRDefault="007B27D1" w:rsidP="004B5098">
            <w:pPr>
              <w:rPr>
                <w:rFonts w:cs="Arial"/>
                <w:color w:val="000000"/>
                <w:sz w:val="20"/>
              </w:rPr>
            </w:pPr>
            <w:r w:rsidRPr="003C7A36">
              <w:rPr>
                <w:rFonts w:cs="Arial"/>
                <w:b/>
                <w:bCs/>
                <w:color w:val="000000"/>
                <w:sz w:val="20"/>
              </w:rPr>
              <w:t>Work Collaboratively</w:t>
            </w:r>
          </w:p>
          <w:p w14:paraId="6C3C4CE4" w14:textId="77777777" w:rsidR="007B27D1" w:rsidRPr="00667FCB" w:rsidRDefault="007B27D1" w:rsidP="004B5098">
            <w:pPr>
              <w:rPr>
                <w:rFonts w:cs="Arial"/>
                <w:color w:val="000000"/>
                <w:sz w:val="20"/>
              </w:rPr>
            </w:pPr>
            <w:r w:rsidRPr="003C7A36">
              <w:rPr>
                <w:rFonts w:cs="Arial"/>
                <w:color w:val="000000"/>
                <w:sz w:val="20"/>
              </w:rPr>
              <w:t>Collaborate with others and value their contribution</w:t>
            </w:r>
          </w:p>
        </w:tc>
        <w:tc>
          <w:tcPr>
            <w:tcW w:w="4709" w:type="dxa"/>
          </w:tcPr>
          <w:p w14:paraId="605EA65C" w14:textId="77777777" w:rsidR="007B27D1" w:rsidRPr="003C7A36" w:rsidRDefault="007B27D1" w:rsidP="004B5098">
            <w:pPr>
              <w:pStyle w:val="TableBullet"/>
            </w:pPr>
            <w:r w:rsidRPr="003C7A36">
              <w:t>Encourage a culture that recognises the value of collaboration</w:t>
            </w:r>
          </w:p>
          <w:p w14:paraId="2A21080A" w14:textId="77777777" w:rsidR="007B27D1" w:rsidRPr="003C7A36" w:rsidRDefault="007B27D1" w:rsidP="004B5098">
            <w:pPr>
              <w:pStyle w:val="TableBullet"/>
            </w:pPr>
            <w:r w:rsidRPr="003C7A36">
              <w:t>Build cooperation and overcome barriers to information sharing and communication across teams and units</w:t>
            </w:r>
          </w:p>
          <w:p w14:paraId="503E41B2" w14:textId="77777777" w:rsidR="007B27D1" w:rsidRPr="003C7A36" w:rsidRDefault="007B27D1" w:rsidP="004B5098">
            <w:pPr>
              <w:pStyle w:val="TableBullet"/>
            </w:pPr>
            <w:r w:rsidRPr="003C7A36">
              <w:t>Share lessons learned across teams and units</w:t>
            </w:r>
          </w:p>
          <w:p w14:paraId="7F6B303D" w14:textId="77777777" w:rsidR="007B27D1" w:rsidRPr="003C7A36" w:rsidRDefault="007B27D1" w:rsidP="004B5098">
            <w:pPr>
              <w:pStyle w:val="TableBullet"/>
            </w:pPr>
            <w:r w:rsidRPr="003C7A36">
              <w:t>Identify opportunities to leverage the strengths of others to solve issues and develop better processes and approaches to work</w:t>
            </w:r>
          </w:p>
          <w:p w14:paraId="4E26878D" w14:textId="77777777" w:rsidR="007B27D1" w:rsidRPr="003C7A36" w:rsidRDefault="007B27D1" w:rsidP="004B5098">
            <w:pPr>
              <w:pStyle w:val="TableBullet"/>
            </w:pPr>
            <w:r w:rsidRPr="003C7A36">
              <w:t>Actively use collaboration tools, including digital technologies, to engage diverse audiences in solving problems and improving services</w:t>
            </w:r>
          </w:p>
        </w:tc>
        <w:tc>
          <w:tcPr>
            <w:tcW w:w="1668" w:type="dxa"/>
          </w:tcPr>
          <w:p w14:paraId="372AFB93" w14:textId="77777777" w:rsidR="007B27D1" w:rsidRPr="006F0836" w:rsidRDefault="007B27D1" w:rsidP="004B5098">
            <w:pPr>
              <w:pStyle w:val="TableText"/>
            </w:pPr>
            <w:r w:rsidRPr="004C659E">
              <w:t>Adept</w:t>
            </w:r>
          </w:p>
        </w:tc>
      </w:tr>
      <w:tr w:rsidR="007B27D1" w:rsidRPr="003C7A36" w14:paraId="42CE2B8D" w14:textId="77777777" w:rsidTr="004B5098">
        <w:trPr>
          <w:cantSplit/>
        </w:trPr>
        <w:tc>
          <w:tcPr>
            <w:tcW w:w="1385" w:type="dxa"/>
          </w:tcPr>
          <w:p w14:paraId="718436BE"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2653B759" wp14:editId="74AD9B95">
                  <wp:extent cx="749300" cy="749300"/>
                  <wp:effectExtent l="0" t="0" r="0" b="0"/>
                  <wp:docPr id="74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834FD86" w14:textId="77777777" w:rsidR="007B27D1" w:rsidRDefault="007B27D1" w:rsidP="004B5098">
            <w:pPr>
              <w:rPr>
                <w:rFonts w:cs="Arial"/>
                <w:color w:val="000000"/>
                <w:sz w:val="20"/>
              </w:rPr>
            </w:pPr>
            <w:r w:rsidRPr="003C7A36">
              <w:rPr>
                <w:rFonts w:cs="Arial"/>
                <w:b/>
                <w:bCs/>
                <w:color w:val="000000"/>
                <w:sz w:val="20"/>
              </w:rPr>
              <w:t>Think and Solve Problems</w:t>
            </w:r>
          </w:p>
          <w:p w14:paraId="23EEEA1A" w14:textId="77777777" w:rsidR="007B27D1" w:rsidRPr="00667FCB" w:rsidRDefault="007B27D1" w:rsidP="004B5098">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1F97BAFE" w14:textId="77777777" w:rsidR="007B27D1" w:rsidRPr="003C7A36" w:rsidRDefault="007B27D1" w:rsidP="004B5098">
            <w:pPr>
              <w:pStyle w:val="TableBullet"/>
            </w:pPr>
            <w:r w:rsidRPr="003C7A36">
              <w:t>Identify the facts and type of data needed to understand a problem or explore an opportunity</w:t>
            </w:r>
          </w:p>
          <w:p w14:paraId="1AED6A0F" w14:textId="77777777" w:rsidR="007B27D1" w:rsidRPr="003C7A36" w:rsidRDefault="007B27D1" w:rsidP="004B5098">
            <w:pPr>
              <w:pStyle w:val="TableBullet"/>
            </w:pPr>
            <w:r w:rsidRPr="003C7A36">
              <w:t>Research and analyse information to make recommendations based on relevant evidence</w:t>
            </w:r>
          </w:p>
          <w:p w14:paraId="210A7560" w14:textId="77777777" w:rsidR="007B27D1" w:rsidRPr="003C7A36" w:rsidRDefault="007B27D1" w:rsidP="004B5098">
            <w:pPr>
              <w:pStyle w:val="TableBullet"/>
            </w:pPr>
            <w:r w:rsidRPr="003C7A36">
              <w:t>Identify issues that may hinder the completion of tasks and find appropriate solutions</w:t>
            </w:r>
          </w:p>
          <w:p w14:paraId="2945B8FF" w14:textId="77777777" w:rsidR="007B27D1" w:rsidRPr="003C7A36" w:rsidRDefault="007B27D1" w:rsidP="004B5098">
            <w:pPr>
              <w:pStyle w:val="TableBullet"/>
            </w:pPr>
            <w:r w:rsidRPr="003C7A36">
              <w:t>Be willing to seek input from others and share own ideas to achieve best outcomes</w:t>
            </w:r>
          </w:p>
          <w:p w14:paraId="72D6CF4C" w14:textId="77777777" w:rsidR="007B27D1" w:rsidRPr="003C7A36" w:rsidRDefault="007B27D1" w:rsidP="004B5098">
            <w:pPr>
              <w:pStyle w:val="TableBullet"/>
            </w:pPr>
            <w:r w:rsidRPr="003C7A36">
              <w:t>Generate ideas and identify ways to improve systems and processes to meet user needs</w:t>
            </w:r>
          </w:p>
        </w:tc>
        <w:tc>
          <w:tcPr>
            <w:tcW w:w="1668" w:type="dxa"/>
          </w:tcPr>
          <w:p w14:paraId="35DB8D72" w14:textId="77777777" w:rsidR="007B27D1" w:rsidRPr="006F0836" w:rsidRDefault="007B27D1" w:rsidP="004B5098">
            <w:pPr>
              <w:pStyle w:val="TableText"/>
            </w:pPr>
            <w:r w:rsidRPr="004C659E">
              <w:t>Intermediate</w:t>
            </w:r>
          </w:p>
        </w:tc>
      </w:tr>
      <w:tr w:rsidR="007B27D1" w:rsidRPr="003C7A36" w14:paraId="57D8EBF9" w14:textId="77777777" w:rsidTr="004B5098">
        <w:trPr>
          <w:cantSplit/>
        </w:trPr>
        <w:tc>
          <w:tcPr>
            <w:tcW w:w="1385" w:type="dxa"/>
          </w:tcPr>
          <w:p w14:paraId="7A699197"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4336A38E" wp14:editId="222D6551">
                  <wp:extent cx="749300" cy="749300"/>
                  <wp:effectExtent l="0" t="0" r="0" b="0"/>
                  <wp:docPr id="715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F035819" w14:textId="77777777" w:rsidR="007B27D1" w:rsidRDefault="007B27D1" w:rsidP="004B5098">
            <w:pPr>
              <w:rPr>
                <w:rFonts w:cs="Arial"/>
                <w:color w:val="000000"/>
                <w:sz w:val="20"/>
              </w:rPr>
            </w:pPr>
            <w:r w:rsidRPr="003C7A36">
              <w:rPr>
                <w:rFonts w:cs="Arial"/>
                <w:b/>
                <w:bCs/>
                <w:color w:val="000000"/>
                <w:sz w:val="20"/>
              </w:rPr>
              <w:t>Demonstrate Accountability</w:t>
            </w:r>
          </w:p>
          <w:p w14:paraId="7E5795DD" w14:textId="77777777" w:rsidR="007B27D1" w:rsidRPr="00667FCB" w:rsidRDefault="007B27D1" w:rsidP="004B5098">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011D36E0" w14:textId="77777777" w:rsidR="007B27D1" w:rsidRPr="003C7A36" w:rsidRDefault="007B27D1" w:rsidP="004B5098">
            <w:pPr>
              <w:pStyle w:val="TableBullet"/>
            </w:pPr>
            <w:r w:rsidRPr="003C7A36">
              <w:t>Assess work outcomes and identify and share learnings to inform future actions</w:t>
            </w:r>
          </w:p>
          <w:p w14:paraId="58CEDEF4" w14:textId="77777777" w:rsidR="007B27D1" w:rsidRPr="003C7A36" w:rsidRDefault="007B27D1" w:rsidP="004B5098">
            <w:pPr>
              <w:pStyle w:val="TableBullet"/>
            </w:pPr>
            <w:r w:rsidRPr="003C7A36">
              <w:t>Ensure that own actions and those of others are focused on achieving organisational outcomes</w:t>
            </w:r>
          </w:p>
          <w:p w14:paraId="134C1D99" w14:textId="77777777" w:rsidR="007B27D1" w:rsidRPr="003C7A36" w:rsidRDefault="007B27D1" w:rsidP="004B5098">
            <w:pPr>
              <w:pStyle w:val="TableBullet"/>
            </w:pPr>
            <w:r w:rsidRPr="003C7A36">
              <w:t>Exercise delegations responsibly</w:t>
            </w:r>
          </w:p>
          <w:p w14:paraId="6A18252F" w14:textId="77777777" w:rsidR="007B27D1" w:rsidRPr="003C7A36" w:rsidRDefault="007B27D1" w:rsidP="004B5098">
            <w:pPr>
              <w:pStyle w:val="TableBullet"/>
            </w:pPr>
            <w:r w:rsidRPr="003C7A36">
              <w:t>Understand and apply high standards of financial probity with public monies and other resources</w:t>
            </w:r>
          </w:p>
          <w:p w14:paraId="3B577B87" w14:textId="77777777" w:rsidR="007B27D1" w:rsidRPr="003C7A36" w:rsidRDefault="007B27D1" w:rsidP="004B5098">
            <w:pPr>
              <w:pStyle w:val="TableBullet"/>
            </w:pPr>
            <w:r w:rsidRPr="003C7A36">
              <w:t>Identify and implement safe work practices, taking a systematic risk management approach to ensure own and others’ health and safety</w:t>
            </w:r>
          </w:p>
          <w:p w14:paraId="262AC2C3" w14:textId="77777777" w:rsidR="007B27D1" w:rsidRPr="003C7A36" w:rsidRDefault="007B27D1" w:rsidP="004B5098">
            <w:pPr>
              <w:pStyle w:val="TableBullet"/>
            </w:pPr>
            <w:r w:rsidRPr="003C7A36">
              <w:t>Conduct and report on quality control audits</w:t>
            </w:r>
          </w:p>
          <w:p w14:paraId="517E68B6" w14:textId="77777777" w:rsidR="007B27D1" w:rsidRPr="003C7A36" w:rsidRDefault="007B27D1" w:rsidP="004B5098">
            <w:pPr>
              <w:pStyle w:val="TableBullet"/>
            </w:pPr>
            <w:r w:rsidRPr="003C7A36">
              <w:t>Identify risks to successfully achieving goals, and take appropriate steps to mitigate those risks</w:t>
            </w:r>
          </w:p>
        </w:tc>
        <w:tc>
          <w:tcPr>
            <w:tcW w:w="1668" w:type="dxa"/>
          </w:tcPr>
          <w:p w14:paraId="7983FEF5" w14:textId="77777777" w:rsidR="007B27D1" w:rsidRPr="006F0836" w:rsidRDefault="007B27D1" w:rsidP="004B5098">
            <w:pPr>
              <w:pStyle w:val="TableText"/>
            </w:pPr>
            <w:r w:rsidRPr="004C659E">
              <w:t>Adept</w:t>
            </w:r>
          </w:p>
        </w:tc>
      </w:tr>
      <w:tr w:rsidR="007B27D1" w:rsidRPr="003C7A36" w14:paraId="639FF036" w14:textId="77777777" w:rsidTr="004B5098">
        <w:trPr>
          <w:cantSplit/>
        </w:trPr>
        <w:tc>
          <w:tcPr>
            <w:tcW w:w="1385" w:type="dxa"/>
          </w:tcPr>
          <w:p w14:paraId="37E189BF" w14:textId="77777777" w:rsidR="007B27D1" w:rsidRPr="003C7A36" w:rsidRDefault="007B27D1" w:rsidP="004B5098">
            <w:pPr>
              <w:jc w:val="center"/>
              <w:rPr>
                <w:noProof/>
                <w:sz w:val="20"/>
                <w:lang w:eastAsia="en-AU"/>
              </w:rPr>
            </w:pPr>
            <w:r w:rsidRPr="00372FE9">
              <w:rPr>
                <w:noProof/>
                <w:sz w:val="20"/>
                <w:lang w:eastAsia="en-AU"/>
              </w:rPr>
              <w:lastRenderedPageBreak/>
              <w:drawing>
                <wp:inline distT="0" distB="0" distL="0" distR="0" wp14:anchorId="42948907" wp14:editId="575998A6">
                  <wp:extent cx="749300" cy="749300"/>
                  <wp:effectExtent l="0" t="0" r="0" b="0"/>
                  <wp:docPr id="878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26E3981" w14:textId="77777777" w:rsidR="007B27D1" w:rsidRDefault="007B27D1" w:rsidP="004B5098">
            <w:pPr>
              <w:rPr>
                <w:rFonts w:cs="Arial"/>
                <w:color w:val="000000"/>
                <w:sz w:val="20"/>
              </w:rPr>
            </w:pPr>
            <w:r w:rsidRPr="003C7A36">
              <w:rPr>
                <w:rFonts w:cs="Arial"/>
                <w:b/>
                <w:bCs/>
                <w:color w:val="000000"/>
                <w:sz w:val="20"/>
              </w:rPr>
              <w:t>Technology</w:t>
            </w:r>
          </w:p>
          <w:p w14:paraId="39A0F0E4" w14:textId="77777777" w:rsidR="007B27D1" w:rsidRPr="00667FCB" w:rsidRDefault="007B27D1" w:rsidP="004B5098">
            <w:pPr>
              <w:rPr>
                <w:rFonts w:cs="Arial"/>
                <w:color w:val="000000"/>
                <w:sz w:val="20"/>
              </w:rPr>
            </w:pPr>
            <w:r w:rsidRPr="003C7A36">
              <w:rPr>
                <w:rFonts w:cs="Arial"/>
                <w:color w:val="000000"/>
                <w:sz w:val="20"/>
              </w:rPr>
              <w:t xml:space="preserve">Understand and use available technologies to </w:t>
            </w:r>
            <w:proofErr w:type="spellStart"/>
            <w:r w:rsidRPr="003C7A36">
              <w:rPr>
                <w:rFonts w:cs="Arial"/>
                <w:color w:val="000000"/>
                <w:sz w:val="20"/>
              </w:rPr>
              <w:t>maximise</w:t>
            </w:r>
            <w:proofErr w:type="spellEnd"/>
            <w:r w:rsidRPr="003C7A36">
              <w:rPr>
                <w:rFonts w:cs="Arial"/>
                <w:color w:val="000000"/>
                <w:sz w:val="20"/>
              </w:rPr>
              <w:t xml:space="preserve"> efficiencies and effectiveness</w:t>
            </w:r>
          </w:p>
        </w:tc>
        <w:tc>
          <w:tcPr>
            <w:tcW w:w="4709" w:type="dxa"/>
          </w:tcPr>
          <w:p w14:paraId="6E462B4C" w14:textId="77777777" w:rsidR="007B27D1" w:rsidRPr="003C7A36" w:rsidRDefault="007B27D1" w:rsidP="004B5098">
            <w:pPr>
              <w:pStyle w:val="TableBullet"/>
            </w:pPr>
            <w:r w:rsidRPr="003C7A36">
              <w:t>Demonstrate a sound understanding of technology relevant to the work unit, and identify and select the most appropriate technology for assigned tasks</w:t>
            </w:r>
          </w:p>
          <w:p w14:paraId="14F805F6" w14:textId="77777777" w:rsidR="007B27D1" w:rsidRPr="003C7A36" w:rsidRDefault="007B27D1" w:rsidP="004B5098">
            <w:pPr>
              <w:pStyle w:val="TableBullet"/>
            </w:pPr>
            <w:r w:rsidRPr="003C7A36">
              <w:t>Use available technology to improve individual performance and effectiveness</w:t>
            </w:r>
          </w:p>
          <w:p w14:paraId="0A0971E2" w14:textId="77777777" w:rsidR="007B27D1" w:rsidRPr="003C7A36" w:rsidRDefault="007B27D1" w:rsidP="004B5098">
            <w:pPr>
              <w:pStyle w:val="TableBullet"/>
            </w:pPr>
            <w:r w:rsidRPr="003C7A36">
              <w:t>Make effective use of records, information and knowledge management functions and systems</w:t>
            </w:r>
          </w:p>
          <w:p w14:paraId="27629177" w14:textId="77777777" w:rsidR="007B27D1" w:rsidRPr="003C7A36" w:rsidRDefault="007B27D1" w:rsidP="004B5098">
            <w:pPr>
              <w:pStyle w:val="TableBullet"/>
            </w:pPr>
            <w:r w:rsidRPr="003C7A36">
              <w:t>Support the implementation of systems improvement initiatives, and the introduction and roll-out of new technologies</w:t>
            </w:r>
          </w:p>
        </w:tc>
        <w:tc>
          <w:tcPr>
            <w:tcW w:w="1668" w:type="dxa"/>
          </w:tcPr>
          <w:p w14:paraId="0B735C13" w14:textId="77777777" w:rsidR="007B27D1" w:rsidRPr="006F0836" w:rsidRDefault="007B27D1" w:rsidP="004B5098">
            <w:pPr>
              <w:pStyle w:val="TableText"/>
            </w:pPr>
            <w:r w:rsidRPr="004C659E">
              <w:t>Intermediate</w:t>
            </w:r>
          </w:p>
        </w:tc>
      </w:tr>
      <w:tr w:rsidR="007B27D1" w:rsidRPr="003C7A36" w14:paraId="18092439" w14:textId="77777777" w:rsidTr="004B5098">
        <w:trPr>
          <w:cantSplit/>
        </w:trPr>
        <w:tc>
          <w:tcPr>
            <w:tcW w:w="1385" w:type="dxa"/>
          </w:tcPr>
          <w:p w14:paraId="09CF2103"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2342009B" wp14:editId="361E0E27">
                  <wp:extent cx="749300" cy="749300"/>
                  <wp:effectExtent l="0" t="0" r="0" b="0"/>
                  <wp:docPr id="520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A3217F3" w14:textId="77777777" w:rsidR="007B27D1" w:rsidRDefault="007B27D1" w:rsidP="004B5098">
            <w:pPr>
              <w:rPr>
                <w:rFonts w:cs="Arial"/>
                <w:color w:val="000000"/>
                <w:sz w:val="20"/>
              </w:rPr>
            </w:pPr>
            <w:r w:rsidRPr="003C7A36">
              <w:rPr>
                <w:rFonts w:cs="Arial"/>
                <w:b/>
                <w:bCs/>
                <w:color w:val="000000"/>
                <w:sz w:val="20"/>
              </w:rPr>
              <w:t>Project Management</w:t>
            </w:r>
          </w:p>
          <w:p w14:paraId="1ECDB765" w14:textId="77777777" w:rsidR="007B27D1" w:rsidRPr="00667FCB" w:rsidRDefault="007B27D1" w:rsidP="004B5098">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50169AB" w14:textId="77777777" w:rsidR="007B27D1" w:rsidRPr="003C7A36" w:rsidRDefault="007B27D1" w:rsidP="004B5098">
            <w:pPr>
              <w:pStyle w:val="TableBullet"/>
            </w:pPr>
            <w:r w:rsidRPr="003C7A36">
              <w:t>Perform basic research and analysis to inform and support the achievement of project deliverables</w:t>
            </w:r>
          </w:p>
          <w:p w14:paraId="323FA601" w14:textId="77777777" w:rsidR="007B27D1" w:rsidRPr="003C7A36" w:rsidRDefault="007B27D1" w:rsidP="004B5098">
            <w:pPr>
              <w:pStyle w:val="TableBullet"/>
            </w:pPr>
            <w:r w:rsidRPr="003C7A36">
              <w:t>Contribute to developing project documentation and resource estimates</w:t>
            </w:r>
          </w:p>
          <w:p w14:paraId="4ED048E2" w14:textId="77777777" w:rsidR="007B27D1" w:rsidRPr="003C7A36" w:rsidRDefault="007B27D1" w:rsidP="004B5098">
            <w:pPr>
              <w:pStyle w:val="TableBullet"/>
            </w:pPr>
            <w:r w:rsidRPr="003C7A36">
              <w:t>Contribute to reviews of progress, outcomes and future improvements</w:t>
            </w:r>
          </w:p>
          <w:p w14:paraId="2788DBBF" w14:textId="77777777" w:rsidR="007B27D1" w:rsidRPr="003C7A36" w:rsidRDefault="007B27D1" w:rsidP="004B5098">
            <w:pPr>
              <w:pStyle w:val="TableBullet"/>
            </w:pPr>
            <w:r w:rsidRPr="003C7A36">
              <w:t>Identify and escalate possible variances from project plans</w:t>
            </w:r>
          </w:p>
        </w:tc>
        <w:tc>
          <w:tcPr>
            <w:tcW w:w="1668" w:type="dxa"/>
          </w:tcPr>
          <w:p w14:paraId="4862F977" w14:textId="77777777" w:rsidR="007B27D1" w:rsidRPr="006F0836" w:rsidRDefault="007B27D1" w:rsidP="004B5098">
            <w:pPr>
              <w:pStyle w:val="TableText"/>
            </w:pPr>
            <w:r w:rsidRPr="004C659E">
              <w:t>Intermediate</w:t>
            </w:r>
          </w:p>
        </w:tc>
      </w:tr>
      <w:tr w:rsidR="007B27D1" w:rsidRPr="003C7A36" w14:paraId="0A7210DA" w14:textId="77777777" w:rsidTr="004B5098">
        <w:trPr>
          <w:cantSplit/>
        </w:trPr>
        <w:tc>
          <w:tcPr>
            <w:tcW w:w="1385" w:type="dxa"/>
          </w:tcPr>
          <w:p w14:paraId="31BF57F4" w14:textId="77777777" w:rsidR="007B27D1" w:rsidRPr="003C7A36" w:rsidRDefault="007B27D1" w:rsidP="004B5098">
            <w:pPr>
              <w:jc w:val="center"/>
              <w:rPr>
                <w:noProof/>
                <w:sz w:val="20"/>
                <w:lang w:eastAsia="en-AU"/>
              </w:rPr>
            </w:pPr>
            <w:r w:rsidRPr="00372FE9">
              <w:rPr>
                <w:noProof/>
                <w:sz w:val="20"/>
                <w:lang w:eastAsia="en-AU"/>
              </w:rPr>
              <w:drawing>
                <wp:inline distT="0" distB="0" distL="0" distR="0" wp14:anchorId="3A11D1D3" wp14:editId="58AB5575">
                  <wp:extent cx="749300" cy="749300"/>
                  <wp:effectExtent l="0" t="0" r="0" b="0"/>
                  <wp:docPr id="6837"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9DFCCA" w14:textId="77777777" w:rsidR="007B27D1" w:rsidRDefault="007B27D1" w:rsidP="004B5098">
            <w:pPr>
              <w:rPr>
                <w:rFonts w:cs="Arial"/>
                <w:color w:val="000000"/>
                <w:sz w:val="20"/>
              </w:rPr>
            </w:pPr>
            <w:r w:rsidRPr="003C7A36">
              <w:rPr>
                <w:rFonts w:cs="Arial"/>
                <w:b/>
                <w:bCs/>
                <w:color w:val="000000"/>
                <w:sz w:val="20"/>
              </w:rPr>
              <w:t>Manage and Develop People</w:t>
            </w:r>
          </w:p>
          <w:p w14:paraId="0BF7A05C" w14:textId="77777777" w:rsidR="007B27D1" w:rsidRPr="00667FCB" w:rsidRDefault="007B27D1" w:rsidP="004B5098">
            <w:pPr>
              <w:rPr>
                <w:rFonts w:cs="Arial"/>
                <w:color w:val="000000"/>
                <w:sz w:val="20"/>
              </w:rPr>
            </w:pPr>
            <w:r w:rsidRPr="003C7A36">
              <w:rPr>
                <w:rFonts w:cs="Arial"/>
                <w:color w:val="000000"/>
                <w:sz w:val="20"/>
              </w:rPr>
              <w:t>Engage and motivate staff, and develop capability and potential in others</w:t>
            </w:r>
          </w:p>
        </w:tc>
        <w:tc>
          <w:tcPr>
            <w:tcW w:w="4709" w:type="dxa"/>
          </w:tcPr>
          <w:p w14:paraId="35CFAE22" w14:textId="77777777" w:rsidR="007B27D1" w:rsidRPr="003C7A36" w:rsidRDefault="007B27D1" w:rsidP="004B5098">
            <w:pPr>
              <w:pStyle w:val="TableBullet"/>
            </w:pPr>
            <w:r w:rsidRPr="003C7A36">
              <w:t>Define and clearly communicate roles, responsibilities and performance standards to achieve team outcomes</w:t>
            </w:r>
          </w:p>
          <w:p w14:paraId="7B58177A" w14:textId="77777777" w:rsidR="007B27D1" w:rsidRPr="003C7A36" w:rsidRDefault="007B27D1" w:rsidP="004B5098">
            <w:pPr>
              <w:pStyle w:val="TableBullet"/>
            </w:pPr>
            <w:r w:rsidRPr="003C7A36">
              <w:t>Adjust performance development processes to meet the diverse abilities and needs of individuals and teams</w:t>
            </w:r>
          </w:p>
          <w:p w14:paraId="7D89AE4F" w14:textId="77777777" w:rsidR="007B27D1" w:rsidRPr="003C7A36" w:rsidRDefault="007B27D1" w:rsidP="004B5098">
            <w:pPr>
              <w:pStyle w:val="TableBullet"/>
            </w:pPr>
            <w:r w:rsidRPr="003C7A36">
              <w:t>Develop work plans that consider capability, strengths and opportunities for development</w:t>
            </w:r>
          </w:p>
          <w:p w14:paraId="25F10ACE" w14:textId="77777777" w:rsidR="007B27D1" w:rsidRPr="003C7A36" w:rsidRDefault="007B27D1" w:rsidP="004B5098">
            <w:pPr>
              <w:pStyle w:val="TableBullet"/>
            </w:pPr>
            <w:r w:rsidRPr="003C7A36">
              <w:t>Be aware of the influences of bias when managing team members</w:t>
            </w:r>
          </w:p>
          <w:p w14:paraId="2B384F4A" w14:textId="77777777" w:rsidR="007B27D1" w:rsidRPr="003C7A36" w:rsidRDefault="007B27D1" w:rsidP="004B5098">
            <w:pPr>
              <w:pStyle w:val="TableBullet"/>
            </w:pPr>
            <w:r w:rsidRPr="003C7A36">
              <w:t>Seek feedback on own management capabilities and develop strategies to address any gaps</w:t>
            </w:r>
          </w:p>
          <w:p w14:paraId="2A46842E" w14:textId="77777777" w:rsidR="007B27D1" w:rsidRPr="003C7A36" w:rsidRDefault="007B27D1" w:rsidP="004B5098">
            <w:pPr>
              <w:pStyle w:val="TableBullet"/>
            </w:pPr>
            <w:r w:rsidRPr="003C7A36">
              <w:t>Address and resolve team and individual performance issues, including unsatisfactory performance, in a timely and effective way</w:t>
            </w:r>
          </w:p>
          <w:p w14:paraId="6E499853" w14:textId="77777777" w:rsidR="007B27D1" w:rsidRPr="003C7A36" w:rsidRDefault="007B27D1" w:rsidP="004B5098">
            <w:pPr>
              <w:pStyle w:val="TableBullet"/>
            </w:pPr>
            <w:r w:rsidRPr="003C7A36">
              <w:t>Monitor and report on team performance in line with established performance development frameworks</w:t>
            </w:r>
          </w:p>
        </w:tc>
        <w:tc>
          <w:tcPr>
            <w:tcW w:w="1668" w:type="dxa"/>
          </w:tcPr>
          <w:p w14:paraId="18658A29" w14:textId="77777777" w:rsidR="007B27D1" w:rsidRPr="006F0836" w:rsidRDefault="007B27D1" w:rsidP="004B5098">
            <w:pPr>
              <w:pStyle w:val="TableText"/>
            </w:pPr>
            <w:r w:rsidRPr="004C659E">
              <w:t>Adept</w:t>
            </w:r>
          </w:p>
        </w:tc>
      </w:tr>
    </w:tbl>
    <w:p w14:paraId="54FD3963" w14:textId="77777777" w:rsidR="007B27D1" w:rsidRDefault="007B27D1" w:rsidP="007B27D1"/>
    <w:p w14:paraId="118F5BAA" w14:textId="77777777" w:rsidR="007B27D1" w:rsidRDefault="007B27D1" w:rsidP="007B27D1"/>
    <w:p w14:paraId="43BC5449" w14:textId="77777777" w:rsidR="007B27D1" w:rsidRDefault="007B27D1" w:rsidP="007B27D1">
      <w:pPr>
        <w:pStyle w:val="Heading2"/>
      </w:pPr>
      <w:r>
        <w:t>Complementary capabilities</w:t>
      </w:r>
    </w:p>
    <w:p w14:paraId="2AFA51F5" w14:textId="77777777" w:rsidR="007B27D1" w:rsidRPr="003927AE" w:rsidRDefault="007B27D1" w:rsidP="007B27D1">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6026EAE2" w14:textId="77777777" w:rsidR="007B27D1" w:rsidRDefault="007B27D1" w:rsidP="007B27D1">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500DD9DC" w14:textId="77777777" w:rsidR="007B27D1" w:rsidRDefault="007B27D1" w:rsidP="007B27D1">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87"/>
        <w:gridCol w:w="4836"/>
        <w:gridCol w:w="1667"/>
      </w:tblGrid>
      <w:tr w:rsidR="007B27D1" w:rsidRPr="00372FE9" w14:paraId="1B976B44" w14:textId="77777777" w:rsidTr="004B5098">
        <w:trPr>
          <w:cantSplit/>
        </w:trPr>
        <w:tc>
          <w:tcPr>
            <w:tcW w:w="1276" w:type="dxa"/>
            <w:shd w:val="clear" w:color="auto" w:fill="BFBFBF" w:themeFill="background1" w:themeFillShade="BF"/>
            <w:vAlign w:val="center"/>
          </w:tcPr>
          <w:p w14:paraId="3E6BAD21" w14:textId="77777777" w:rsidR="007B27D1" w:rsidRPr="00372FE9" w:rsidRDefault="007B27D1" w:rsidP="004B5098">
            <w:pPr>
              <w:rPr>
                <w:sz w:val="20"/>
              </w:rPr>
            </w:pPr>
            <w:r w:rsidRPr="00372FE9">
              <w:rPr>
                <w:b/>
                <w:sz w:val="20"/>
              </w:rPr>
              <w:t>Capability group/sets</w:t>
            </w:r>
          </w:p>
        </w:tc>
        <w:tc>
          <w:tcPr>
            <w:tcW w:w="2693" w:type="dxa"/>
            <w:shd w:val="clear" w:color="auto" w:fill="BFBFBF" w:themeFill="background1" w:themeFillShade="BF"/>
          </w:tcPr>
          <w:p w14:paraId="43DDAD85" w14:textId="77777777" w:rsidR="007B27D1" w:rsidRPr="00372FE9" w:rsidRDefault="007B27D1" w:rsidP="004B5098">
            <w:pPr>
              <w:rPr>
                <w:sz w:val="20"/>
              </w:rPr>
            </w:pPr>
            <w:r w:rsidRPr="00372FE9">
              <w:rPr>
                <w:b/>
                <w:sz w:val="20"/>
              </w:rPr>
              <w:t>Capability name</w:t>
            </w:r>
          </w:p>
        </w:tc>
        <w:tc>
          <w:tcPr>
            <w:tcW w:w="4851" w:type="dxa"/>
            <w:shd w:val="clear" w:color="auto" w:fill="BFBFBF" w:themeFill="background1" w:themeFillShade="BF"/>
          </w:tcPr>
          <w:p w14:paraId="2A569BB0" w14:textId="77777777" w:rsidR="007B27D1" w:rsidRPr="00372FE9" w:rsidRDefault="007B27D1" w:rsidP="004B5098">
            <w:pPr>
              <w:rPr>
                <w:sz w:val="20"/>
              </w:rPr>
            </w:pPr>
            <w:r w:rsidRPr="00372FE9">
              <w:rPr>
                <w:b/>
                <w:sz w:val="20"/>
              </w:rPr>
              <w:t>Description</w:t>
            </w:r>
          </w:p>
        </w:tc>
        <w:tc>
          <w:tcPr>
            <w:tcW w:w="1668" w:type="dxa"/>
            <w:shd w:val="clear" w:color="auto" w:fill="BFBFBF" w:themeFill="background1" w:themeFillShade="BF"/>
          </w:tcPr>
          <w:p w14:paraId="579F76A5" w14:textId="77777777" w:rsidR="007B27D1" w:rsidRPr="00372FE9" w:rsidRDefault="007B27D1" w:rsidP="004B5098">
            <w:pPr>
              <w:rPr>
                <w:b/>
                <w:bCs/>
                <w:sz w:val="20"/>
              </w:rPr>
            </w:pPr>
            <w:r w:rsidRPr="00372FE9">
              <w:rPr>
                <w:b/>
                <w:bCs/>
                <w:sz w:val="20"/>
              </w:rPr>
              <w:t>Level</w:t>
            </w:r>
          </w:p>
        </w:tc>
      </w:tr>
      <w:tr w:rsidR="007B27D1" w:rsidRPr="00372FE9" w14:paraId="234E6E4D" w14:textId="77777777" w:rsidTr="004B5098">
        <w:trPr>
          <w:cantSplit/>
        </w:trPr>
        <w:tc>
          <w:tcPr>
            <w:tcW w:w="1276" w:type="dxa"/>
          </w:tcPr>
          <w:p w14:paraId="1AFAC295" w14:textId="77777777" w:rsidR="007B27D1" w:rsidRPr="00372FE9" w:rsidRDefault="007B27D1" w:rsidP="004B5098">
            <w:pPr>
              <w:rPr>
                <w:sz w:val="20"/>
              </w:rPr>
            </w:pPr>
            <w:r w:rsidRPr="00372FE9">
              <w:rPr>
                <w:noProof/>
                <w:sz w:val="20"/>
                <w:lang w:eastAsia="en-AU"/>
              </w:rPr>
              <w:lastRenderedPageBreak/>
              <w:drawing>
                <wp:inline distT="0" distB="0" distL="0" distR="0" wp14:anchorId="3FFA401F" wp14:editId="7E7ABE33">
                  <wp:extent cx="416966" cy="416966"/>
                  <wp:effectExtent l="0" t="0" r="2540" b="2540"/>
                  <wp:docPr id="325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078E6B" w14:textId="77777777" w:rsidR="007B27D1" w:rsidRPr="00372FE9" w:rsidRDefault="007B27D1" w:rsidP="004B5098">
            <w:pPr>
              <w:pStyle w:val="TableText"/>
            </w:pPr>
            <w:r w:rsidRPr="00372FE9">
              <w:t>Display Resilience and Courage</w:t>
            </w:r>
          </w:p>
        </w:tc>
        <w:tc>
          <w:tcPr>
            <w:tcW w:w="4851" w:type="dxa"/>
          </w:tcPr>
          <w:p w14:paraId="39EF72DE" w14:textId="77777777" w:rsidR="007B27D1" w:rsidRPr="00372FE9" w:rsidRDefault="007B27D1" w:rsidP="004B5098">
            <w:pPr>
              <w:pStyle w:val="TableText"/>
            </w:pPr>
            <w:r w:rsidRPr="00372FE9">
              <w:t>Be open and honest, prepared to express your views, and willing to accept and commit to change</w:t>
            </w:r>
          </w:p>
        </w:tc>
        <w:tc>
          <w:tcPr>
            <w:tcW w:w="1668" w:type="dxa"/>
          </w:tcPr>
          <w:p w14:paraId="321679E1" w14:textId="77777777" w:rsidR="007B27D1" w:rsidRPr="00372FE9" w:rsidRDefault="007B27D1" w:rsidP="004B5098">
            <w:pPr>
              <w:pStyle w:val="TableText"/>
            </w:pPr>
            <w:r w:rsidRPr="004C659E">
              <w:t>Adept</w:t>
            </w:r>
          </w:p>
        </w:tc>
      </w:tr>
      <w:tr w:rsidR="007B27D1" w:rsidRPr="00372FE9" w14:paraId="230E8E56" w14:textId="77777777" w:rsidTr="004B5098">
        <w:trPr>
          <w:cantSplit/>
        </w:trPr>
        <w:tc>
          <w:tcPr>
            <w:tcW w:w="1276" w:type="dxa"/>
          </w:tcPr>
          <w:p w14:paraId="12EA5758" w14:textId="77777777" w:rsidR="007B27D1" w:rsidRPr="00372FE9" w:rsidRDefault="007B27D1" w:rsidP="004B5098">
            <w:pPr>
              <w:rPr>
                <w:sz w:val="20"/>
              </w:rPr>
            </w:pPr>
            <w:r w:rsidRPr="00372FE9">
              <w:rPr>
                <w:noProof/>
                <w:sz w:val="20"/>
                <w:lang w:eastAsia="en-AU"/>
              </w:rPr>
              <w:drawing>
                <wp:inline distT="0" distB="0" distL="0" distR="0" wp14:anchorId="45DF9BAB" wp14:editId="2E63D3C0">
                  <wp:extent cx="416966" cy="416966"/>
                  <wp:effectExtent l="0" t="0" r="2540" b="2540"/>
                  <wp:docPr id="965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257681" w14:textId="77777777" w:rsidR="007B27D1" w:rsidRPr="00372FE9" w:rsidRDefault="007B27D1" w:rsidP="004B5098">
            <w:pPr>
              <w:pStyle w:val="TableText"/>
            </w:pPr>
            <w:r w:rsidRPr="00372FE9">
              <w:t>Value Diversity and Inclusion</w:t>
            </w:r>
          </w:p>
        </w:tc>
        <w:tc>
          <w:tcPr>
            <w:tcW w:w="4851" w:type="dxa"/>
          </w:tcPr>
          <w:p w14:paraId="0F3FFACC" w14:textId="77777777" w:rsidR="007B27D1" w:rsidRPr="00372FE9" w:rsidRDefault="007B27D1" w:rsidP="004B5098">
            <w:pPr>
              <w:pStyle w:val="TableText"/>
            </w:pPr>
            <w:r w:rsidRPr="00372FE9">
              <w:t>Demonstrate inclusive behaviour and show respect for diverse backgrounds, experiences and perspectives</w:t>
            </w:r>
          </w:p>
        </w:tc>
        <w:tc>
          <w:tcPr>
            <w:tcW w:w="1668" w:type="dxa"/>
          </w:tcPr>
          <w:p w14:paraId="248525F9" w14:textId="77777777" w:rsidR="007B27D1" w:rsidRPr="00372FE9" w:rsidRDefault="007B27D1" w:rsidP="004B5098">
            <w:pPr>
              <w:pStyle w:val="TableText"/>
            </w:pPr>
            <w:r w:rsidRPr="004C659E">
              <w:t>Intermediate</w:t>
            </w:r>
          </w:p>
        </w:tc>
      </w:tr>
      <w:tr w:rsidR="007B27D1" w:rsidRPr="00372FE9" w14:paraId="7A37DF80" w14:textId="77777777" w:rsidTr="004B5098">
        <w:trPr>
          <w:cantSplit/>
        </w:trPr>
        <w:tc>
          <w:tcPr>
            <w:tcW w:w="1276" w:type="dxa"/>
          </w:tcPr>
          <w:p w14:paraId="00773AA9" w14:textId="77777777" w:rsidR="007B27D1" w:rsidRPr="00372FE9" w:rsidRDefault="007B27D1" w:rsidP="004B5098">
            <w:pPr>
              <w:rPr>
                <w:sz w:val="20"/>
              </w:rPr>
            </w:pPr>
            <w:r w:rsidRPr="00372FE9">
              <w:rPr>
                <w:noProof/>
                <w:sz w:val="20"/>
                <w:lang w:eastAsia="en-AU"/>
              </w:rPr>
              <w:drawing>
                <wp:inline distT="0" distB="0" distL="0" distR="0" wp14:anchorId="46BF446B" wp14:editId="32B08447">
                  <wp:extent cx="416966" cy="416966"/>
                  <wp:effectExtent l="0" t="0" r="2540" b="2540"/>
                  <wp:docPr id="130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120875" w14:textId="77777777" w:rsidR="007B27D1" w:rsidRPr="00372FE9" w:rsidRDefault="007B27D1" w:rsidP="004B5098">
            <w:pPr>
              <w:pStyle w:val="TableText"/>
            </w:pPr>
            <w:r w:rsidRPr="00372FE9">
              <w:t>Commit to Customer Service</w:t>
            </w:r>
          </w:p>
        </w:tc>
        <w:tc>
          <w:tcPr>
            <w:tcW w:w="4851" w:type="dxa"/>
          </w:tcPr>
          <w:p w14:paraId="43DB7102" w14:textId="77777777" w:rsidR="007B27D1" w:rsidRPr="00372FE9" w:rsidRDefault="007B27D1" w:rsidP="004B5098">
            <w:pPr>
              <w:pStyle w:val="TableText"/>
            </w:pPr>
            <w:r w:rsidRPr="00372FE9">
              <w:t>Provide customer-focused services in line with public sector and organisational objectives</w:t>
            </w:r>
          </w:p>
        </w:tc>
        <w:tc>
          <w:tcPr>
            <w:tcW w:w="1668" w:type="dxa"/>
          </w:tcPr>
          <w:p w14:paraId="548B2C85" w14:textId="77777777" w:rsidR="007B27D1" w:rsidRPr="00372FE9" w:rsidRDefault="007B27D1" w:rsidP="004B5098">
            <w:pPr>
              <w:pStyle w:val="TableText"/>
            </w:pPr>
            <w:r w:rsidRPr="004C659E">
              <w:t>Adept</w:t>
            </w:r>
          </w:p>
        </w:tc>
      </w:tr>
      <w:tr w:rsidR="007B27D1" w:rsidRPr="00372FE9" w14:paraId="2F53A317" w14:textId="77777777" w:rsidTr="004B5098">
        <w:trPr>
          <w:cantSplit/>
        </w:trPr>
        <w:tc>
          <w:tcPr>
            <w:tcW w:w="1276" w:type="dxa"/>
          </w:tcPr>
          <w:p w14:paraId="4C863500" w14:textId="77777777" w:rsidR="007B27D1" w:rsidRPr="00372FE9" w:rsidRDefault="007B27D1" w:rsidP="004B5098">
            <w:pPr>
              <w:rPr>
                <w:sz w:val="20"/>
              </w:rPr>
            </w:pPr>
            <w:r w:rsidRPr="00372FE9">
              <w:rPr>
                <w:noProof/>
                <w:sz w:val="20"/>
                <w:lang w:eastAsia="en-AU"/>
              </w:rPr>
              <w:drawing>
                <wp:inline distT="0" distB="0" distL="0" distR="0" wp14:anchorId="38CF759B" wp14:editId="09DF7EAC">
                  <wp:extent cx="416966" cy="416966"/>
                  <wp:effectExtent l="0" t="0" r="2540" b="2540"/>
                  <wp:docPr id="770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AC1272" w14:textId="77777777" w:rsidR="007B27D1" w:rsidRPr="00372FE9" w:rsidRDefault="007B27D1" w:rsidP="004B5098">
            <w:pPr>
              <w:pStyle w:val="TableText"/>
            </w:pPr>
            <w:r w:rsidRPr="00372FE9">
              <w:t xml:space="preserve">Influence and </w:t>
            </w:r>
            <w:proofErr w:type="gramStart"/>
            <w:r w:rsidRPr="00372FE9">
              <w:t>Negotiate</w:t>
            </w:r>
            <w:proofErr w:type="gramEnd"/>
          </w:p>
        </w:tc>
        <w:tc>
          <w:tcPr>
            <w:tcW w:w="4851" w:type="dxa"/>
          </w:tcPr>
          <w:p w14:paraId="0B4C8A44" w14:textId="77777777" w:rsidR="007B27D1" w:rsidRPr="00372FE9" w:rsidRDefault="007B27D1" w:rsidP="004B5098">
            <w:pPr>
              <w:pStyle w:val="TableText"/>
            </w:pPr>
            <w:r w:rsidRPr="00372FE9">
              <w:t>Gain consensus and commitment from others, and resolve issues and conflicts</w:t>
            </w:r>
          </w:p>
        </w:tc>
        <w:tc>
          <w:tcPr>
            <w:tcW w:w="1668" w:type="dxa"/>
          </w:tcPr>
          <w:p w14:paraId="126106EE" w14:textId="77777777" w:rsidR="007B27D1" w:rsidRPr="00372FE9" w:rsidRDefault="007B27D1" w:rsidP="004B5098">
            <w:pPr>
              <w:pStyle w:val="TableText"/>
            </w:pPr>
            <w:r w:rsidRPr="004C659E">
              <w:t>Adept</w:t>
            </w:r>
          </w:p>
        </w:tc>
      </w:tr>
      <w:tr w:rsidR="007B27D1" w:rsidRPr="00372FE9" w14:paraId="79078447" w14:textId="77777777" w:rsidTr="004B5098">
        <w:trPr>
          <w:cantSplit/>
        </w:trPr>
        <w:tc>
          <w:tcPr>
            <w:tcW w:w="1276" w:type="dxa"/>
          </w:tcPr>
          <w:p w14:paraId="36A47FE6" w14:textId="77777777" w:rsidR="007B27D1" w:rsidRPr="00372FE9" w:rsidRDefault="007B27D1" w:rsidP="004B5098">
            <w:pPr>
              <w:rPr>
                <w:sz w:val="20"/>
              </w:rPr>
            </w:pPr>
            <w:r w:rsidRPr="00372FE9">
              <w:rPr>
                <w:noProof/>
                <w:sz w:val="20"/>
                <w:lang w:eastAsia="en-AU"/>
              </w:rPr>
              <w:drawing>
                <wp:inline distT="0" distB="0" distL="0" distR="0" wp14:anchorId="5E0B4B46" wp14:editId="72539E82">
                  <wp:extent cx="416966" cy="416966"/>
                  <wp:effectExtent l="0" t="0" r="2540" b="2540"/>
                  <wp:docPr id="412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CB6C86" w14:textId="77777777" w:rsidR="007B27D1" w:rsidRPr="00372FE9" w:rsidRDefault="007B27D1" w:rsidP="004B5098">
            <w:pPr>
              <w:pStyle w:val="TableText"/>
            </w:pPr>
            <w:r w:rsidRPr="00372FE9">
              <w:t>Deliver Results</w:t>
            </w:r>
          </w:p>
        </w:tc>
        <w:tc>
          <w:tcPr>
            <w:tcW w:w="4851" w:type="dxa"/>
          </w:tcPr>
          <w:p w14:paraId="1A0F45F2" w14:textId="77777777" w:rsidR="007B27D1" w:rsidRPr="00372FE9" w:rsidRDefault="007B27D1" w:rsidP="004B5098">
            <w:pPr>
              <w:pStyle w:val="TableText"/>
            </w:pPr>
            <w:r w:rsidRPr="00372FE9">
              <w:t>Achieve results through the efficient use of resources and a commitment to quality outcomes</w:t>
            </w:r>
          </w:p>
        </w:tc>
        <w:tc>
          <w:tcPr>
            <w:tcW w:w="1668" w:type="dxa"/>
          </w:tcPr>
          <w:p w14:paraId="56FB12A7" w14:textId="77777777" w:rsidR="007B27D1" w:rsidRPr="00372FE9" w:rsidRDefault="007B27D1" w:rsidP="004B5098">
            <w:pPr>
              <w:pStyle w:val="TableText"/>
            </w:pPr>
            <w:r w:rsidRPr="004C659E">
              <w:t>Adept</w:t>
            </w:r>
          </w:p>
        </w:tc>
      </w:tr>
      <w:tr w:rsidR="007B27D1" w:rsidRPr="00372FE9" w14:paraId="11CF8F95" w14:textId="77777777" w:rsidTr="004B5098">
        <w:trPr>
          <w:cantSplit/>
        </w:trPr>
        <w:tc>
          <w:tcPr>
            <w:tcW w:w="1276" w:type="dxa"/>
          </w:tcPr>
          <w:p w14:paraId="306AA269" w14:textId="77777777" w:rsidR="007B27D1" w:rsidRPr="00372FE9" w:rsidRDefault="007B27D1" w:rsidP="004B5098">
            <w:pPr>
              <w:rPr>
                <w:sz w:val="20"/>
              </w:rPr>
            </w:pPr>
            <w:r w:rsidRPr="00372FE9">
              <w:rPr>
                <w:noProof/>
                <w:sz w:val="20"/>
                <w:lang w:eastAsia="en-AU"/>
              </w:rPr>
              <w:drawing>
                <wp:inline distT="0" distB="0" distL="0" distR="0" wp14:anchorId="0CF4D884" wp14:editId="2822FA06">
                  <wp:extent cx="416966" cy="416966"/>
                  <wp:effectExtent l="0" t="0" r="2540" b="2540"/>
                  <wp:docPr id="575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E5717C" w14:textId="77777777" w:rsidR="007B27D1" w:rsidRPr="00372FE9" w:rsidRDefault="007B27D1" w:rsidP="004B5098">
            <w:pPr>
              <w:pStyle w:val="TableText"/>
            </w:pPr>
            <w:r w:rsidRPr="00372FE9">
              <w:t xml:space="preserve">Plan and </w:t>
            </w:r>
            <w:proofErr w:type="gramStart"/>
            <w:r w:rsidRPr="00372FE9">
              <w:t>Prioritise</w:t>
            </w:r>
            <w:proofErr w:type="gramEnd"/>
          </w:p>
        </w:tc>
        <w:tc>
          <w:tcPr>
            <w:tcW w:w="4851" w:type="dxa"/>
          </w:tcPr>
          <w:p w14:paraId="4E3F65A2" w14:textId="77777777" w:rsidR="007B27D1" w:rsidRPr="00372FE9" w:rsidRDefault="007B27D1" w:rsidP="004B5098">
            <w:pPr>
              <w:pStyle w:val="TableText"/>
            </w:pPr>
            <w:r w:rsidRPr="00372FE9">
              <w:t>Plan to achieve priority outcomes and respond flexibly to changing circumstances</w:t>
            </w:r>
          </w:p>
        </w:tc>
        <w:tc>
          <w:tcPr>
            <w:tcW w:w="1668" w:type="dxa"/>
          </w:tcPr>
          <w:p w14:paraId="712ACB8B" w14:textId="77777777" w:rsidR="007B27D1" w:rsidRPr="00372FE9" w:rsidRDefault="007B27D1" w:rsidP="004B5098">
            <w:pPr>
              <w:pStyle w:val="TableText"/>
            </w:pPr>
            <w:r w:rsidRPr="004C659E">
              <w:t>Intermediate</w:t>
            </w:r>
          </w:p>
        </w:tc>
      </w:tr>
      <w:tr w:rsidR="007B27D1" w:rsidRPr="00372FE9" w14:paraId="13B0C5DE" w14:textId="77777777" w:rsidTr="004B5098">
        <w:trPr>
          <w:cantSplit/>
        </w:trPr>
        <w:tc>
          <w:tcPr>
            <w:tcW w:w="1276" w:type="dxa"/>
          </w:tcPr>
          <w:p w14:paraId="62C3F2CF" w14:textId="77777777" w:rsidR="007B27D1" w:rsidRPr="00372FE9" w:rsidRDefault="007B27D1" w:rsidP="004B5098">
            <w:pPr>
              <w:rPr>
                <w:sz w:val="20"/>
              </w:rPr>
            </w:pPr>
            <w:r w:rsidRPr="00372FE9">
              <w:rPr>
                <w:noProof/>
                <w:sz w:val="20"/>
                <w:lang w:eastAsia="en-AU"/>
              </w:rPr>
              <w:drawing>
                <wp:inline distT="0" distB="0" distL="0" distR="0" wp14:anchorId="60DE8940" wp14:editId="54444A9E">
                  <wp:extent cx="416966" cy="416966"/>
                  <wp:effectExtent l="0" t="0" r="2540" b="2540"/>
                  <wp:docPr id="217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246EB6F" w14:textId="77777777" w:rsidR="007B27D1" w:rsidRPr="00372FE9" w:rsidRDefault="007B27D1" w:rsidP="004B5098">
            <w:pPr>
              <w:pStyle w:val="TableText"/>
            </w:pPr>
            <w:r w:rsidRPr="00372FE9">
              <w:t>Finance</w:t>
            </w:r>
          </w:p>
        </w:tc>
        <w:tc>
          <w:tcPr>
            <w:tcW w:w="4851" w:type="dxa"/>
          </w:tcPr>
          <w:p w14:paraId="45C2BAF2" w14:textId="77777777" w:rsidR="007B27D1" w:rsidRPr="00372FE9" w:rsidRDefault="007B27D1" w:rsidP="004B5098">
            <w:pPr>
              <w:pStyle w:val="TableText"/>
            </w:pPr>
            <w:r w:rsidRPr="00372FE9">
              <w:t>Understand and apply financial processes to achieve value for money and minimise financial risk</w:t>
            </w:r>
          </w:p>
        </w:tc>
        <w:tc>
          <w:tcPr>
            <w:tcW w:w="1668" w:type="dxa"/>
          </w:tcPr>
          <w:p w14:paraId="5A8AA38A" w14:textId="77777777" w:rsidR="007B27D1" w:rsidRPr="00372FE9" w:rsidRDefault="007B27D1" w:rsidP="004B5098">
            <w:pPr>
              <w:pStyle w:val="TableText"/>
            </w:pPr>
            <w:r w:rsidRPr="004C659E">
              <w:t>Intermediate</w:t>
            </w:r>
          </w:p>
        </w:tc>
      </w:tr>
      <w:tr w:rsidR="007B27D1" w:rsidRPr="00372FE9" w14:paraId="5D8012CE" w14:textId="77777777" w:rsidTr="004B5098">
        <w:trPr>
          <w:cantSplit/>
        </w:trPr>
        <w:tc>
          <w:tcPr>
            <w:tcW w:w="1276" w:type="dxa"/>
          </w:tcPr>
          <w:p w14:paraId="7FA39C3A" w14:textId="77777777" w:rsidR="007B27D1" w:rsidRPr="00372FE9" w:rsidRDefault="007B27D1" w:rsidP="004B5098">
            <w:pPr>
              <w:rPr>
                <w:sz w:val="20"/>
              </w:rPr>
            </w:pPr>
            <w:r w:rsidRPr="00372FE9">
              <w:rPr>
                <w:noProof/>
                <w:sz w:val="20"/>
                <w:lang w:eastAsia="en-AU"/>
              </w:rPr>
              <w:drawing>
                <wp:inline distT="0" distB="0" distL="0" distR="0" wp14:anchorId="5AEF7E97" wp14:editId="30D855FA">
                  <wp:extent cx="416966" cy="416966"/>
                  <wp:effectExtent l="0" t="0" r="2540" b="2540"/>
                  <wp:docPr id="38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2AD6152" w14:textId="77777777" w:rsidR="007B27D1" w:rsidRPr="00372FE9" w:rsidRDefault="007B27D1" w:rsidP="004B5098">
            <w:pPr>
              <w:pStyle w:val="TableText"/>
            </w:pPr>
            <w:r w:rsidRPr="00372FE9">
              <w:t>Procurement and Contract Management</w:t>
            </w:r>
          </w:p>
        </w:tc>
        <w:tc>
          <w:tcPr>
            <w:tcW w:w="4851" w:type="dxa"/>
          </w:tcPr>
          <w:p w14:paraId="107B5132" w14:textId="77777777" w:rsidR="007B27D1" w:rsidRPr="00372FE9" w:rsidRDefault="007B27D1" w:rsidP="004B5098">
            <w:pPr>
              <w:pStyle w:val="TableText"/>
            </w:pPr>
            <w:r w:rsidRPr="00372FE9">
              <w:t>Understand and apply procurement processes to ensure effective purchasing and contract performance</w:t>
            </w:r>
          </w:p>
        </w:tc>
        <w:tc>
          <w:tcPr>
            <w:tcW w:w="1668" w:type="dxa"/>
          </w:tcPr>
          <w:p w14:paraId="65E6ACCD" w14:textId="77777777" w:rsidR="007B27D1" w:rsidRPr="00372FE9" w:rsidRDefault="007B27D1" w:rsidP="004B5098">
            <w:pPr>
              <w:pStyle w:val="TableText"/>
            </w:pPr>
            <w:r w:rsidRPr="004C659E">
              <w:t>Intermediate</w:t>
            </w:r>
          </w:p>
        </w:tc>
      </w:tr>
      <w:tr w:rsidR="007B27D1" w:rsidRPr="00372FE9" w14:paraId="79C3A373" w14:textId="77777777" w:rsidTr="004B5098">
        <w:trPr>
          <w:cantSplit/>
        </w:trPr>
        <w:tc>
          <w:tcPr>
            <w:tcW w:w="1276" w:type="dxa"/>
          </w:tcPr>
          <w:p w14:paraId="155E5CFA" w14:textId="77777777" w:rsidR="007B27D1" w:rsidRPr="00372FE9" w:rsidRDefault="007B27D1" w:rsidP="004B5098">
            <w:pPr>
              <w:rPr>
                <w:sz w:val="20"/>
              </w:rPr>
            </w:pPr>
            <w:r w:rsidRPr="00372FE9">
              <w:rPr>
                <w:noProof/>
                <w:sz w:val="20"/>
                <w:lang w:eastAsia="en-AU"/>
              </w:rPr>
              <w:drawing>
                <wp:inline distT="0" distB="0" distL="0" distR="0" wp14:anchorId="7667199B" wp14:editId="6C4E3B94">
                  <wp:extent cx="416966" cy="416966"/>
                  <wp:effectExtent l="0" t="0" r="2540" b="2540"/>
                  <wp:docPr id="22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021AB20" w14:textId="77777777" w:rsidR="007B27D1" w:rsidRPr="00372FE9" w:rsidRDefault="007B27D1" w:rsidP="004B5098">
            <w:pPr>
              <w:pStyle w:val="TableText"/>
            </w:pPr>
            <w:r w:rsidRPr="00372FE9">
              <w:t>Inspire Direction and Purpose</w:t>
            </w:r>
          </w:p>
        </w:tc>
        <w:tc>
          <w:tcPr>
            <w:tcW w:w="4851" w:type="dxa"/>
          </w:tcPr>
          <w:p w14:paraId="06AECF55" w14:textId="77777777" w:rsidR="007B27D1" w:rsidRPr="00372FE9" w:rsidRDefault="007B27D1" w:rsidP="004B5098">
            <w:pPr>
              <w:pStyle w:val="TableText"/>
            </w:pPr>
            <w:r w:rsidRPr="00372FE9">
              <w:t>Communicate goals, priorities and vision, and recognise achievements</w:t>
            </w:r>
          </w:p>
        </w:tc>
        <w:tc>
          <w:tcPr>
            <w:tcW w:w="1668" w:type="dxa"/>
          </w:tcPr>
          <w:p w14:paraId="7B54A826" w14:textId="77777777" w:rsidR="007B27D1" w:rsidRPr="00372FE9" w:rsidRDefault="007B27D1" w:rsidP="004B5098">
            <w:pPr>
              <w:pStyle w:val="TableText"/>
            </w:pPr>
            <w:r w:rsidRPr="004C659E">
              <w:t>Adept</w:t>
            </w:r>
          </w:p>
        </w:tc>
      </w:tr>
      <w:tr w:rsidR="007B27D1" w:rsidRPr="00372FE9" w14:paraId="33D5F4F6" w14:textId="77777777" w:rsidTr="004B5098">
        <w:trPr>
          <w:cantSplit/>
        </w:trPr>
        <w:tc>
          <w:tcPr>
            <w:tcW w:w="1276" w:type="dxa"/>
          </w:tcPr>
          <w:p w14:paraId="61627779" w14:textId="77777777" w:rsidR="007B27D1" w:rsidRPr="00372FE9" w:rsidRDefault="007B27D1" w:rsidP="004B5098">
            <w:pPr>
              <w:rPr>
                <w:sz w:val="20"/>
              </w:rPr>
            </w:pPr>
            <w:r w:rsidRPr="00372FE9">
              <w:rPr>
                <w:noProof/>
                <w:sz w:val="20"/>
                <w:lang w:eastAsia="en-AU"/>
              </w:rPr>
              <w:drawing>
                <wp:inline distT="0" distB="0" distL="0" distR="0" wp14:anchorId="105088BE" wp14:editId="7C9A8AC1">
                  <wp:extent cx="416966" cy="416966"/>
                  <wp:effectExtent l="0" t="0" r="2540" b="2540"/>
                  <wp:docPr id="662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8E512C" w14:textId="77777777" w:rsidR="007B27D1" w:rsidRPr="00372FE9" w:rsidRDefault="007B27D1" w:rsidP="004B5098">
            <w:pPr>
              <w:pStyle w:val="TableText"/>
            </w:pPr>
            <w:r w:rsidRPr="00372FE9">
              <w:t>Optimise Business Outcomes</w:t>
            </w:r>
          </w:p>
        </w:tc>
        <w:tc>
          <w:tcPr>
            <w:tcW w:w="4851" w:type="dxa"/>
          </w:tcPr>
          <w:p w14:paraId="03CCD443" w14:textId="77777777" w:rsidR="007B27D1" w:rsidRPr="00372FE9" w:rsidRDefault="007B27D1" w:rsidP="004B5098">
            <w:pPr>
              <w:pStyle w:val="TableText"/>
            </w:pPr>
            <w:r w:rsidRPr="00372FE9">
              <w:t>Manage people and resources effectively to achieve public value</w:t>
            </w:r>
          </w:p>
        </w:tc>
        <w:tc>
          <w:tcPr>
            <w:tcW w:w="1668" w:type="dxa"/>
          </w:tcPr>
          <w:p w14:paraId="63F7C88F" w14:textId="77777777" w:rsidR="007B27D1" w:rsidRPr="00372FE9" w:rsidRDefault="007B27D1" w:rsidP="004B5098">
            <w:pPr>
              <w:pStyle w:val="TableText"/>
            </w:pPr>
            <w:r w:rsidRPr="004C659E">
              <w:t>Intermediate</w:t>
            </w:r>
          </w:p>
        </w:tc>
      </w:tr>
      <w:tr w:rsidR="007B27D1" w:rsidRPr="00372FE9" w14:paraId="3F5F538F" w14:textId="77777777" w:rsidTr="004B5098">
        <w:trPr>
          <w:cantSplit/>
        </w:trPr>
        <w:tc>
          <w:tcPr>
            <w:tcW w:w="1276" w:type="dxa"/>
          </w:tcPr>
          <w:p w14:paraId="32234122" w14:textId="77777777" w:rsidR="007B27D1" w:rsidRPr="00372FE9" w:rsidRDefault="007B27D1" w:rsidP="004B5098">
            <w:pPr>
              <w:rPr>
                <w:sz w:val="20"/>
              </w:rPr>
            </w:pPr>
            <w:r w:rsidRPr="00372FE9">
              <w:rPr>
                <w:noProof/>
                <w:sz w:val="20"/>
                <w:lang w:eastAsia="en-AU"/>
              </w:rPr>
              <w:drawing>
                <wp:inline distT="0" distB="0" distL="0" distR="0" wp14:anchorId="4FCA14FC" wp14:editId="1693DF97">
                  <wp:extent cx="416966" cy="416966"/>
                  <wp:effectExtent l="0" t="0" r="2540" b="2540"/>
                  <wp:docPr id="826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867EEF" w14:textId="77777777" w:rsidR="007B27D1" w:rsidRPr="00372FE9" w:rsidRDefault="007B27D1" w:rsidP="004B5098">
            <w:pPr>
              <w:pStyle w:val="TableText"/>
            </w:pPr>
            <w:r w:rsidRPr="00372FE9">
              <w:t>Manage Reform and Change</w:t>
            </w:r>
          </w:p>
        </w:tc>
        <w:tc>
          <w:tcPr>
            <w:tcW w:w="4851" w:type="dxa"/>
          </w:tcPr>
          <w:p w14:paraId="7BC05888" w14:textId="77777777" w:rsidR="007B27D1" w:rsidRPr="00372FE9" w:rsidRDefault="007B27D1" w:rsidP="004B5098">
            <w:pPr>
              <w:pStyle w:val="TableText"/>
            </w:pPr>
            <w:r w:rsidRPr="00372FE9">
              <w:t>Support, promote and champion change, and assist others to engage with change</w:t>
            </w:r>
          </w:p>
        </w:tc>
        <w:tc>
          <w:tcPr>
            <w:tcW w:w="1668" w:type="dxa"/>
          </w:tcPr>
          <w:p w14:paraId="1D116513" w14:textId="77777777" w:rsidR="007B27D1" w:rsidRPr="00372FE9" w:rsidRDefault="007B27D1" w:rsidP="004B5098">
            <w:pPr>
              <w:pStyle w:val="TableText"/>
            </w:pPr>
            <w:r w:rsidRPr="004C659E">
              <w:t>Intermediate</w:t>
            </w:r>
          </w:p>
        </w:tc>
      </w:tr>
      <w:bookmarkEnd w:id="2"/>
      <w:bookmarkEnd w:id="3"/>
      <w:bookmarkEnd w:id="4"/>
      <w:bookmarkEnd w:id="5"/>
    </w:tbl>
    <w:p w14:paraId="47155DA1" w14:textId="77777777" w:rsidR="007B27D1" w:rsidRDefault="007B27D1" w:rsidP="007B27D1">
      <w:pPr>
        <w:contextualSpacing/>
      </w:pPr>
    </w:p>
    <w:p w14:paraId="73B73D6B" w14:textId="77777777" w:rsidR="007B27D1" w:rsidRPr="007B27D1" w:rsidRDefault="007B27D1" w:rsidP="007B27D1">
      <w:pPr>
        <w:tabs>
          <w:tab w:val="left" w:pos="2925"/>
        </w:tabs>
        <w:spacing w:after="120"/>
        <w:rPr>
          <w:rFonts w:eastAsiaTheme="minorHAnsi" w:cs="Arial"/>
          <w:b/>
          <w:bCs/>
          <w:kern w:val="32"/>
          <w:sz w:val="26"/>
          <w:szCs w:val="32"/>
          <w:lang w:val="en-AU"/>
        </w:rPr>
      </w:pPr>
    </w:p>
    <w:sectPr w:rsidR="007B27D1" w:rsidRPr="007B27D1" w:rsidSect="00F54155">
      <w:footerReference w:type="default" r:id="rId19"/>
      <w:headerReference w:type="first" r:id="rId20"/>
      <w:footerReference w:type="first" r:id="rId21"/>
      <w:pgSz w:w="11906" w:h="16838" w:code="9"/>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714E" w14:textId="77777777" w:rsidR="006D2595" w:rsidRDefault="006D2595" w:rsidP="00BB532F">
      <w:pPr>
        <w:spacing w:after="0" w:line="240" w:lineRule="auto"/>
      </w:pPr>
      <w:r>
        <w:separator/>
      </w:r>
    </w:p>
  </w:endnote>
  <w:endnote w:type="continuationSeparator" w:id="0">
    <w:p w14:paraId="2D2D989A" w14:textId="77777777" w:rsidR="006D2595" w:rsidRDefault="006D259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39"/>
      <w:gridCol w:w="5072"/>
    </w:tblGrid>
    <w:tr w:rsidR="00C03AFD" w14:paraId="68729A5F" w14:textId="77777777" w:rsidTr="00C03AFD">
      <w:tc>
        <w:tcPr>
          <w:tcW w:w="2250" w:type="pct"/>
          <w:vAlign w:val="center"/>
        </w:tcPr>
        <w:p w14:paraId="78CE44DE" w14:textId="06F68BAB" w:rsidR="00C03AFD" w:rsidRDefault="00C03AFD" w:rsidP="00C03AFD">
          <w:pPr>
            <w:pStyle w:val="Footer"/>
          </w:pPr>
          <w:r w:rsidRPr="00C03AFD">
            <w:rPr>
              <w:color w:val="928B81"/>
              <w:sz w:val="18"/>
            </w:rPr>
            <w:t>Role Description</w:t>
          </w:r>
          <w:r w:rsidR="00443BCB">
            <w:rPr>
              <w:color w:val="928B81"/>
              <w:sz w:val="18"/>
            </w:rPr>
            <w:t xml:space="preserve"> </w:t>
          </w:r>
          <w:r w:rsidR="007B27D1">
            <w:rPr>
              <w:b/>
              <w:color w:val="928B81"/>
              <w:sz w:val="18"/>
            </w:rPr>
            <w:t>Manager Health and Human Factors</w:t>
          </w:r>
        </w:p>
      </w:tc>
      <w:tc>
        <w:tcPr>
          <w:tcW w:w="250" w:type="pct"/>
          <w:vAlign w:val="center"/>
        </w:tcPr>
        <w:p w14:paraId="1C34F050" w14:textId="5316903A"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4222D">
            <w:rPr>
              <w:noProof/>
              <w:color w:val="928B81"/>
              <w:sz w:val="18"/>
              <w:lang w:eastAsia="en-AU"/>
            </w:rPr>
            <w:t>6</w:t>
          </w:r>
          <w:r w:rsidRPr="00C03AFD">
            <w:rPr>
              <w:noProof/>
              <w:color w:val="928B81"/>
              <w:sz w:val="18"/>
              <w:lang w:eastAsia="en-AU"/>
            </w:rPr>
            <w:fldChar w:fldCharType="end"/>
          </w:r>
        </w:p>
      </w:tc>
      <w:tc>
        <w:tcPr>
          <w:tcW w:w="2350" w:type="pct"/>
        </w:tcPr>
        <w:p w14:paraId="35F3E3B0" w14:textId="0078F270" w:rsidR="00C03AFD" w:rsidRDefault="002F7614" w:rsidP="00C03AFD">
          <w:pPr>
            <w:pStyle w:val="Footer"/>
            <w:jc w:val="right"/>
          </w:pPr>
          <w:r w:rsidRPr="002F7614">
            <w:drawing>
              <wp:inline distT="0" distB="0" distL="0" distR="0" wp14:anchorId="21FD705A" wp14:editId="3D83B30E">
                <wp:extent cx="514350" cy="539750"/>
                <wp:effectExtent l="0" t="0" r="0" b="0"/>
                <wp:docPr id="1103409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39750"/>
                        </a:xfrm>
                        <a:prstGeom prst="rect">
                          <a:avLst/>
                        </a:prstGeom>
                        <a:noFill/>
                        <a:ln>
                          <a:noFill/>
                        </a:ln>
                      </pic:spPr>
                    </pic:pic>
                  </a:graphicData>
                </a:graphic>
              </wp:inline>
            </w:drawing>
          </w:r>
          <w:r w:rsidRPr="002F7614">
            <w:br/>
          </w:r>
        </w:p>
      </w:tc>
    </w:tr>
  </w:tbl>
  <w:p w14:paraId="0F991AA3"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8C5A82B" w14:textId="77777777" w:rsidTr="0047547E">
      <w:trPr>
        <w:trHeight w:val="811"/>
      </w:trPr>
      <w:tc>
        <w:tcPr>
          <w:tcW w:w="10005" w:type="dxa"/>
          <w:vAlign w:val="bottom"/>
        </w:tcPr>
        <w:p w14:paraId="2A903E9B" w14:textId="0556D816" w:rsidR="00BB532F" w:rsidRPr="00051237" w:rsidRDefault="009A5237" w:rsidP="00BD7BA7">
          <w:pPr>
            <w:pStyle w:val="Footer"/>
            <w:tabs>
              <w:tab w:val="center" w:pos="5315"/>
            </w:tabs>
          </w:pPr>
          <w:r w:rsidRPr="009A5237">
            <w:rPr>
              <w:color w:val="000000" w:themeColor="text1"/>
              <w:sz w:val="20"/>
              <w:szCs w:val="20"/>
            </w:rPr>
            <w:t>RDOC24/29367</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673A6A">
            <w:rPr>
              <w:noProof/>
              <w:lang w:eastAsia="en-AU"/>
            </w:rPr>
            <w:t>1</w:t>
          </w:r>
          <w:r w:rsidR="00BB532F">
            <w:rPr>
              <w:noProof/>
              <w:lang w:eastAsia="en-AU"/>
            </w:rPr>
            <w:fldChar w:fldCharType="end"/>
          </w:r>
          <w:r w:rsidR="002F7614" w:rsidRPr="002F7614">
            <w:rPr>
              <w:noProof/>
              <w:lang w:eastAsia="en-AU"/>
            </w:rPr>
            <w:br/>
          </w:r>
        </w:p>
      </w:tc>
      <w:tc>
        <w:tcPr>
          <w:tcW w:w="875" w:type="dxa"/>
        </w:tcPr>
        <w:p w14:paraId="7ABE7CC6" w14:textId="6FAC7691" w:rsidR="00BB532F" w:rsidRDefault="002F7614" w:rsidP="00BD7BA7">
          <w:pPr>
            <w:pStyle w:val="Footer"/>
            <w:jc w:val="right"/>
          </w:pPr>
          <w:r w:rsidRPr="002F7614">
            <w:rPr>
              <w:noProof/>
              <w:lang w:eastAsia="en-AU"/>
            </w:rPr>
            <w:drawing>
              <wp:anchor distT="0" distB="0" distL="114300" distR="114300" simplePos="0" relativeHeight="251661312" behindDoc="0" locked="0" layoutInCell="1" allowOverlap="1" wp14:anchorId="38B79DEE" wp14:editId="7B4A36C5">
                <wp:simplePos x="0" y="0"/>
                <wp:positionH relativeFrom="column">
                  <wp:posOffset>0</wp:posOffset>
                </wp:positionH>
                <wp:positionV relativeFrom="paragraph">
                  <wp:posOffset>53340</wp:posOffset>
                </wp:positionV>
                <wp:extent cx="514350" cy="539750"/>
                <wp:effectExtent l="0" t="0" r="0" b="0"/>
                <wp:wrapSquare wrapText="bothSides"/>
                <wp:docPr id="1288579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1D17DB8" w14:textId="034CAEBD"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13E6B" w14:textId="77777777" w:rsidR="006D2595" w:rsidRDefault="006D2595" w:rsidP="00BB532F">
      <w:pPr>
        <w:spacing w:after="0" w:line="240" w:lineRule="auto"/>
      </w:pPr>
      <w:r>
        <w:separator/>
      </w:r>
    </w:p>
  </w:footnote>
  <w:footnote w:type="continuationSeparator" w:id="0">
    <w:p w14:paraId="734E0115" w14:textId="77777777" w:rsidR="006D2595" w:rsidRDefault="006D259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gridCol w:w="4446"/>
    </w:tblGrid>
    <w:tr w:rsidR="007E2FB7" w14:paraId="2714F764" w14:textId="77777777" w:rsidTr="002F7614">
      <w:trPr>
        <w:trHeight w:val="555"/>
      </w:trPr>
      <w:tc>
        <w:tcPr>
          <w:tcW w:w="6706" w:type="dxa"/>
        </w:tcPr>
        <w:p w14:paraId="28697ADD"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19B26E8" w14:textId="4C17E535" w:rsidR="00935EE2" w:rsidRPr="00935EE2" w:rsidRDefault="00DC7033" w:rsidP="001C2248">
          <w:pPr>
            <w:pStyle w:val="TitleSub"/>
            <w:spacing w:after="0"/>
            <w:rPr>
              <w:rFonts w:ascii="Arial" w:hAnsi="Arial" w:cs="Arial"/>
              <w:b/>
            </w:rPr>
          </w:pPr>
          <w:r>
            <w:rPr>
              <w:rFonts w:ascii="Arial" w:hAnsi="Arial" w:cs="Arial"/>
              <w:b/>
            </w:rPr>
            <w:t>Manager</w:t>
          </w:r>
          <w:r w:rsidR="00747A46">
            <w:rPr>
              <w:rFonts w:ascii="Arial" w:hAnsi="Arial" w:cs="Arial"/>
              <w:b/>
            </w:rPr>
            <w:t xml:space="preserve"> Health</w:t>
          </w:r>
        </w:p>
      </w:tc>
      <w:tc>
        <w:tcPr>
          <w:tcW w:w="3492" w:type="dxa"/>
        </w:tcPr>
        <w:p w14:paraId="68307C14" w14:textId="643AFF93" w:rsidR="000477E1" w:rsidRPr="000477E1" w:rsidRDefault="002F7614" w:rsidP="00030565">
          <w:pPr>
            <w:jc w:val="right"/>
          </w:pPr>
          <w:r w:rsidRPr="0006744A">
            <w:rPr>
              <w:rFonts w:ascii="Times New Roman" w:eastAsia="Times New Roman" w:hAnsi="Times New Roman" w:cs="Times New Roman"/>
              <w:noProof/>
              <w:sz w:val="24"/>
              <w:szCs w:val="24"/>
              <w:lang w:val="en-AU" w:eastAsia="en-AU"/>
            </w:rPr>
            <w:drawing>
              <wp:anchor distT="0" distB="0" distL="114300" distR="114300" simplePos="0" relativeHeight="251660288" behindDoc="0" locked="0" layoutInCell="1" allowOverlap="1" wp14:anchorId="101C170A" wp14:editId="47B1D184">
                <wp:simplePos x="0" y="0"/>
                <wp:positionH relativeFrom="margin">
                  <wp:posOffset>68580</wp:posOffset>
                </wp:positionH>
                <wp:positionV relativeFrom="paragraph">
                  <wp:posOffset>0</wp:posOffset>
                </wp:positionV>
                <wp:extent cx="2679700" cy="669925"/>
                <wp:effectExtent l="0" t="0" r="635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A636EEC" w14:textId="2D6DB163"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32E79"/>
    <w:multiLevelType w:val="hybridMultilevel"/>
    <w:tmpl w:val="B2CA6F76"/>
    <w:lvl w:ilvl="0" w:tplc="E402A292">
      <w:numFmt w:val="bullet"/>
      <w:lvlText w:val=""/>
      <w:lvlJc w:val="left"/>
      <w:pPr>
        <w:tabs>
          <w:tab w:val="num" w:pos="515"/>
        </w:tabs>
        <w:ind w:left="515" w:hanging="360"/>
      </w:pPr>
      <w:rPr>
        <w:rFonts w:ascii="Symbol" w:eastAsia="Times New Roman" w:hAnsi="Symbol" w:cs="Times New Roman" w:hint="default"/>
      </w:rPr>
    </w:lvl>
    <w:lvl w:ilvl="1" w:tplc="0C090001">
      <w:start w:val="1"/>
      <w:numFmt w:val="bullet"/>
      <w:lvlText w:val=""/>
      <w:lvlJc w:val="left"/>
      <w:pPr>
        <w:tabs>
          <w:tab w:val="num" w:pos="1235"/>
        </w:tabs>
        <w:ind w:left="1235" w:hanging="360"/>
      </w:pPr>
      <w:rPr>
        <w:rFonts w:ascii="Symbol" w:hAnsi="Symbol" w:hint="default"/>
      </w:rPr>
    </w:lvl>
    <w:lvl w:ilvl="2" w:tplc="04090005" w:tentative="1">
      <w:start w:val="1"/>
      <w:numFmt w:val="bullet"/>
      <w:lvlText w:val=""/>
      <w:lvlJc w:val="left"/>
      <w:pPr>
        <w:tabs>
          <w:tab w:val="num" w:pos="1955"/>
        </w:tabs>
        <w:ind w:left="1955" w:hanging="360"/>
      </w:pPr>
      <w:rPr>
        <w:rFonts w:ascii="Wingdings" w:hAnsi="Wingdings" w:hint="default"/>
      </w:rPr>
    </w:lvl>
    <w:lvl w:ilvl="3" w:tplc="04090001" w:tentative="1">
      <w:start w:val="1"/>
      <w:numFmt w:val="bullet"/>
      <w:lvlText w:val=""/>
      <w:lvlJc w:val="left"/>
      <w:pPr>
        <w:tabs>
          <w:tab w:val="num" w:pos="2675"/>
        </w:tabs>
        <w:ind w:left="2675" w:hanging="360"/>
      </w:pPr>
      <w:rPr>
        <w:rFonts w:ascii="Symbol" w:hAnsi="Symbol" w:hint="default"/>
      </w:rPr>
    </w:lvl>
    <w:lvl w:ilvl="4" w:tplc="04090003" w:tentative="1">
      <w:start w:val="1"/>
      <w:numFmt w:val="bullet"/>
      <w:lvlText w:val="o"/>
      <w:lvlJc w:val="left"/>
      <w:pPr>
        <w:tabs>
          <w:tab w:val="num" w:pos="3395"/>
        </w:tabs>
        <w:ind w:left="3395" w:hanging="360"/>
      </w:pPr>
      <w:rPr>
        <w:rFonts w:ascii="Courier New" w:hAnsi="Courier New" w:cs="Courier New" w:hint="default"/>
      </w:rPr>
    </w:lvl>
    <w:lvl w:ilvl="5" w:tplc="04090005" w:tentative="1">
      <w:start w:val="1"/>
      <w:numFmt w:val="bullet"/>
      <w:lvlText w:val=""/>
      <w:lvlJc w:val="left"/>
      <w:pPr>
        <w:tabs>
          <w:tab w:val="num" w:pos="4115"/>
        </w:tabs>
        <w:ind w:left="4115" w:hanging="360"/>
      </w:pPr>
      <w:rPr>
        <w:rFonts w:ascii="Wingdings" w:hAnsi="Wingdings" w:hint="default"/>
      </w:rPr>
    </w:lvl>
    <w:lvl w:ilvl="6" w:tplc="04090001" w:tentative="1">
      <w:start w:val="1"/>
      <w:numFmt w:val="bullet"/>
      <w:lvlText w:val=""/>
      <w:lvlJc w:val="left"/>
      <w:pPr>
        <w:tabs>
          <w:tab w:val="num" w:pos="4835"/>
        </w:tabs>
        <w:ind w:left="4835" w:hanging="360"/>
      </w:pPr>
      <w:rPr>
        <w:rFonts w:ascii="Symbol" w:hAnsi="Symbol" w:hint="default"/>
      </w:rPr>
    </w:lvl>
    <w:lvl w:ilvl="7" w:tplc="04090003" w:tentative="1">
      <w:start w:val="1"/>
      <w:numFmt w:val="bullet"/>
      <w:lvlText w:val="o"/>
      <w:lvlJc w:val="left"/>
      <w:pPr>
        <w:tabs>
          <w:tab w:val="num" w:pos="5555"/>
        </w:tabs>
        <w:ind w:left="5555" w:hanging="360"/>
      </w:pPr>
      <w:rPr>
        <w:rFonts w:ascii="Courier New" w:hAnsi="Courier New" w:cs="Courier New" w:hint="default"/>
      </w:rPr>
    </w:lvl>
    <w:lvl w:ilvl="8" w:tplc="04090005" w:tentative="1">
      <w:start w:val="1"/>
      <w:numFmt w:val="bullet"/>
      <w:lvlText w:val=""/>
      <w:lvlJc w:val="left"/>
      <w:pPr>
        <w:tabs>
          <w:tab w:val="num" w:pos="6275"/>
        </w:tabs>
        <w:ind w:left="6275" w:hanging="360"/>
      </w:pPr>
      <w:rPr>
        <w:rFonts w:ascii="Wingdings" w:hAnsi="Wingdings" w:hint="default"/>
      </w:rPr>
    </w:lvl>
  </w:abstractNum>
  <w:abstractNum w:abstractNumId="2" w15:restartNumberingAfterBreak="0">
    <w:nsid w:val="12602885"/>
    <w:multiLevelType w:val="hybridMultilevel"/>
    <w:tmpl w:val="3C22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A6E09"/>
    <w:multiLevelType w:val="multilevel"/>
    <w:tmpl w:val="29D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54543"/>
    <w:multiLevelType w:val="hybridMultilevel"/>
    <w:tmpl w:val="C9BE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704D9"/>
    <w:multiLevelType w:val="hybridMultilevel"/>
    <w:tmpl w:val="428EAC30"/>
    <w:lvl w:ilvl="0" w:tplc="1C9AC3F4">
      <w:numFmt w:val="bullet"/>
      <w:lvlText w:val="•"/>
      <w:lvlJc w:val="left"/>
      <w:pPr>
        <w:ind w:left="840" w:hanging="361"/>
      </w:pPr>
      <w:rPr>
        <w:rFonts w:ascii="Arial" w:eastAsia="Arial" w:hAnsi="Arial" w:cs="Arial" w:hint="default"/>
        <w:w w:val="100"/>
        <w:sz w:val="22"/>
        <w:szCs w:val="22"/>
      </w:rPr>
    </w:lvl>
    <w:lvl w:ilvl="1" w:tplc="1F6E0408">
      <w:numFmt w:val="bullet"/>
      <w:lvlText w:val="•"/>
      <w:lvlJc w:val="left"/>
      <w:pPr>
        <w:ind w:left="1846" w:hanging="361"/>
      </w:pPr>
      <w:rPr>
        <w:rFonts w:hint="default"/>
      </w:rPr>
    </w:lvl>
    <w:lvl w:ilvl="2" w:tplc="2A044AF8">
      <w:numFmt w:val="bullet"/>
      <w:lvlText w:val="•"/>
      <w:lvlJc w:val="left"/>
      <w:pPr>
        <w:ind w:left="2852" w:hanging="361"/>
      </w:pPr>
      <w:rPr>
        <w:rFonts w:hint="default"/>
      </w:rPr>
    </w:lvl>
    <w:lvl w:ilvl="3" w:tplc="9D229FC0">
      <w:numFmt w:val="bullet"/>
      <w:lvlText w:val="•"/>
      <w:lvlJc w:val="left"/>
      <w:pPr>
        <w:ind w:left="3858" w:hanging="361"/>
      </w:pPr>
      <w:rPr>
        <w:rFonts w:hint="default"/>
      </w:rPr>
    </w:lvl>
    <w:lvl w:ilvl="4" w:tplc="FA60D762">
      <w:numFmt w:val="bullet"/>
      <w:lvlText w:val="•"/>
      <w:lvlJc w:val="left"/>
      <w:pPr>
        <w:ind w:left="4864" w:hanging="361"/>
      </w:pPr>
      <w:rPr>
        <w:rFonts w:hint="default"/>
      </w:rPr>
    </w:lvl>
    <w:lvl w:ilvl="5" w:tplc="48E25564">
      <w:numFmt w:val="bullet"/>
      <w:lvlText w:val="•"/>
      <w:lvlJc w:val="left"/>
      <w:pPr>
        <w:ind w:left="5870" w:hanging="361"/>
      </w:pPr>
      <w:rPr>
        <w:rFonts w:hint="default"/>
      </w:rPr>
    </w:lvl>
    <w:lvl w:ilvl="6" w:tplc="79228D90">
      <w:numFmt w:val="bullet"/>
      <w:lvlText w:val="•"/>
      <w:lvlJc w:val="left"/>
      <w:pPr>
        <w:ind w:left="6876" w:hanging="361"/>
      </w:pPr>
      <w:rPr>
        <w:rFonts w:hint="default"/>
      </w:rPr>
    </w:lvl>
    <w:lvl w:ilvl="7" w:tplc="41D604D6">
      <w:numFmt w:val="bullet"/>
      <w:lvlText w:val="•"/>
      <w:lvlJc w:val="left"/>
      <w:pPr>
        <w:ind w:left="7882" w:hanging="361"/>
      </w:pPr>
      <w:rPr>
        <w:rFonts w:hint="default"/>
      </w:rPr>
    </w:lvl>
    <w:lvl w:ilvl="8" w:tplc="FA68EAF2">
      <w:numFmt w:val="bullet"/>
      <w:lvlText w:val="•"/>
      <w:lvlJc w:val="left"/>
      <w:pPr>
        <w:ind w:left="8888" w:hanging="361"/>
      </w:pPr>
      <w:rPr>
        <w:rFont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27AC9"/>
    <w:multiLevelType w:val="hybridMultilevel"/>
    <w:tmpl w:val="9D484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AB098E"/>
    <w:multiLevelType w:val="multilevel"/>
    <w:tmpl w:val="7A7A3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A548E"/>
    <w:multiLevelType w:val="hybridMultilevel"/>
    <w:tmpl w:val="1DC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AA475A"/>
    <w:multiLevelType w:val="hybridMultilevel"/>
    <w:tmpl w:val="2042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EB670F"/>
    <w:multiLevelType w:val="hybridMultilevel"/>
    <w:tmpl w:val="CE7262AC"/>
    <w:lvl w:ilvl="0" w:tplc="006A5676">
      <w:numFmt w:val="bullet"/>
      <w:lvlText w:val=""/>
      <w:lvlJc w:val="left"/>
      <w:pPr>
        <w:ind w:left="840" w:hanging="361"/>
      </w:pPr>
      <w:rPr>
        <w:rFonts w:ascii="Symbol" w:eastAsia="Symbol" w:hAnsi="Symbol" w:cs="Symbol" w:hint="default"/>
        <w:w w:val="100"/>
        <w:sz w:val="22"/>
        <w:szCs w:val="22"/>
      </w:rPr>
    </w:lvl>
    <w:lvl w:ilvl="1" w:tplc="40CE70B0">
      <w:numFmt w:val="bullet"/>
      <w:lvlText w:val="•"/>
      <w:lvlJc w:val="left"/>
      <w:pPr>
        <w:ind w:left="1846" w:hanging="361"/>
      </w:pPr>
      <w:rPr>
        <w:rFonts w:hint="default"/>
      </w:rPr>
    </w:lvl>
    <w:lvl w:ilvl="2" w:tplc="7D2C5E62">
      <w:numFmt w:val="bullet"/>
      <w:lvlText w:val="•"/>
      <w:lvlJc w:val="left"/>
      <w:pPr>
        <w:ind w:left="2852" w:hanging="361"/>
      </w:pPr>
      <w:rPr>
        <w:rFonts w:hint="default"/>
      </w:rPr>
    </w:lvl>
    <w:lvl w:ilvl="3" w:tplc="28D85BEC">
      <w:numFmt w:val="bullet"/>
      <w:lvlText w:val="•"/>
      <w:lvlJc w:val="left"/>
      <w:pPr>
        <w:ind w:left="3858" w:hanging="361"/>
      </w:pPr>
      <w:rPr>
        <w:rFonts w:hint="default"/>
      </w:rPr>
    </w:lvl>
    <w:lvl w:ilvl="4" w:tplc="EDA43F6E">
      <w:numFmt w:val="bullet"/>
      <w:lvlText w:val="•"/>
      <w:lvlJc w:val="left"/>
      <w:pPr>
        <w:ind w:left="4864" w:hanging="361"/>
      </w:pPr>
      <w:rPr>
        <w:rFonts w:hint="default"/>
      </w:rPr>
    </w:lvl>
    <w:lvl w:ilvl="5" w:tplc="C4B62ECE">
      <w:numFmt w:val="bullet"/>
      <w:lvlText w:val="•"/>
      <w:lvlJc w:val="left"/>
      <w:pPr>
        <w:ind w:left="5870" w:hanging="361"/>
      </w:pPr>
      <w:rPr>
        <w:rFonts w:hint="default"/>
      </w:rPr>
    </w:lvl>
    <w:lvl w:ilvl="6" w:tplc="1180AC52">
      <w:numFmt w:val="bullet"/>
      <w:lvlText w:val="•"/>
      <w:lvlJc w:val="left"/>
      <w:pPr>
        <w:ind w:left="6876" w:hanging="361"/>
      </w:pPr>
      <w:rPr>
        <w:rFonts w:hint="default"/>
      </w:rPr>
    </w:lvl>
    <w:lvl w:ilvl="7" w:tplc="747C5852">
      <w:numFmt w:val="bullet"/>
      <w:lvlText w:val="•"/>
      <w:lvlJc w:val="left"/>
      <w:pPr>
        <w:ind w:left="7882" w:hanging="361"/>
      </w:pPr>
      <w:rPr>
        <w:rFonts w:hint="default"/>
      </w:rPr>
    </w:lvl>
    <w:lvl w:ilvl="8" w:tplc="DA5458B6">
      <w:numFmt w:val="bullet"/>
      <w:lvlText w:val="•"/>
      <w:lvlJc w:val="left"/>
      <w:pPr>
        <w:ind w:left="8888" w:hanging="361"/>
      </w:pPr>
      <w:rPr>
        <w:rFonts w:hint="default"/>
      </w:rPr>
    </w:lvl>
  </w:abstractNum>
  <w:abstractNum w:abstractNumId="14" w15:restartNumberingAfterBreak="0">
    <w:nsid w:val="78AB08AF"/>
    <w:multiLevelType w:val="hybridMultilevel"/>
    <w:tmpl w:val="A00E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7834579">
    <w:abstractNumId w:val="0"/>
  </w:num>
  <w:num w:numId="2" w16cid:durableId="1495148313">
    <w:abstractNumId w:val="5"/>
  </w:num>
  <w:num w:numId="3" w16cid:durableId="1712681940">
    <w:abstractNumId w:val="7"/>
  </w:num>
  <w:num w:numId="4" w16cid:durableId="673189503">
    <w:abstractNumId w:val="12"/>
  </w:num>
  <w:num w:numId="5" w16cid:durableId="107163804">
    <w:abstractNumId w:val="0"/>
  </w:num>
  <w:num w:numId="6" w16cid:durableId="1969818884">
    <w:abstractNumId w:val="0"/>
  </w:num>
  <w:num w:numId="7" w16cid:durableId="1836653645">
    <w:abstractNumId w:val="0"/>
  </w:num>
  <w:num w:numId="8" w16cid:durableId="492259811">
    <w:abstractNumId w:val="0"/>
  </w:num>
  <w:num w:numId="9" w16cid:durableId="1767537122">
    <w:abstractNumId w:val="0"/>
  </w:num>
  <w:num w:numId="10" w16cid:durableId="449011620">
    <w:abstractNumId w:val="10"/>
  </w:num>
  <w:num w:numId="11" w16cid:durableId="563683881">
    <w:abstractNumId w:val="13"/>
  </w:num>
  <w:num w:numId="12" w16cid:durableId="985165059">
    <w:abstractNumId w:val="6"/>
  </w:num>
  <w:num w:numId="13" w16cid:durableId="828056879">
    <w:abstractNumId w:val="8"/>
  </w:num>
  <w:num w:numId="14" w16cid:durableId="1842696916">
    <w:abstractNumId w:val="14"/>
  </w:num>
  <w:num w:numId="15" w16cid:durableId="2096200077">
    <w:abstractNumId w:val="2"/>
  </w:num>
  <w:num w:numId="16" w16cid:durableId="1519465020">
    <w:abstractNumId w:val="4"/>
  </w:num>
  <w:num w:numId="17" w16cid:durableId="1675959255">
    <w:abstractNumId w:val="11"/>
  </w:num>
  <w:num w:numId="18" w16cid:durableId="1107120521">
    <w:abstractNumId w:val="1"/>
  </w:num>
  <w:num w:numId="19" w16cid:durableId="1436830461">
    <w:abstractNumId w:val="3"/>
  </w:num>
  <w:num w:numId="20" w16cid:durableId="373385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2CF4"/>
    <w:rsid w:val="00002FED"/>
    <w:rsid w:val="00005219"/>
    <w:rsid w:val="0001016C"/>
    <w:rsid w:val="000121BA"/>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6E74"/>
    <w:rsid w:val="00067161"/>
    <w:rsid w:val="0006774E"/>
    <w:rsid w:val="00071332"/>
    <w:rsid w:val="00095E5C"/>
    <w:rsid w:val="000A2621"/>
    <w:rsid w:val="000C00E5"/>
    <w:rsid w:val="000C3CC8"/>
    <w:rsid w:val="000C4177"/>
    <w:rsid w:val="000D12B3"/>
    <w:rsid w:val="000D799A"/>
    <w:rsid w:val="000F231F"/>
    <w:rsid w:val="00104EC7"/>
    <w:rsid w:val="0012222D"/>
    <w:rsid w:val="001336E8"/>
    <w:rsid w:val="0013413E"/>
    <w:rsid w:val="00134F5E"/>
    <w:rsid w:val="00147FDA"/>
    <w:rsid w:val="00153F10"/>
    <w:rsid w:val="001547EE"/>
    <w:rsid w:val="00162560"/>
    <w:rsid w:val="00165754"/>
    <w:rsid w:val="001671DC"/>
    <w:rsid w:val="00171AB6"/>
    <w:rsid w:val="00172DFE"/>
    <w:rsid w:val="00174F40"/>
    <w:rsid w:val="0018091E"/>
    <w:rsid w:val="001815E8"/>
    <w:rsid w:val="00183F14"/>
    <w:rsid w:val="00185ABC"/>
    <w:rsid w:val="00193E9F"/>
    <w:rsid w:val="00194A32"/>
    <w:rsid w:val="00194E98"/>
    <w:rsid w:val="001A00F1"/>
    <w:rsid w:val="001A1AA1"/>
    <w:rsid w:val="001A1EC8"/>
    <w:rsid w:val="001A4F0B"/>
    <w:rsid w:val="001B1F0F"/>
    <w:rsid w:val="001B5DFD"/>
    <w:rsid w:val="001B75A6"/>
    <w:rsid w:val="001C0E5F"/>
    <w:rsid w:val="001C2248"/>
    <w:rsid w:val="001C23F4"/>
    <w:rsid w:val="001C34A4"/>
    <w:rsid w:val="001C5166"/>
    <w:rsid w:val="001C5A46"/>
    <w:rsid w:val="001D097C"/>
    <w:rsid w:val="001D7FE4"/>
    <w:rsid w:val="001E2792"/>
    <w:rsid w:val="001E27DB"/>
    <w:rsid w:val="001E49B2"/>
    <w:rsid w:val="001F0B1D"/>
    <w:rsid w:val="001F2503"/>
    <w:rsid w:val="001F4B2B"/>
    <w:rsid w:val="00201E8B"/>
    <w:rsid w:val="00205A8A"/>
    <w:rsid w:val="00211F68"/>
    <w:rsid w:val="00223C22"/>
    <w:rsid w:val="00226C69"/>
    <w:rsid w:val="00237421"/>
    <w:rsid w:val="00237A0F"/>
    <w:rsid w:val="002404C2"/>
    <w:rsid w:val="00240A8E"/>
    <w:rsid w:val="00263ACB"/>
    <w:rsid w:val="00266912"/>
    <w:rsid w:val="00280887"/>
    <w:rsid w:val="00280971"/>
    <w:rsid w:val="00281D1B"/>
    <w:rsid w:val="00282DAD"/>
    <w:rsid w:val="0028314F"/>
    <w:rsid w:val="00287C54"/>
    <w:rsid w:val="00297324"/>
    <w:rsid w:val="002A020E"/>
    <w:rsid w:val="002A4B52"/>
    <w:rsid w:val="002A648F"/>
    <w:rsid w:val="002B0B83"/>
    <w:rsid w:val="002B1F76"/>
    <w:rsid w:val="002B5704"/>
    <w:rsid w:val="002C2823"/>
    <w:rsid w:val="002C616A"/>
    <w:rsid w:val="002D336D"/>
    <w:rsid w:val="002D36BB"/>
    <w:rsid w:val="002D6BF2"/>
    <w:rsid w:val="002E17BA"/>
    <w:rsid w:val="002F4AAA"/>
    <w:rsid w:val="002F4E75"/>
    <w:rsid w:val="002F7614"/>
    <w:rsid w:val="00300C40"/>
    <w:rsid w:val="00301747"/>
    <w:rsid w:val="00301D7E"/>
    <w:rsid w:val="00325E9D"/>
    <w:rsid w:val="00326087"/>
    <w:rsid w:val="00327F5C"/>
    <w:rsid w:val="00336011"/>
    <w:rsid w:val="00340ADC"/>
    <w:rsid w:val="00343491"/>
    <w:rsid w:val="00345199"/>
    <w:rsid w:val="00346D51"/>
    <w:rsid w:val="00351826"/>
    <w:rsid w:val="00351C3F"/>
    <w:rsid w:val="00351D50"/>
    <w:rsid w:val="00355516"/>
    <w:rsid w:val="00361F4E"/>
    <w:rsid w:val="003628A6"/>
    <w:rsid w:val="00372A99"/>
    <w:rsid w:val="00373737"/>
    <w:rsid w:val="00373F0D"/>
    <w:rsid w:val="00375289"/>
    <w:rsid w:val="00376A98"/>
    <w:rsid w:val="00377118"/>
    <w:rsid w:val="00377AAB"/>
    <w:rsid w:val="003927AE"/>
    <w:rsid w:val="0039395B"/>
    <w:rsid w:val="003A1185"/>
    <w:rsid w:val="003A2AFA"/>
    <w:rsid w:val="003A3538"/>
    <w:rsid w:val="003B006E"/>
    <w:rsid w:val="003B0F42"/>
    <w:rsid w:val="003B403A"/>
    <w:rsid w:val="003C00FD"/>
    <w:rsid w:val="003C031F"/>
    <w:rsid w:val="003C1D34"/>
    <w:rsid w:val="003C2846"/>
    <w:rsid w:val="003C5EB3"/>
    <w:rsid w:val="003D5227"/>
    <w:rsid w:val="003E1F2F"/>
    <w:rsid w:val="003E2663"/>
    <w:rsid w:val="003E6553"/>
    <w:rsid w:val="003E731E"/>
    <w:rsid w:val="0040765B"/>
    <w:rsid w:val="00411F3E"/>
    <w:rsid w:val="0041525E"/>
    <w:rsid w:val="00416D58"/>
    <w:rsid w:val="004203B4"/>
    <w:rsid w:val="004211A1"/>
    <w:rsid w:val="004351F1"/>
    <w:rsid w:val="00436621"/>
    <w:rsid w:val="00442732"/>
    <w:rsid w:val="00443BCB"/>
    <w:rsid w:val="0045299A"/>
    <w:rsid w:val="00466287"/>
    <w:rsid w:val="00470ED7"/>
    <w:rsid w:val="004747B3"/>
    <w:rsid w:val="0047547E"/>
    <w:rsid w:val="00477EB1"/>
    <w:rsid w:val="004810BB"/>
    <w:rsid w:val="00492AA6"/>
    <w:rsid w:val="004951A1"/>
    <w:rsid w:val="00497EC1"/>
    <w:rsid w:val="004A3055"/>
    <w:rsid w:val="004C45E2"/>
    <w:rsid w:val="004D0C22"/>
    <w:rsid w:val="004D15E4"/>
    <w:rsid w:val="004D20F2"/>
    <w:rsid w:val="004D27C8"/>
    <w:rsid w:val="004D68A6"/>
    <w:rsid w:val="004E44A5"/>
    <w:rsid w:val="004E474E"/>
    <w:rsid w:val="004E7F32"/>
    <w:rsid w:val="00502DBF"/>
    <w:rsid w:val="00504BC2"/>
    <w:rsid w:val="00506B3A"/>
    <w:rsid w:val="00521D19"/>
    <w:rsid w:val="00523CFF"/>
    <w:rsid w:val="00527FCF"/>
    <w:rsid w:val="005307BA"/>
    <w:rsid w:val="00530993"/>
    <w:rsid w:val="005377BB"/>
    <w:rsid w:val="00544F9E"/>
    <w:rsid w:val="005452E9"/>
    <w:rsid w:val="00545AC6"/>
    <w:rsid w:val="0054710E"/>
    <w:rsid w:val="00551038"/>
    <w:rsid w:val="00554F8D"/>
    <w:rsid w:val="0059035B"/>
    <w:rsid w:val="00597A0E"/>
    <w:rsid w:val="005A0B53"/>
    <w:rsid w:val="005A251B"/>
    <w:rsid w:val="005A397B"/>
    <w:rsid w:val="005B10E1"/>
    <w:rsid w:val="005B5053"/>
    <w:rsid w:val="005C7AF5"/>
    <w:rsid w:val="005D4AF1"/>
    <w:rsid w:val="005D6A3A"/>
    <w:rsid w:val="005D71EA"/>
    <w:rsid w:val="005E6C59"/>
    <w:rsid w:val="005E75FC"/>
    <w:rsid w:val="005F4B69"/>
    <w:rsid w:val="005F5FD1"/>
    <w:rsid w:val="005F7EE8"/>
    <w:rsid w:val="00600C7E"/>
    <w:rsid w:val="006022B4"/>
    <w:rsid w:val="00603D53"/>
    <w:rsid w:val="00610207"/>
    <w:rsid w:val="00612673"/>
    <w:rsid w:val="00612AFA"/>
    <w:rsid w:val="00614552"/>
    <w:rsid w:val="00621D45"/>
    <w:rsid w:val="00623950"/>
    <w:rsid w:val="00626492"/>
    <w:rsid w:val="00626BAC"/>
    <w:rsid w:val="00627B68"/>
    <w:rsid w:val="00630096"/>
    <w:rsid w:val="0063544E"/>
    <w:rsid w:val="00640189"/>
    <w:rsid w:val="00647B97"/>
    <w:rsid w:val="006538BF"/>
    <w:rsid w:val="00673A6A"/>
    <w:rsid w:val="00674D4C"/>
    <w:rsid w:val="00683870"/>
    <w:rsid w:val="006921D0"/>
    <w:rsid w:val="00695AF9"/>
    <w:rsid w:val="00695EAB"/>
    <w:rsid w:val="006A2280"/>
    <w:rsid w:val="006A2A7F"/>
    <w:rsid w:val="006B2576"/>
    <w:rsid w:val="006B723B"/>
    <w:rsid w:val="006C2473"/>
    <w:rsid w:val="006C4218"/>
    <w:rsid w:val="006D1FBC"/>
    <w:rsid w:val="006D2595"/>
    <w:rsid w:val="006D6957"/>
    <w:rsid w:val="006D74D7"/>
    <w:rsid w:val="006E28E7"/>
    <w:rsid w:val="006E2ADE"/>
    <w:rsid w:val="006F6652"/>
    <w:rsid w:val="006F7124"/>
    <w:rsid w:val="006F7FA4"/>
    <w:rsid w:val="00701F8B"/>
    <w:rsid w:val="007041EA"/>
    <w:rsid w:val="007050B5"/>
    <w:rsid w:val="0072087B"/>
    <w:rsid w:val="007249EC"/>
    <w:rsid w:val="00735B28"/>
    <w:rsid w:val="00735E89"/>
    <w:rsid w:val="007414D1"/>
    <w:rsid w:val="00742966"/>
    <w:rsid w:val="00747A46"/>
    <w:rsid w:val="00753EEE"/>
    <w:rsid w:val="00760BB6"/>
    <w:rsid w:val="00762D7D"/>
    <w:rsid w:val="0076355C"/>
    <w:rsid w:val="00767553"/>
    <w:rsid w:val="007736B4"/>
    <w:rsid w:val="00773975"/>
    <w:rsid w:val="0077578F"/>
    <w:rsid w:val="00776DCB"/>
    <w:rsid w:val="00780299"/>
    <w:rsid w:val="007862DE"/>
    <w:rsid w:val="00786A0F"/>
    <w:rsid w:val="0079076A"/>
    <w:rsid w:val="00792A3E"/>
    <w:rsid w:val="00794CC1"/>
    <w:rsid w:val="00794E0E"/>
    <w:rsid w:val="00795244"/>
    <w:rsid w:val="007A0A58"/>
    <w:rsid w:val="007B27D1"/>
    <w:rsid w:val="007B32AB"/>
    <w:rsid w:val="007B7C1F"/>
    <w:rsid w:val="007C0486"/>
    <w:rsid w:val="007C1B17"/>
    <w:rsid w:val="007C21C8"/>
    <w:rsid w:val="007D0E2E"/>
    <w:rsid w:val="007E2FB7"/>
    <w:rsid w:val="007E77DC"/>
    <w:rsid w:val="007F255A"/>
    <w:rsid w:val="008012A2"/>
    <w:rsid w:val="00801E41"/>
    <w:rsid w:val="00802EE8"/>
    <w:rsid w:val="008044BB"/>
    <w:rsid w:val="00805561"/>
    <w:rsid w:val="00806FE1"/>
    <w:rsid w:val="00807ED1"/>
    <w:rsid w:val="008103B6"/>
    <w:rsid w:val="00816C4F"/>
    <w:rsid w:val="00817B11"/>
    <w:rsid w:val="008203EE"/>
    <w:rsid w:val="008267A0"/>
    <w:rsid w:val="00826AD1"/>
    <w:rsid w:val="008308A7"/>
    <w:rsid w:val="0083547C"/>
    <w:rsid w:val="00843139"/>
    <w:rsid w:val="00843197"/>
    <w:rsid w:val="008476E6"/>
    <w:rsid w:val="0085706D"/>
    <w:rsid w:val="00860904"/>
    <w:rsid w:val="00861804"/>
    <w:rsid w:val="008825FE"/>
    <w:rsid w:val="00891C38"/>
    <w:rsid w:val="00892763"/>
    <w:rsid w:val="00894A73"/>
    <w:rsid w:val="00895190"/>
    <w:rsid w:val="00897050"/>
    <w:rsid w:val="008A0EBB"/>
    <w:rsid w:val="008A13AC"/>
    <w:rsid w:val="008B2BE2"/>
    <w:rsid w:val="008B74C1"/>
    <w:rsid w:val="008C013B"/>
    <w:rsid w:val="008C03A9"/>
    <w:rsid w:val="008C0B4D"/>
    <w:rsid w:val="008C37C8"/>
    <w:rsid w:val="008D7766"/>
    <w:rsid w:val="008E08E3"/>
    <w:rsid w:val="008F1358"/>
    <w:rsid w:val="008F23E9"/>
    <w:rsid w:val="008F4477"/>
    <w:rsid w:val="00902EC0"/>
    <w:rsid w:val="009077E2"/>
    <w:rsid w:val="00910F45"/>
    <w:rsid w:val="00911725"/>
    <w:rsid w:val="00917E5E"/>
    <w:rsid w:val="00925D63"/>
    <w:rsid w:val="0092679C"/>
    <w:rsid w:val="00926AD1"/>
    <w:rsid w:val="009308D0"/>
    <w:rsid w:val="00931219"/>
    <w:rsid w:val="009351E9"/>
    <w:rsid w:val="00935EE2"/>
    <w:rsid w:val="00936F1E"/>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A5237"/>
    <w:rsid w:val="009A67E0"/>
    <w:rsid w:val="009B3103"/>
    <w:rsid w:val="009B6D9C"/>
    <w:rsid w:val="009C12FA"/>
    <w:rsid w:val="009C7B2C"/>
    <w:rsid w:val="009D72FE"/>
    <w:rsid w:val="009D747B"/>
    <w:rsid w:val="009F61B1"/>
    <w:rsid w:val="00A00C30"/>
    <w:rsid w:val="00A02AEF"/>
    <w:rsid w:val="00A113D7"/>
    <w:rsid w:val="00A14A03"/>
    <w:rsid w:val="00A16B21"/>
    <w:rsid w:val="00A2122C"/>
    <w:rsid w:val="00A24264"/>
    <w:rsid w:val="00A251CF"/>
    <w:rsid w:val="00A32CD7"/>
    <w:rsid w:val="00A334DB"/>
    <w:rsid w:val="00A370B2"/>
    <w:rsid w:val="00A40DED"/>
    <w:rsid w:val="00A41E4E"/>
    <w:rsid w:val="00A4222D"/>
    <w:rsid w:val="00A4412E"/>
    <w:rsid w:val="00A47353"/>
    <w:rsid w:val="00A517E1"/>
    <w:rsid w:val="00A6675F"/>
    <w:rsid w:val="00A67336"/>
    <w:rsid w:val="00A707E0"/>
    <w:rsid w:val="00A73C38"/>
    <w:rsid w:val="00A77B0C"/>
    <w:rsid w:val="00A83932"/>
    <w:rsid w:val="00A8497B"/>
    <w:rsid w:val="00A85305"/>
    <w:rsid w:val="00A86694"/>
    <w:rsid w:val="00A8686E"/>
    <w:rsid w:val="00A8732A"/>
    <w:rsid w:val="00A91173"/>
    <w:rsid w:val="00A970A2"/>
    <w:rsid w:val="00AA1915"/>
    <w:rsid w:val="00AA34F3"/>
    <w:rsid w:val="00AA456B"/>
    <w:rsid w:val="00AB120A"/>
    <w:rsid w:val="00AB3FBC"/>
    <w:rsid w:val="00AB50E4"/>
    <w:rsid w:val="00AC04D7"/>
    <w:rsid w:val="00AC1AF9"/>
    <w:rsid w:val="00AC27B0"/>
    <w:rsid w:val="00AC742D"/>
    <w:rsid w:val="00AC7DC9"/>
    <w:rsid w:val="00AD6995"/>
    <w:rsid w:val="00AE14D7"/>
    <w:rsid w:val="00AF01AC"/>
    <w:rsid w:val="00AF3FE7"/>
    <w:rsid w:val="00AF7D0C"/>
    <w:rsid w:val="00B0574B"/>
    <w:rsid w:val="00B10AB7"/>
    <w:rsid w:val="00B2037F"/>
    <w:rsid w:val="00B2268E"/>
    <w:rsid w:val="00B24EF8"/>
    <w:rsid w:val="00B262BC"/>
    <w:rsid w:val="00B32691"/>
    <w:rsid w:val="00B407F6"/>
    <w:rsid w:val="00B412F4"/>
    <w:rsid w:val="00B61B0C"/>
    <w:rsid w:val="00B635E3"/>
    <w:rsid w:val="00B72B4F"/>
    <w:rsid w:val="00B7337E"/>
    <w:rsid w:val="00B81EC3"/>
    <w:rsid w:val="00B835C0"/>
    <w:rsid w:val="00B876AF"/>
    <w:rsid w:val="00B9055C"/>
    <w:rsid w:val="00B97807"/>
    <w:rsid w:val="00BA677D"/>
    <w:rsid w:val="00BA759E"/>
    <w:rsid w:val="00BB12E9"/>
    <w:rsid w:val="00BB18D5"/>
    <w:rsid w:val="00BB24A8"/>
    <w:rsid w:val="00BB2885"/>
    <w:rsid w:val="00BB532F"/>
    <w:rsid w:val="00BC162D"/>
    <w:rsid w:val="00BC2FE4"/>
    <w:rsid w:val="00BD4DDA"/>
    <w:rsid w:val="00BE35AF"/>
    <w:rsid w:val="00BE4EAE"/>
    <w:rsid w:val="00BE6E24"/>
    <w:rsid w:val="00BF5DDE"/>
    <w:rsid w:val="00BF6B05"/>
    <w:rsid w:val="00C01CED"/>
    <w:rsid w:val="00C03AFD"/>
    <w:rsid w:val="00C04109"/>
    <w:rsid w:val="00C23E79"/>
    <w:rsid w:val="00C271F9"/>
    <w:rsid w:val="00C46408"/>
    <w:rsid w:val="00C470CB"/>
    <w:rsid w:val="00C517B6"/>
    <w:rsid w:val="00C63F0F"/>
    <w:rsid w:val="00C70636"/>
    <w:rsid w:val="00C70842"/>
    <w:rsid w:val="00C740FF"/>
    <w:rsid w:val="00C8578E"/>
    <w:rsid w:val="00C861F7"/>
    <w:rsid w:val="00CA1753"/>
    <w:rsid w:val="00CA3904"/>
    <w:rsid w:val="00CA3DE5"/>
    <w:rsid w:val="00CA76B5"/>
    <w:rsid w:val="00CC76F2"/>
    <w:rsid w:val="00CD323E"/>
    <w:rsid w:val="00CD65AE"/>
    <w:rsid w:val="00CE105E"/>
    <w:rsid w:val="00CE1E5E"/>
    <w:rsid w:val="00CE514D"/>
    <w:rsid w:val="00CF2A85"/>
    <w:rsid w:val="00D123F0"/>
    <w:rsid w:val="00D312DA"/>
    <w:rsid w:val="00D351CC"/>
    <w:rsid w:val="00D55E55"/>
    <w:rsid w:val="00D5605D"/>
    <w:rsid w:val="00D6084A"/>
    <w:rsid w:val="00D64165"/>
    <w:rsid w:val="00D663ED"/>
    <w:rsid w:val="00D66BB4"/>
    <w:rsid w:val="00D67A17"/>
    <w:rsid w:val="00D74882"/>
    <w:rsid w:val="00D759EE"/>
    <w:rsid w:val="00D86050"/>
    <w:rsid w:val="00D956AA"/>
    <w:rsid w:val="00D96FFC"/>
    <w:rsid w:val="00DA45C4"/>
    <w:rsid w:val="00DA543F"/>
    <w:rsid w:val="00DA68D9"/>
    <w:rsid w:val="00DC0173"/>
    <w:rsid w:val="00DC11EA"/>
    <w:rsid w:val="00DC4056"/>
    <w:rsid w:val="00DC46F7"/>
    <w:rsid w:val="00DC6FA6"/>
    <w:rsid w:val="00DC7033"/>
    <w:rsid w:val="00DD5E7B"/>
    <w:rsid w:val="00DD6AD3"/>
    <w:rsid w:val="00DE2472"/>
    <w:rsid w:val="00DE498C"/>
    <w:rsid w:val="00DE58C6"/>
    <w:rsid w:val="00DE6703"/>
    <w:rsid w:val="00DE6C80"/>
    <w:rsid w:val="00DF1540"/>
    <w:rsid w:val="00DF2209"/>
    <w:rsid w:val="00DF5EB4"/>
    <w:rsid w:val="00E215E7"/>
    <w:rsid w:val="00E25470"/>
    <w:rsid w:val="00E27471"/>
    <w:rsid w:val="00E310E1"/>
    <w:rsid w:val="00E44564"/>
    <w:rsid w:val="00E45C35"/>
    <w:rsid w:val="00E504DC"/>
    <w:rsid w:val="00E55704"/>
    <w:rsid w:val="00E565B9"/>
    <w:rsid w:val="00E57B76"/>
    <w:rsid w:val="00E72D70"/>
    <w:rsid w:val="00E747B4"/>
    <w:rsid w:val="00E77784"/>
    <w:rsid w:val="00E80A46"/>
    <w:rsid w:val="00E83B02"/>
    <w:rsid w:val="00E85FA0"/>
    <w:rsid w:val="00E87997"/>
    <w:rsid w:val="00E94B33"/>
    <w:rsid w:val="00E95F38"/>
    <w:rsid w:val="00EA62E5"/>
    <w:rsid w:val="00EA6CD8"/>
    <w:rsid w:val="00EA7A67"/>
    <w:rsid w:val="00EB4886"/>
    <w:rsid w:val="00EC0B04"/>
    <w:rsid w:val="00EC4A51"/>
    <w:rsid w:val="00EC5713"/>
    <w:rsid w:val="00EC5C1D"/>
    <w:rsid w:val="00ED176B"/>
    <w:rsid w:val="00ED5CC6"/>
    <w:rsid w:val="00ED7943"/>
    <w:rsid w:val="00EE2888"/>
    <w:rsid w:val="00EF159C"/>
    <w:rsid w:val="00F023B3"/>
    <w:rsid w:val="00F07C69"/>
    <w:rsid w:val="00F11BF4"/>
    <w:rsid w:val="00F15669"/>
    <w:rsid w:val="00F2083C"/>
    <w:rsid w:val="00F31B35"/>
    <w:rsid w:val="00F339CD"/>
    <w:rsid w:val="00F33A43"/>
    <w:rsid w:val="00F41650"/>
    <w:rsid w:val="00F47143"/>
    <w:rsid w:val="00F47BC9"/>
    <w:rsid w:val="00F54155"/>
    <w:rsid w:val="00F5675A"/>
    <w:rsid w:val="00F83D95"/>
    <w:rsid w:val="00F84C56"/>
    <w:rsid w:val="00F9569D"/>
    <w:rsid w:val="00FA2FCD"/>
    <w:rsid w:val="00FA67E0"/>
    <w:rsid w:val="00FC306C"/>
    <w:rsid w:val="00FC3F22"/>
    <w:rsid w:val="00FC6457"/>
    <w:rsid w:val="00FC6ECA"/>
    <w:rsid w:val="00FD3076"/>
    <w:rsid w:val="00FD46BA"/>
    <w:rsid w:val="00FE050F"/>
    <w:rsid w:val="00FE1CBC"/>
    <w:rsid w:val="00FE2E58"/>
    <w:rsid w:val="00FE5458"/>
    <w:rsid w:val="00FF271B"/>
    <w:rsid w:val="00FF35CF"/>
    <w:rsid w:val="00FF41A0"/>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02334"/>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BodyText">
    <w:name w:val="Body Text"/>
    <w:basedOn w:val="Normal"/>
    <w:link w:val="BodyTextChar"/>
    <w:uiPriority w:val="1"/>
    <w:qFormat/>
    <w:rsid w:val="00147FDA"/>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147FDA"/>
    <w:rPr>
      <w:rFonts w:eastAsia="Arial" w:cs="Arial"/>
    </w:rPr>
  </w:style>
  <w:style w:type="paragraph" w:customStyle="1" w:styleId="xmsonormal">
    <w:name w:val="x_msonormal"/>
    <w:basedOn w:val="Normal"/>
    <w:rsid w:val="003E731E"/>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1C34A4"/>
    <w:rPr>
      <w:b/>
      <w:bCs/>
    </w:rPr>
  </w:style>
  <w:style w:type="character" w:customStyle="1" w:styleId="CommentSubjectChar">
    <w:name w:val="Comment Subject Char"/>
    <w:basedOn w:val="CommentTextChar"/>
    <w:link w:val="CommentSubject"/>
    <w:uiPriority w:val="99"/>
    <w:semiHidden/>
    <w:rsid w:val="001C34A4"/>
    <w:rPr>
      <w:b/>
      <w:bCs/>
      <w:sz w:val="20"/>
      <w:szCs w:val="20"/>
    </w:rPr>
  </w:style>
  <w:style w:type="paragraph" w:styleId="NormalWeb">
    <w:name w:val="Normal (Web)"/>
    <w:basedOn w:val="Normal"/>
    <w:uiPriority w:val="99"/>
    <w:semiHidden/>
    <w:unhideWhenUsed/>
    <w:rsid w:val="00E94B3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3C1D34"/>
    <w:pPr>
      <w:spacing w:after="0" w:line="240" w:lineRule="auto"/>
    </w:pPr>
  </w:style>
  <w:style w:type="character" w:customStyle="1" w:styleId="ui-provider">
    <w:name w:val="ui-provider"/>
    <w:basedOn w:val="DefaultParagraphFont"/>
    <w:rsid w:val="003C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9804">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09996555">
      <w:bodyDiv w:val="1"/>
      <w:marLeft w:val="0"/>
      <w:marRight w:val="0"/>
      <w:marTop w:val="0"/>
      <w:marBottom w:val="0"/>
      <w:divBdr>
        <w:top w:val="none" w:sz="0" w:space="0" w:color="auto"/>
        <w:left w:val="none" w:sz="0" w:space="0" w:color="auto"/>
        <w:bottom w:val="none" w:sz="0" w:space="0" w:color="auto"/>
        <w:right w:val="none" w:sz="0" w:space="0" w:color="auto"/>
      </w:divBdr>
    </w:div>
    <w:div w:id="459302253">
      <w:bodyDiv w:val="1"/>
      <w:marLeft w:val="0"/>
      <w:marRight w:val="0"/>
      <w:marTop w:val="0"/>
      <w:marBottom w:val="0"/>
      <w:divBdr>
        <w:top w:val="none" w:sz="0" w:space="0" w:color="auto"/>
        <w:left w:val="none" w:sz="0" w:space="0" w:color="auto"/>
        <w:bottom w:val="none" w:sz="0" w:space="0" w:color="auto"/>
        <w:right w:val="none" w:sz="0" w:space="0" w:color="auto"/>
      </w:divBdr>
    </w:div>
    <w:div w:id="505635397">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988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sourcesregulator.nsw.gov.au/__data/assets/pdf_file/0012/1197858/Policy-Pecuniary-interests-in-the-regulated-sector.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__data/assets/pdf_file/0011/1197848/Policy-Integrity-Clearance.pd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5F291A888BC4985219FEE7712F867" ma:contentTypeVersion="18" ma:contentTypeDescription="Create a new document." ma:contentTypeScope="" ma:versionID="8167635d7331a36c012ed5e91a1497b3">
  <xsd:schema xmlns:xsd="http://www.w3.org/2001/XMLSchema" xmlns:xs="http://www.w3.org/2001/XMLSchema" xmlns:p="http://schemas.microsoft.com/office/2006/metadata/properties" xmlns:ns3="98d30aba-0b43-43a6-ad06-e4f903e74300" xmlns:ns4="72ec11d4-8de7-42ef-af4a-f092f29a2cf5" targetNamespace="http://schemas.microsoft.com/office/2006/metadata/properties" ma:root="true" ma:fieldsID="3f204adc39d3bebe165327eaa31b7894" ns3:_="" ns4:_="">
    <xsd:import namespace="98d30aba-0b43-43a6-ad06-e4f903e74300"/>
    <xsd:import namespace="72ec11d4-8de7-42ef-af4a-f092f29a2cf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0aba-0b43-43a6-ad06-e4f903e7430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c11d4-8de7-42ef-af4a-f092f29a2c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98d30aba-0b43-43a6-ad06-e4f903e74300" xsi:nil="true"/>
    <MigrationWizIdPermissionLevels xmlns="98d30aba-0b43-43a6-ad06-e4f903e74300" xsi:nil="true"/>
    <MigrationWizIdPermissions xmlns="98d30aba-0b43-43a6-ad06-e4f903e74300" xsi:nil="true"/>
    <MigrationWizIdDocumentLibraryPermissions xmlns="98d30aba-0b43-43a6-ad06-e4f903e74300" xsi:nil="true"/>
    <MigrationWizIdSecurityGroups xmlns="98d30aba-0b43-43a6-ad06-e4f903e743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4E8D9-A7F0-412F-9E7A-40D79D4B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0aba-0b43-43a6-ad06-e4f903e74300"/>
    <ds:schemaRef ds:uri="72ec11d4-8de7-42ef-af4a-f092f29a2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1B6F8-9639-41AA-8C45-F6BAD088E643}">
  <ds:schemaRefs>
    <ds:schemaRef ds:uri="http://schemas.microsoft.com/office/2006/metadata/properties"/>
    <ds:schemaRef ds:uri="http://schemas.microsoft.com/office/infopath/2007/PartnerControls"/>
    <ds:schemaRef ds:uri="98d30aba-0b43-43a6-ad06-e4f903e74300"/>
  </ds:schemaRefs>
</ds:datastoreItem>
</file>

<file path=customXml/itemProps3.xml><?xml version="1.0" encoding="utf-8"?>
<ds:datastoreItem xmlns:ds="http://schemas.openxmlformats.org/officeDocument/2006/customXml" ds:itemID="{BF5E91E9-BCA8-4E38-A635-B6D56D3F5F2F}">
  <ds:schemaRefs>
    <ds:schemaRef ds:uri="http://schemas.microsoft.com/sharepoint/v3/contenttype/forms"/>
  </ds:schemaRefs>
</ds:datastoreItem>
</file>

<file path=customXml/itemProps4.xml><?xml version="1.0" encoding="utf-8"?>
<ds:datastoreItem xmlns:ds="http://schemas.openxmlformats.org/officeDocument/2006/customXml" ds:itemID="{CDCF183B-97BB-4048-AD4F-BB587E5A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8</TotalTime>
  <Pages>8</Pages>
  <Words>2790</Words>
  <Characters>15908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Cheree Maloney</cp:lastModifiedBy>
  <cp:revision>2</cp:revision>
  <cp:lastPrinted>2022-09-13T01:38:00Z</cp:lastPrinted>
  <dcterms:created xsi:type="dcterms:W3CDTF">2025-01-14T23:05:00Z</dcterms:created>
  <dcterms:modified xsi:type="dcterms:W3CDTF">2025-01-14T23:05:00Z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0x010100A8D5F291A888BC4985219FEE7712F867</vt:lpwstr>
  </property>
</Properties>
</file>