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857" w:type="dxa"/>
        <w:tblLook w:val="04A0" w:firstRow="1" w:lastRow="0" w:firstColumn="1" w:lastColumn="0" w:noHBand="0" w:noVBand="1"/>
      </w:tblPr>
      <w:tblGrid>
        <w:gridCol w:w="4026"/>
        <w:gridCol w:w="6831"/>
      </w:tblGrid>
      <w:tr w:rsidR="00DC5A6C" w:rsidRPr="00DC0173" w14:paraId="133D8819" w14:textId="77777777" w:rsidTr="000569FF">
        <w:trPr>
          <w:cnfStyle w:val="100000000000" w:firstRow="1" w:lastRow="0" w:firstColumn="0" w:lastColumn="0" w:oddVBand="0" w:evenVBand="0" w:oddHBand="0" w:evenHBand="0" w:firstRowFirstColumn="0" w:firstRowLastColumn="0" w:lastRowFirstColumn="0" w:lastRowLastColumn="0"/>
        </w:trPr>
        <w:tc>
          <w:tcPr>
            <w:tcW w:w="4026" w:type="dxa"/>
          </w:tcPr>
          <w:p w14:paraId="0AD81318" w14:textId="77777777" w:rsidR="00DC5A6C" w:rsidRPr="00DC0173" w:rsidRDefault="00DC5A6C" w:rsidP="000569FF">
            <w:pPr>
              <w:pStyle w:val="TableTextWhite"/>
              <w:rPr>
                <w:b/>
              </w:rPr>
            </w:pPr>
            <w:r>
              <w:rPr>
                <w:b/>
              </w:rPr>
              <w:t>Cluster</w:t>
            </w:r>
          </w:p>
        </w:tc>
        <w:tc>
          <w:tcPr>
            <w:tcW w:w="6831" w:type="dxa"/>
          </w:tcPr>
          <w:p w14:paraId="1E613BBD" w14:textId="77777777" w:rsidR="00DC5A6C" w:rsidRPr="00DC0173" w:rsidRDefault="00DC5A6C" w:rsidP="000569FF">
            <w:pPr>
              <w:pStyle w:val="TableTextWhite"/>
            </w:pPr>
            <w:r>
              <w:t>Planning, Industry and Environment</w:t>
            </w:r>
          </w:p>
        </w:tc>
      </w:tr>
      <w:tr w:rsidR="00DC5A6C" w:rsidRPr="00DC0173" w14:paraId="2C282096" w14:textId="77777777" w:rsidTr="000569FF">
        <w:tc>
          <w:tcPr>
            <w:tcW w:w="4026" w:type="dxa"/>
          </w:tcPr>
          <w:p w14:paraId="3A9AD0AB" w14:textId="77777777" w:rsidR="00DC5A6C" w:rsidRDefault="00DC5A6C" w:rsidP="000569FF">
            <w:pPr>
              <w:pStyle w:val="TableTextWhite"/>
              <w:rPr>
                <w:b/>
              </w:rPr>
            </w:pPr>
            <w:r>
              <w:rPr>
                <w:b/>
              </w:rPr>
              <w:t>Agency</w:t>
            </w:r>
          </w:p>
        </w:tc>
        <w:tc>
          <w:tcPr>
            <w:tcW w:w="6831" w:type="dxa"/>
          </w:tcPr>
          <w:p w14:paraId="604402B1" w14:textId="68854D84" w:rsidR="00DC5A6C" w:rsidRDefault="00F4276E" w:rsidP="000569FF">
            <w:pPr>
              <w:pStyle w:val="TableTextWhite"/>
            </w:pPr>
            <w:r>
              <w:t>Department of Planning, Industry and Environment</w:t>
            </w:r>
          </w:p>
        </w:tc>
      </w:tr>
      <w:tr w:rsidR="00DC5A6C" w:rsidRPr="00DC0173" w14:paraId="5EB0CFBD" w14:textId="77777777" w:rsidTr="000569FF">
        <w:tc>
          <w:tcPr>
            <w:tcW w:w="4026" w:type="dxa"/>
          </w:tcPr>
          <w:p w14:paraId="1A76DDA1" w14:textId="77777777" w:rsidR="00DC5A6C" w:rsidRDefault="00DC5A6C" w:rsidP="000569FF">
            <w:pPr>
              <w:pStyle w:val="TableTextWhite"/>
              <w:rPr>
                <w:b/>
              </w:rPr>
            </w:pPr>
            <w:r w:rsidRPr="00FC13A3">
              <w:rPr>
                <w:b/>
              </w:rPr>
              <w:t>Division/Branch/Unit</w:t>
            </w:r>
          </w:p>
        </w:tc>
        <w:tc>
          <w:tcPr>
            <w:tcW w:w="6831" w:type="dxa"/>
          </w:tcPr>
          <w:p w14:paraId="5D2139BC" w14:textId="37AE7DD4" w:rsidR="00DC5A6C" w:rsidRDefault="00F4276E" w:rsidP="0043493B">
            <w:pPr>
              <w:pStyle w:val="TableTextWhite"/>
            </w:pPr>
            <w:r>
              <w:t xml:space="preserve">Environment, Energy and Science / </w:t>
            </w:r>
            <w:r w:rsidR="00DC5A6C">
              <w:t>Biodiversity</w:t>
            </w:r>
            <w:r w:rsidR="0043493B">
              <w:t xml:space="preserve"> and</w:t>
            </w:r>
            <w:r w:rsidR="00DC5A6C">
              <w:t xml:space="preserve">, Conservation </w:t>
            </w:r>
          </w:p>
        </w:tc>
      </w:tr>
      <w:tr w:rsidR="00DC5A6C" w:rsidRPr="00DC0173" w14:paraId="2EA7630C" w14:textId="77777777" w:rsidTr="000569FF">
        <w:tc>
          <w:tcPr>
            <w:tcW w:w="4026" w:type="dxa"/>
          </w:tcPr>
          <w:p w14:paraId="401E7BD3" w14:textId="77777777" w:rsidR="00DC5A6C" w:rsidRDefault="00DC5A6C" w:rsidP="000569FF">
            <w:pPr>
              <w:pStyle w:val="TableTextWhite"/>
              <w:rPr>
                <w:b/>
              </w:rPr>
            </w:pPr>
            <w:r w:rsidRPr="00FC13A3">
              <w:rPr>
                <w:b/>
              </w:rPr>
              <w:t>Role number</w:t>
            </w:r>
          </w:p>
        </w:tc>
        <w:tc>
          <w:tcPr>
            <w:tcW w:w="6831" w:type="dxa"/>
          </w:tcPr>
          <w:p w14:paraId="6C811249" w14:textId="65CA1D9E" w:rsidR="00DC5A6C" w:rsidRDefault="0043493B" w:rsidP="000569FF">
            <w:pPr>
              <w:pStyle w:val="TableTextWhite"/>
            </w:pPr>
            <w:r>
              <w:t>Generic</w:t>
            </w:r>
          </w:p>
        </w:tc>
      </w:tr>
      <w:tr w:rsidR="00DC5A6C" w:rsidRPr="00DC0173" w14:paraId="45E19308" w14:textId="77777777" w:rsidTr="000569FF">
        <w:tc>
          <w:tcPr>
            <w:tcW w:w="4026" w:type="dxa"/>
          </w:tcPr>
          <w:p w14:paraId="668F85D2" w14:textId="77777777" w:rsidR="00DC5A6C" w:rsidRDefault="00DC5A6C" w:rsidP="000569FF">
            <w:pPr>
              <w:pStyle w:val="TableTextWhite"/>
              <w:rPr>
                <w:b/>
              </w:rPr>
            </w:pPr>
            <w:r w:rsidRPr="00FC13A3">
              <w:rPr>
                <w:b/>
              </w:rPr>
              <w:t>Classification/Grade/Band</w:t>
            </w:r>
          </w:p>
        </w:tc>
        <w:tc>
          <w:tcPr>
            <w:tcW w:w="6831" w:type="dxa"/>
          </w:tcPr>
          <w:p w14:paraId="2B0DA78D" w14:textId="32F27E5D" w:rsidR="00DC5A6C" w:rsidRDefault="00F4276E" w:rsidP="002E7C66">
            <w:pPr>
              <w:pStyle w:val="TableTextWhite"/>
            </w:pPr>
            <w:r>
              <w:t xml:space="preserve">Environment Officer Class </w:t>
            </w:r>
            <w:r w:rsidR="002E7C66">
              <w:t>8</w:t>
            </w:r>
          </w:p>
        </w:tc>
      </w:tr>
      <w:tr w:rsidR="00DC5A6C" w:rsidRPr="00DC0173" w14:paraId="40CEE8C7" w14:textId="77777777" w:rsidTr="000569FF">
        <w:tc>
          <w:tcPr>
            <w:tcW w:w="4026" w:type="dxa"/>
          </w:tcPr>
          <w:p w14:paraId="2DCA81E8" w14:textId="77777777" w:rsidR="00DC5A6C" w:rsidRDefault="00DC5A6C" w:rsidP="000569FF">
            <w:pPr>
              <w:pStyle w:val="TableTextWhite"/>
              <w:rPr>
                <w:b/>
              </w:rPr>
            </w:pPr>
            <w:r w:rsidRPr="00FC13A3">
              <w:rPr>
                <w:b/>
              </w:rPr>
              <w:t>ANZSCO Code</w:t>
            </w:r>
          </w:p>
        </w:tc>
        <w:tc>
          <w:tcPr>
            <w:tcW w:w="6831" w:type="dxa"/>
          </w:tcPr>
          <w:p w14:paraId="4CE67979" w14:textId="75DECD47" w:rsidR="00DC5A6C" w:rsidRDefault="002E7C66" w:rsidP="000569FF">
            <w:pPr>
              <w:pStyle w:val="TableTextWhite"/>
            </w:pPr>
            <w:r>
              <w:t>511112</w:t>
            </w:r>
          </w:p>
        </w:tc>
      </w:tr>
      <w:tr w:rsidR="00DC5A6C" w:rsidRPr="00DC0173" w14:paraId="6D95C9E3" w14:textId="77777777" w:rsidTr="000569FF">
        <w:tc>
          <w:tcPr>
            <w:tcW w:w="4026" w:type="dxa"/>
          </w:tcPr>
          <w:p w14:paraId="5CC5019E" w14:textId="77777777" w:rsidR="00DC5A6C" w:rsidRDefault="00DC5A6C" w:rsidP="000569FF">
            <w:pPr>
              <w:pStyle w:val="TableTextWhite"/>
              <w:rPr>
                <w:b/>
              </w:rPr>
            </w:pPr>
            <w:r w:rsidRPr="00FC13A3">
              <w:rPr>
                <w:b/>
              </w:rPr>
              <w:t>PCAT Code</w:t>
            </w:r>
          </w:p>
        </w:tc>
        <w:tc>
          <w:tcPr>
            <w:tcW w:w="6831" w:type="dxa"/>
          </w:tcPr>
          <w:p w14:paraId="0CDBF6C0" w14:textId="24A16E13" w:rsidR="00DC5A6C" w:rsidRDefault="002E7C66" w:rsidP="002E7C66">
            <w:pPr>
              <w:pStyle w:val="TableTextWhite"/>
            </w:pPr>
            <w:r>
              <w:t>1119192</w:t>
            </w:r>
          </w:p>
        </w:tc>
      </w:tr>
      <w:tr w:rsidR="00DC5A6C" w:rsidRPr="00DC0173" w14:paraId="5BFDFBA4" w14:textId="77777777" w:rsidTr="000569FF">
        <w:tc>
          <w:tcPr>
            <w:tcW w:w="4026" w:type="dxa"/>
          </w:tcPr>
          <w:p w14:paraId="266EF4C4" w14:textId="77777777" w:rsidR="00DC5A6C" w:rsidRDefault="00DC5A6C" w:rsidP="000569FF">
            <w:pPr>
              <w:pStyle w:val="TableTextWhite"/>
              <w:rPr>
                <w:b/>
              </w:rPr>
            </w:pPr>
            <w:r w:rsidRPr="00FC13A3">
              <w:rPr>
                <w:b/>
              </w:rPr>
              <w:t>Date of Approval</w:t>
            </w:r>
          </w:p>
        </w:tc>
        <w:tc>
          <w:tcPr>
            <w:tcW w:w="6831" w:type="dxa"/>
          </w:tcPr>
          <w:p w14:paraId="09B0BAE1" w14:textId="5D3EF4E2" w:rsidR="00DC5A6C" w:rsidRDefault="0043493B" w:rsidP="000569FF">
            <w:pPr>
              <w:pStyle w:val="TableTextWhite"/>
            </w:pPr>
            <w:r>
              <w:t>May 2021 (updated from July 2020 and August 2018)</w:t>
            </w:r>
          </w:p>
        </w:tc>
      </w:tr>
      <w:tr w:rsidR="00DC5A6C" w:rsidRPr="00DC0173" w14:paraId="1308916B" w14:textId="77777777" w:rsidTr="000569FF">
        <w:tc>
          <w:tcPr>
            <w:tcW w:w="4026" w:type="dxa"/>
            <w:tcBorders>
              <w:bottom w:val="single" w:sz="8" w:space="0" w:color="auto"/>
            </w:tcBorders>
          </w:tcPr>
          <w:p w14:paraId="39AB9B5E" w14:textId="77777777" w:rsidR="00DC5A6C" w:rsidRDefault="00DC5A6C" w:rsidP="000569FF">
            <w:pPr>
              <w:pStyle w:val="TableTextWhite"/>
              <w:rPr>
                <w:b/>
              </w:rPr>
            </w:pPr>
            <w:r w:rsidRPr="00FC13A3">
              <w:rPr>
                <w:b/>
              </w:rPr>
              <w:t>Agency Website</w:t>
            </w:r>
          </w:p>
        </w:tc>
        <w:tc>
          <w:tcPr>
            <w:tcW w:w="6831" w:type="dxa"/>
            <w:tcBorders>
              <w:bottom w:val="single" w:sz="8" w:space="0" w:color="auto"/>
            </w:tcBorders>
          </w:tcPr>
          <w:p w14:paraId="0774485B" w14:textId="44F83D55" w:rsidR="00DC5A6C" w:rsidRDefault="00DC5A6C" w:rsidP="000569FF">
            <w:pPr>
              <w:pStyle w:val="TableTextWhite"/>
            </w:pPr>
            <w:r>
              <w:t>www.dpie.nsw.gov.au</w:t>
            </w:r>
          </w:p>
        </w:tc>
      </w:tr>
    </w:tbl>
    <w:p w14:paraId="2F7247E4" w14:textId="77777777" w:rsidR="00DC5A6C" w:rsidRPr="00614552" w:rsidRDefault="00DC5A6C" w:rsidP="00F4276E">
      <w:pPr>
        <w:tabs>
          <w:tab w:val="left" w:pos="2925"/>
        </w:tabs>
        <w:spacing w:before="360"/>
        <w:rPr>
          <w:rStyle w:val="Heading1Char"/>
        </w:rPr>
      </w:pPr>
      <w:r w:rsidRPr="00614552">
        <w:rPr>
          <w:rStyle w:val="Heading1Char"/>
        </w:rPr>
        <w:t>Agency overview</w:t>
      </w:r>
    </w:p>
    <w:p w14:paraId="4E3CAF5F" w14:textId="77777777" w:rsidR="00DC5A6C" w:rsidRDefault="00DC5A6C" w:rsidP="00DC5A6C">
      <w:pPr>
        <w:tabs>
          <w:tab w:val="left" w:pos="2925"/>
        </w:tabs>
      </w:pPr>
      <w: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4EB66C6E" w14:textId="77777777" w:rsidR="0043493B" w:rsidRDefault="0043493B" w:rsidP="0043493B">
      <w:pPr>
        <w:pStyle w:val="Heading1"/>
        <w:kinsoku w:val="0"/>
        <w:overflowPunct w:val="0"/>
        <w:spacing w:before="200" w:line="276" w:lineRule="auto"/>
        <w:rPr>
          <w:b w:val="0"/>
          <w:sz w:val="22"/>
          <w:szCs w:val="22"/>
        </w:rPr>
      </w:pPr>
      <w:r w:rsidRPr="0088628C">
        <w:rPr>
          <w:b w:val="0"/>
          <w:sz w:val="22"/>
          <w:szCs w:val="22"/>
        </w:rPr>
        <w:t>The Environment, Energy and Science (EES) Group within DPIE brings together a range of functions including national park management, biodiversity and conservation, climate change, sustainability, resilience and adaptation, renewable energy and energy security.</w:t>
      </w:r>
    </w:p>
    <w:p w14:paraId="19C64614" w14:textId="77777777" w:rsidR="0043493B" w:rsidRPr="00614552" w:rsidRDefault="0043493B" w:rsidP="0043493B">
      <w:pPr>
        <w:tabs>
          <w:tab w:val="left" w:pos="2925"/>
        </w:tabs>
        <w:spacing w:after="0"/>
        <w:rPr>
          <w:rStyle w:val="Heading1Char"/>
        </w:rPr>
      </w:pPr>
      <w:r w:rsidRPr="00614552">
        <w:rPr>
          <w:rStyle w:val="Heading1Char"/>
        </w:rPr>
        <w:t>Primary purpose of the role</w:t>
      </w:r>
    </w:p>
    <w:p w14:paraId="667B3605" w14:textId="77777777" w:rsidR="0043493B" w:rsidRDefault="0043493B" w:rsidP="0043493B">
      <w:pPr>
        <w:tabs>
          <w:tab w:val="left" w:pos="2925"/>
        </w:tabs>
        <w:spacing w:after="0"/>
        <w:rPr>
          <w:rFonts w:ascii="Georgia" w:hAnsi="Georgia"/>
        </w:rPr>
      </w:pPr>
      <w:r>
        <w:rPr>
          <w:rFonts w:cs="Arial"/>
        </w:rPr>
        <w:t>U</w:t>
      </w:r>
      <w:r w:rsidRPr="00614552">
        <w:rPr>
          <w:rFonts w:cs="Arial"/>
        </w:rPr>
        <w:t xml:space="preserve">ndertake delegated projects </w:t>
      </w:r>
      <w:r>
        <w:rPr>
          <w:rFonts w:cs="Arial"/>
        </w:rPr>
        <w:t xml:space="preserve">and </w:t>
      </w:r>
      <w:r w:rsidRPr="00614552">
        <w:rPr>
          <w:rFonts w:cs="Arial"/>
        </w:rPr>
        <w:t>develop and coordinate guidelines and policies on issues relating to Branch programs for the adoption and implementation by t</w:t>
      </w:r>
      <w:r>
        <w:rPr>
          <w:rFonts w:cs="Arial"/>
        </w:rPr>
        <w:t xml:space="preserve">he </w:t>
      </w:r>
      <w:proofErr w:type="spellStart"/>
      <w:r>
        <w:rPr>
          <w:rFonts w:cs="Arial"/>
        </w:rPr>
        <w:t>organisation</w:t>
      </w:r>
      <w:proofErr w:type="spellEnd"/>
      <w:r>
        <w:rPr>
          <w:rFonts w:cs="Arial"/>
        </w:rPr>
        <w:t xml:space="preserve"> and stakeholders.</w:t>
      </w:r>
    </w:p>
    <w:p w14:paraId="1FD445F8" w14:textId="77777777" w:rsidR="0043493B" w:rsidRDefault="0043493B" w:rsidP="0043493B">
      <w:pPr>
        <w:pStyle w:val="Heading1"/>
        <w:spacing w:before="240" w:line="276" w:lineRule="auto"/>
      </w:pPr>
      <w:r w:rsidRPr="00A14A03">
        <w:t>Key accountabilities</w:t>
      </w:r>
    </w:p>
    <w:p w14:paraId="2D8D0101" w14:textId="77777777" w:rsidR="0043493B" w:rsidRPr="00620CDA" w:rsidRDefault="0043493B" w:rsidP="0043493B">
      <w:pPr>
        <w:pStyle w:val="ListParagraph"/>
        <w:numPr>
          <w:ilvl w:val="0"/>
          <w:numId w:val="23"/>
        </w:numPr>
        <w:tabs>
          <w:tab w:val="left" w:pos="2925"/>
        </w:tabs>
        <w:rPr>
          <w:rFonts w:ascii="Georgia" w:hAnsi="Georgia"/>
        </w:rPr>
      </w:pPr>
      <w:r w:rsidRPr="00620CDA">
        <w:rPr>
          <w:rFonts w:cs="Arial"/>
        </w:rPr>
        <w:t>Contribute to and assist with the design, co-ordination, deli</w:t>
      </w:r>
      <w:r>
        <w:rPr>
          <w:rFonts w:cs="Arial"/>
        </w:rPr>
        <w:t>very and evaluation of projects.</w:t>
      </w:r>
    </w:p>
    <w:p w14:paraId="156C48E6" w14:textId="77777777" w:rsidR="0043493B" w:rsidRPr="00620CDA" w:rsidRDefault="0043493B" w:rsidP="0043493B">
      <w:pPr>
        <w:pStyle w:val="ListParagraph"/>
        <w:numPr>
          <w:ilvl w:val="0"/>
          <w:numId w:val="23"/>
        </w:numPr>
        <w:tabs>
          <w:tab w:val="left" w:pos="2925"/>
        </w:tabs>
        <w:rPr>
          <w:rFonts w:ascii="Georgia" w:hAnsi="Georgia"/>
        </w:rPr>
      </w:pPr>
      <w:r w:rsidRPr="00620CDA">
        <w:rPr>
          <w:rFonts w:cs="Arial"/>
        </w:rPr>
        <w:t>Manage individual projects including managing the project budget and coordinating or supervising assigned staff and contractors</w:t>
      </w:r>
      <w:r>
        <w:rPr>
          <w:rFonts w:cs="Arial"/>
        </w:rPr>
        <w:t>.</w:t>
      </w:r>
    </w:p>
    <w:p w14:paraId="7635689B" w14:textId="77777777" w:rsidR="0043493B" w:rsidRPr="00620CDA" w:rsidRDefault="0043493B" w:rsidP="0043493B">
      <w:pPr>
        <w:pStyle w:val="ListParagraph"/>
        <w:numPr>
          <w:ilvl w:val="0"/>
          <w:numId w:val="23"/>
        </w:numPr>
        <w:tabs>
          <w:tab w:val="left" w:pos="2925"/>
        </w:tabs>
        <w:rPr>
          <w:rFonts w:ascii="Georgia" w:hAnsi="Georgia"/>
        </w:rPr>
      </w:pPr>
      <w:proofErr w:type="spellStart"/>
      <w:r w:rsidRPr="00620CDA">
        <w:rPr>
          <w:rFonts w:cs="Arial"/>
        </w:rPr>
        <w:t>Analy</w:t>
      </w:r>
      <w:r>
        <w:rPr>
          <w:rFonts w:cs="Arial"/>
        </w:rPr>
        <w:t>s</w:t>
      </w:r>
      <w:r w:rsidRPr="00620CDA">
        <w:rPr>
          <w:rFonts w:cs="Arial"/>
        </w:rPr>
        <w:t>e</w:t>
      </w:r>
      <w:proofErr w:type="spellEnd"/>
      <w:r w:rsidRPr="00620CDA">
        <w:rPr>
          <w:rFonts w:cs="Arial"/>
        </w:rPr>
        <w:t xml:space="preserve"> and collect information, evaluate and report on the delivery of various programs.</w:t>
      </w:r>
    </w:p>
    <w:p w14:paraId="79FB0654" w14:textId="77777777" w:rsidR="0043493B" w:rsidRPr="00620CDA" w:rsidRDefault="0043493B" w:rsidP="0043493B">
      <w:pPr>
        <w:pStyle w:val="ListParagraph"/>
        <w:numPr>
          <w:ilvl w:val="0"/>
          <w:numId w:val="23"/>
        </w:numPr>
        <w:tabs>
          <w:tab w:val="left" w:pos="2925"/>
        </w:tabs>
        <w:rPr>
          <w:rFonts w:ascii="Georgia" w:hAnsi="Georgia"/>
        </w:rPr>
      </w:pPr>
      <w:r w:rsidRPr="00620CDA">
        <w:rPr>
          <w:rFonts w:cs="Arial"/>
        </w:rPr>
        <w:t xml:space="preserve">Draft briefings, advice and correspondence accurately reflecting </w:t>
      </w:r>
      <w:r>
        <w:rPr>
          <w:rFonts w:cs="Arial"/>
        </w:rPr>
        <w:t>DPIE</w:t>
      </w:r>
      <w:r w:rsidRPr="00620CDA">
        <w:rPr>
          <w:rFonts w:cs="Arial"/>
        </w:rPr>
        <w:t>’s position in respect of range of Branch programs</w:t>
      </w:r>
      <w:r>
        <w:rPr>
          <w:rFonts w:cs="Arial"/>
        </w:rPr>
        <w:t>.</w:t>
      </w:r>
    </w:p>
    <w:p w14:paraId="2E2EC6D1" w14:textId="77777777" w:rsidR="0043493B" w:rsidRPr="00620CDA" w:rsidRDefault="0043493B" w:rsidP="0043493B">
      <w:pPr>
        <w:pStyle w:val="ListParagraph"/>
        <w:numPr>
          <w:ilvl w:val="0"/>
          <w:numId w:val="23"/>
        </w:numPr>
        <w:tabs>
          <w:tab w:val="left" w:pos="2925"/>
        </w:tabs>
        <w:rPr>
          <w:rFonts w:ascii="Georgia" w:hAnsi="Georgia"/>
        </w:rPr>
      </w:pPr>
      <w:r w:rsidRPr="00620CDA">
        <w:rPr>
          <w:rFonts w:cs="Arial"/>
        </w:rPr>
        <w:t xml:space="preserve">Provide accurate, well researched, balanced reports and recommendations for action by the </w:t>
      </w:r>
      <w:proofErr w:type="spellStart"/>
      <w:r w:rsidRPr="00620CDA">
        <w:rPr>
          <w:rFonts w:cs="Arial"/>
        </w:rPr>
        <w:t>Organisation</w:t>
      </w:r>
      <w:proofErr w:type="spellEnd"/>
      <w:r w:rsidRPr="00620CDA">
        <w:rPr>
          <w:rFonts w:cs="Arial"/>
        </w:rPr>
        <w:t xml:space="preserve"> to address Branch program issues appropriately.</w:t>
      </w:r>
    </w:p>
    <w:p w14:paraId="538E14F8" w14:textId="77777777" w:rsidR="0043493B" w:rsidRPr="006C160B" w:rsidRDefault="0043493B" w:rsidP="0043493B">
      <w:pPr>
        <w:pStyle w:val="ListParagraph"/>
        <w:numPr>
          <w:ilvl w:val="0"/>
          <w:numId w:val="23"/>
        </w:numPr>
        <w:tabs>
          <w:tab w:val="left" w:pos="2925"/>
        </w:tabs>
        <w:rPr>
          <w:rStyle w:val="Heading1Char"/>
          <w:rFonts w:ascii="Georgia" w:hAnsi="Georgia"/>
          <w:b w:val="0"/>
          <w:bCs w:val="0"/>
        </w:rPr>
      </w:pPr>
      <w:r w:rsidRPr="006C160B">
        <w:rPr>
          <w:rFonts w:cs="Arial"/>
        </w:rPr>
        <w:t>Represent DPIE and contribute to focus groups, committees  and meetings when required.</w:t>
      </w:r>
    </w:p>
    <w:p w14:paraId="27CE7459" w14:textId="77777777" w:rsidR="0043493B" w:rsidRDefault="0043493B" w:rsidP="0043493B">
      <w:pPr>
        <w:tabs>
          <w:tab w:val="left" w:pos="2925"/>
        </w:tabs>
        <w:rPr>
          <w:rStyle w:val="Heading1Char"/>
        </w:rPr>
      </w:pPr>
    </w:p>
    <w:p w14:paraId="0CC74E28" w14:textId="77777777" w:rsidR="0043493B" w:rsidRPr="00614552" w:rsidRDefault="0043493B" w:rsidP="0043493B">
      <w:pPr>
        <w:tabs>
          <w:tab w:val="left" w:pos="2925"/>
        </w:tabs>
        <w:rPr>
          <w:rStyle w:val="Heading1Char"/>
        </w:rPr>
      </w:pPr>
      <w:bookmarkStart w:id="0" w:name="_GoBack"/>
      <w:bookmarkEnd w:id="0"/>
      <w:r w:rsidRPr="00614552">
        <w:rPr>
          <w:rStyle w:val="Heading1Char"/>
        </w:rPr>
        <w:lastRenderedPageBreak/>
        <w:t>Key challenges</w:t>
      </w:r>
    </w:p>
    <w:p w14:paraId="550E02C3" w14:textId="77777777" w:rsidR="0043493B" w:rsidRPr="00620CDA" w:rsidRDefault="0043493B" w:rsidP="0043493B">
      <w:pPr>
        <w:pStyle w:val="ListParagraph"/>
        <w:numPr>
          <w:ilvl w:val="0"/>
          <w:numId w:val="24"/>
        </w:numPr>
        <w:tabs>
          <w:tab w:val="left" w:pos="2925"/>
        </w:tabs>
        <w:rPr>
          <w:rFonts w:ascii="Georgia" w:hAnsi="Georgia"/>
        </w:rPr>
      </w:pPr>
      <w:r w:rsidRPr="00620CDA">
        <w:rPr>
          <w:rFonts w:cs="Arial"/>
        </w:rPr>
        <w:t xml:space="preserve">Maintaining a broad and current knowledge of relevant state and commonwealth policy in areas relating to Branch programs and needs to understand a wide range of concepts including public sector reform and/ or ecologically sustainable development, scientific </w:t>
      </w:r>
      <w:proofErr w:type="spellStart"/>
      <w:r w:rsidRPr="00620CDA">
        <w:rPr>
          <w:rFonts w:cs="Arial"/>
        </w:rPr>
        <w:t>rigour</w:t>
      </w:r>
      <w:proofErr w:type="spellEnd"/>
      <w:r w:rsidRPr="00620CDA">
        <w:rPr>
          <w:rFonts w:cs="Arial"/>
        </w:rPr>
        <w:t>, as well as legislative constraints, constraints posed by agreements in other jurisdictions and the realities and practicalities of recommended decisions and actions.</w:t>
      </w:r>
    </w:p>
    <w:p w14:paraId="158CCF74" w14:textId="77777777" w:rsidR="0043493B" w:rsidRPr="00620CDA" w:rsidRDefault="0043493B" w:rsidP="0043493B">
      <w:pPr>
        <w:pStyle w:val="ListParagraph"/>
        <w:numPr>
          <w:ilvl w:val="0"/>
          <w:numId w:val="24"/>
        </w:numPr>
        <w:tabs>
          <w:tab w:val="left" w:pos="2925"/>
        </w:tabs>
        <w:rPr>
          <w:rFonts w:ascii="Georgia" w:hAnsi="Georgia"/>
        </w:rPr>
      </w:pPr>
      <w:r w:rsidRPr="00620CDA">
        <w:rPr>
          <w:rFonts w:cs="Arial"/>
        </w:rPr>
        <w:t>Identifying new and emerging public sector and/or environmental issues, adapting to changing issues and exercising astute judgment; the work undertaken may be complex and contentious</w:t>
      </w:r>
      <w:r>
        <w:rPr>
          <w:rFonts w:cs="Arial"/>
        </w:rPr>
        <w:t>.</w:t>
      </w:r>
    </w:p>
    <w:p w14:paraId="55FF5C19" w14:textId="77777777" w:rsidR="0043493B" w:rsidRPr="00620CDA" w:rsidRDefault="0043493B" w:rsidP="0043493B">
      <w:pPr>
        <w:pStyle w:val="ListParagraph"/>
        <w:numPr>
          <w:ilvl w:val="0"/>
          <w:numId w:val="24"/>
        </w:numPr>
        <w:tabs>
          <w:tab w:val="left" w:pos="2925"/>
        </w:tabs>
        <w:rPr>
          <w:rFonts w:ascii="Georgia" w:hAnsi="Georgia"/>
        </w:rPr>
      </w:pPr>
      <w:r w:rsidRPr="00620CDA">
        <w:rPr>
          <w:rFonts w:cs="Arial"/>
        </w:rPr>
        <w:t xml:space="preserve">Ensuring that legislation relating to Branch programs are effectively implemented in projects undertaken and that there are no unacceptable environmental, public health or public perception risks. </w:t>
      </w:r>
    </w:p>
    <w:p w14:paraId="407D0572" w14:textId="77777777" w:rsidR="0043493B" w:rsidRPr="00EC5C1D" w:rsidRDefault="0043493B" w:rsidP="0043493B">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43493B" w:rsidRPr="00C978B9" w14:paraId="7A10E5A0" w14:textId="77777777" w:rsidTr="00DB5773">
        <w:trPr>
          <w:cnfStyle w:val="100000000000" w:firstRow="1" w:lastRow="0" w:firstColumn="0" w:lastColumn="0" w:oddVBand="0" w:evenVBand="0" w:oddHBand="0" w:evenHBand="0" w:firstRowFirstColumn="0" w:firstRowLastColumn="0" w:lastRowFirstColumn="0" w:lastRowLastColumn="0"/>
          <w:tblHeader/>
        </w:trPr>
        <w:tc>
          <w:tcPr>
            <w:tcW w:w="3601" w:type="dxa"/>
          </w:tcPr>
          <w:p w14:paraId="1746C281" w14:textId="77777777" w:rsidR="0043493B" w:rsidRPr="00C978B9" w:rsidRDefault="0043493B" w:rsidP="00DB5773">
            <w:pPr>
              <w:pStyle w:val="TableTextWhite0"/>
            </w:pPr>
            <w:r w:rsidRPr="00C978B9">
              <w:t>Who</w:t>
            </w:r>
          </w:p>
        </w:tc>
        <w:tc>
          <w:tcPr>
            <w:tcW w:w="6986" w:type="dxa"/>
          </w:tcPr>
          <w:p w14:paraId="10A08B69" w14:textId="77777777" w:rsidR="0043493B" w:rsidRPr="00C978B9" w:rsidRDefault="0043493B" w:rsidP="00DB5773">
            <w:pPr>
              <w:pStyle w:val="TableTextWhite0"/>
            </w:pPr>
            <w:r>
              <w:t xml:space="preserve">       </w:t>
            </w:r>
            <w:r w:rsidRPr="00C978B9">
              <w:t>Why</w:t>
            </w:r>
          </w:p>
        </w:tc>
      </w:tr>
      <w:tr w:rsidR="0043493B" w:rsidRPr="00A8245E" w14:paraId="083B4432" w14:textId="77777777" w:rsidTr="00DB5773">
        <w:tc>
          <w:tcPr>
            <w:tcW w:w="3601" w:type="dxa"/>
            <w:shd w:val="clear" w:color="auto" w:fill="BCBEC0"/>
          </w:tcPr>
          <w:p w14:paraId="75462AF3" w14:textId="77777777" w:rsidR="0043493B" w:rsidRPr="00A8245E" w:rsidRDefault="0043493B" w:rsidP="00DB5773">
            <w:pPr>
              <w:pStyle w:val="TableText"/>
              <w:keepNext/>
              <w:rPr>
                <w:b/>
              </w:rPr>
            </w:pPr>
            <w:r w:rsidRPr="00A8245E">
              <w:rPr>
                <w:b/>
              </w:rPr>
              <w:t>Internal</w:t>
            </w:r>
          </w:p>
        </w:tc>
        <w:tc>
          <w:tcPr>
            <w:tcW w:w="6986" w:type="dxa"/>
            <w:shd w:val="clear" w:color="auto" w:fill="BCBEC0"/>
          </w:tcPr>
          <w:p w14:paraId="1FEAA7FC" w14:textId="77777777" w:rsidR="0043493B" w:rsidRPr="00A8245E" w:rsidRDefault="0043493B" w:rsidP="00DB5773">
            <w:pPr>
              <w:pStyle w:val="TableText"/>
              <w:keepNext/>
              <w:rPr>
                <w:b/>
              </w:rPr>
            </w:pPr>
          </w:p>
        </w:tc>
      </w:tr>
      <w:tr w:rsidR="0043493B" w:rsidRPr="00C978B9" w14:paraId="64CA722D" w14:textId="77777777" w:rsidTr="00DB5773">
        <w:tc>
          <w:tcPr>
            <w:tcW w:w="3601" w:type="dxa"/>
            <w:tcBorders>
              <w:top w:val="single" w:sz="8" w:space="0" w:color="auto"/>
            </w:tcBorders>
          </w:tcPr>
          <w:p w14:paraId="64B3D6E1" w14:textId="77777777" w:rsidR="0043493B" w:rsidRPr="00A15CDB" w:rsidRDefault="0043493B" w:rsidP="00DB5773">
            <w:pPr>
              <w:pStyle w:val="TableText"/>
            </w:pPr>
            <w:r>
              <w:t>Manager</w:t>
            </w:r>
          </w:p>
        </w:tc>
        <w:tc>
          <w:tcPr>
            <w:tcW w:w="6986" w:type="dxa"/>
            <w:tcBorders>
              <w:top w:val="single" w:sz="8" w:space="0" w:color="auto"/>
            </w:tcBorders>
          </w:tcPr>
          <w:p w14:paraId="62474FBA" w14:textId="77777777" w:rsidR="0043493B" w:rsidRPr="00A15CDB" w:rsidRDefault="0043493B" w:rsidP="00DB5773">
            <w:pPr>
              <w:pStyle w:val="TableText"/>
              <w:numPr>
                <w:ilvl w:val="0"/>
                <w:numId w:val="3"/>
              </w:numPr>
            </w:pPr>
            <w:r>
              <w:t>Escalate issues, keep informed, advise and receive direction</w:t>
            </w:r>
          </w:p>
        </w:tc>
      </w:tr>
      <w:tr w:rsidR="0043493B" w:rsidRPr="00C978B9" w14:paraId="37528144" w14:textId="77777777" w:rsidTr="00DB5773">
        <w:tc>
          <w:tcPr>
            <w:tcW w:w="3601" w:type="dxa"/>
            <w:tcBorders>
              <w:top w:val="single" w:sz="8" w:space="0" w:color="auto"/>
            </w:tcBorders>
          </w:tcPr>
          <w:p w14:paraId="458B1FDC" w14:textId="77777777" w:rsidR="0043493B" w:rsidRPr="00A15CDB" w:rsidRDefault="0043493B" w:rsidP="00DB5773">
            <w:pPr>
              <w:pStyle w:val="TableText"/>
            </w:pPr>
            <w:r>
              <w:t>Work team / Other Internal Staff</w:t>
            </w:r>
          </w:p>
        </w:tc>
        <w:tc>
          <w:tcPr>
            <w:tcW w:w="6986" w:type="dxa"/>
            <w:tcBorders>
              <w:top w:val="single" w:sz="8" w:space="0" w:color="auto"/>
            </w:tcBorders>
          </w:tcPr>
          <w:p w14:paraId="055209E6" w14:textId="77777777" w:rsidR="0043493B" w:rsidRPr="00A15CDB" w:rsidRDefault="0043493B" w:rsidP="00DB5773">
            <w:pPr>
              <w:pStyle w:val="TableText"/>
              <w:numPr>
                <w:ilvl w:val="0"/>
                <w:numId w:val="3"/>
              </w:numPr>
            </w:pPr>
            <w:r>
              <w:t>Develop and maintain cooperative and productive working relationships</w:t>
            </w:r>
          </w:p>
        </w:tc>
      </w:tr>
      <w:tr w:rsidR="0043493B" w:rsidRPr="00A8245E" w14:paraId="7F77BA77" w14:textId="77777777" w:rsidTr="00DB5773">
        <w:tc>
          <w:tcPr>
            <w:tcW w:w="3601" w:type="dxa"/>
            <w:shd w:val="clear" w:color="auto" w:fill="A6A6A6" w:themeFill="background1" w:themeFillShade="A6"/>
          </w:tcPr>
          <w:p w14:paraId="7335D6D5" w14:textId="77777777" w:rsidR="0043493B" w:rsidRPr="00A8245E" w:rsidRDefault="0043493B" w:rsidP="00DB5773">
            <w:pPr>
              <w:pStyle w:val="TableText"/>
              <w:keepNext/>
              <w:rPr>
                <w:b/>
              </w:rPr>
            </w:pPr>
            <w:r>
              <w:rPr>
                <w:b/>
              </w:rPr>
              <w:t>External</w:t>
            </w:r>
          </w:p>
        </w:tc>
        <w:tc>
          <w:tcPr>
            <w:tcW w:w="6986" w:type="dxa"/>
            <w:shd w:val="clear" w:color="auto" w:fill="A6A6A6" w:themeFill="background1" w:themeFillShade="A6"/>
          </w:tcPr>
          <w:p w14:paraId="737F8E01" w14:textId="77777777" w:rsidR="0043493B" w:rsidRPr="00A8245E" w:rsidRDefault="0043493B" w:rsidP="00DB5773">
            <w:pPr>
              <w:pStyle w:val="TableText"/>
              <w:keepNext/>
              <w:rPr>
                <w:b/>
              </w:rPr>
            </w:pPr>
          </w:p>
        </w:tc>
      </w:tr>
      <w:tr w:rsidR="0043493B" w:rsidRPr="00C978B9" w14:paraId="2848B685" w14:textId="77777777" w:rsidTr="00DB5773">
        <w:tc>
          <w:tcPr>
            <w:tcW w:w="3601" w:type="dxa"/>
          </w:tcPr>
          <w:p w14:paraId="2F395C0C" w14:textId="77777777" w:rsidR="0043493B" w:rsidRPr="00A15CDB" w:rsidRDefault="0043493B" w:rsidP="00DB5773">
            <w:pPr>
              <w:pStyle w:val="TableText"/>
            </w:pPr>
            <w:r>
              <w:rPr>
                <w:rFonts w:cs="Arial"/>
              </w:rPr>
              <w:t>C</w:t>
            </w:r>
            <w:r w:rsidRPr="00614552">
              <w:rPr>
                <w:rFonts w:cs="Arial"/>
              </w:rPr>
              <w:t>onsultants, la</w:t>
            </w:r>
            <w:r>
              <w:rPr>
                <w:rFonts w:cs="Arial"/>
              </w:rPr>
              <w:t>nd owners, industry, developers</w:t>
            </w:r>
            <w:r w:rsidRPr="00614552">
              <w:rPr>
                <w:rFonts w:cs="Arial"/>
              </w:rPr>
              <w:t xml:space="preserve"> and government organisations</w:t>
            </w:r>
          </w:p>
        </w:tc>
        <w:tc>
          <w:tcPr>
            <w:tcW w:w="6986" w:type="dxa"/>
          </w:tcPr>
          <w:p w14:paraId="468CF2BA" w14:textId="77777777" w:rsidR="0043493B" w:rsidRPr="00A15CDB" w:rsidRDefault="0043493B" w:rsidP="00DB5773">
            <w:pPr>
              <w:pStyle w:val="TableText"/>
              <w:numPr>
                <w:ilvl w:val="0"/>
                <w:numId w:val="3"/>
              </w:numPr>
            </w:pPr>
            <w:r w:rsidRPr="00614552">
              <w:rPr>
                <w:rFonts w:cs="Arial"/>
              </w:rPr>
              <w:t>Liaise with key stakeholders to ensure the smooth delivery of programs, providing practical, accurate and timely advice and support</w:t>
            </w:r>
          </w:p>
        </w:tc>
      </w:tr>
    </w:tbl>
    <w:p w14:paraId="088EC3D8" w14:textId="77777777" w:rsidR="0043493B" w:rsidRDefault="0043493B" w:rsidP="0043493B">
      <w:pPr>
        <w:pStyle w:val="Heading1"/>
        <w:spacing w:before="240"/>
        <w:rPr>
          <w:sz w:val="28"/>
        </w:rPr>
      </w:pPr>
      <w:r w:rsidRPr="00614552">
        <w:t>Role dimensions</w:t>
      </w:r>
    </w:p>
    <w:p w14:paraId="67FBD96F" w14:textId="77777777" w:rsidR="0043493B" w:rsidRPr="00614552" w:rsidRDefault="0043493B" w:rsidP="0043493B">
      <w:pPr>
        <w:pStyle w:val="Heading2"/>
      </w:pPr>
      <w:r w:rsidRPr="00614552">
        <w:t>Decision making</w:t>
      </w:r>
    </w:p>
    <w:p w14:paraId="43D1585B" w14:textId="77777777" w:rsidR="0043493B" w:rsidRPr="00620CDA" w:rsidRDefault="0043493B" w:rsidP="0043493B">
      <w:pPr>
        <w:pStyle w:val="BodyText"/>
        <w:spacing w:before="0" w:after="0" w:line="240" w:lineRule="auto"/>
        <w:jc w:val="both"/>
        <w:rPr>
          <w:rFonts w:cs="Arial"/>
          <w:color w:val="auto"/>
          <w:szCs w:val="22"/>
        </w:rPr>
      </w:pPr>
      <w:r w:rsidRPr="00620CDA">
        <w:rPr>
          <w:color w:val="auto"/>
          <w:szCs w:val="22"/>
        </w:rPr>
        <w:t xml:space="preserve">The role </w:t>
      </w:r>
      <w:r w:rsidRPr="00620CDA">
        <w:rPr>
          <w:rFonts w:cs="Arial"/>
          <w:color w:val="auto"/>
          <w:szCs w:val="22"/>
        </w:rPr>
        <w:t>sets own day to day priorities within the parameters and directions of the work program, maintaining a degree of independence in developing a suitable approach in completing work assignments and providing regular progress reports to the Supervisor.</w:t>
      </w:r>
    </w:p>
    <w:p w14:paraId="51377D83" w14:textId="77777777" w:rsidR="0043493B" w:rsidRPr="00171F4B" w:rsidRDefault="0043493B" w:rsidP="0043493B">
      <w:pPr>
        <w:pStyle w:val="BodyText"/>
        <w:spacing w:before="0" w:after="0" w:line="240" w:lineRule="auto"/>
        <w:jc w:val="both"/>
        <w:rPr>
          <w:rFonts w:cs="Arial"/>
          <w:szCs w:val="22"/>
        </w:rPr>
      </w:pPr>
    </w:p>
    <w:p w14:paraId="58D6FE5A" w14:textId="77777777" w:rsidR="0043493B" w:rsidRPr="000745E8" w:rsidRDefault="0043493B" w:rsidP="0043493B">
      <w:pPr>
        <w:rPr>
          <w:rFonts w:cs="Arial"/>
          <w:b/>
          <w:color w:val="808080" w:themeColor="background1" w:themeShade="80"/>
          <w:sz w:val="24"/>
          <w:szCs w:val="26"/>
        </w:rPr>
      </w:pPr>
      <w:r w:rsidRPr="000745E8">
        <w:rPr>
          <w:rFonts w:cs="Arial"/>
          <w:b/>
          <w:color w:val="808080" w:themeColor="background1" w:themeShade="80"/>
          <w:sz w:val="24"/>
          <w:szCs w:val="26"/>
        </w:rPr>
        <w:t>Reporting line</w:t>
      </w:r>
    </w:p>
    <w:p w14:paraId="4AE8B4E3" w14:textId="77777777" w:rsidR="0043493B" w:rsidRPr="000745E8" w:rsidRDefault="0043493B" w:rsidP="0043493B">
      <w:pPr>
        <w:rPr>
          <w:rFonts w:cs="Arial"/>
          <w:b/>
          <w:color w:val="808080" w:themeColor="background1" w:themeShade="80"/>
          <w:sz w:val="24"/>
          <w:szCs w:val="26"/>
        </w:rPr>
      </w:pPr>
      <w:r>
        <w:rPr>
          <w:rFonts w:cs="Arial"/>
          <w:szCs w:val="26"/>
        </w:rPr>
        <w:t>Role reports to the designated Manager/Supervisor.</w:t>
      </w:r>
    </w:p>
    <w:p w14:paraId="5C703B69" w14:textId="77777777" w:rsidR="0043493B" w:rsidRPr="000745E8" w:rsidRDefault="0043493B" w:rsidP="0043493B">
      <w:pPr>
        <w:rPr>
          <w:rFonts w:cs="Arial"/>
          <w:b/>
          <w:color w:val="808080" w:themeColor="background1" w:themeShade="80"/>
          <w:sz w:val="24"/>
          <w:szCs w:val="26"/>
        </w:rPr>
      </w:pPr>
      <w:r w:rsidRPr="000745E8">
        <w:rPr>
          <w:rFonts w:cs="Arial"/>
          <w:b/>
          <w:color w:val="808080" w:themeColor="background1" w:themeShade="80"/>
          <w:sz w:val="24"/>
          <w:szCs w:val="26"/>
        </w:rPr>
        <w:t>Direct reports</w:t>
      </w:r>
    </w:p>
    <w:p w14:paraId="58A407E8" w14:textId="77777777" w:rsidR="0043493B" w:rsidRDefault="0043493B" w:rsidP="0043493B">
      <w:pPr>
        <w:rPr>
          <w:rFonts w:cs="Arial"/>
          <w:szCs w:val="26"/>
        </w:rPr>
      </w:pPr>
      <w:r>
        <w:rPr>
          <w:rFonts w:cs="Arial"/>
          <w:szCs w:val="26"/>
        </w:rPr>
        <w:t>Project staff as allocated.</w:t>
      </w:r>
    </w:p>
    <w:p w14:paraId="27D0242D" w14:textId="77777777" w:rsidR="0043493B" w:rsidRPr="000745E8" w:rsidRDefault="0043493B" w:rsidP="0043493B">
      <w:pPr>
        <w:rPr>
          <w:rFonts w:cs="Arial"/>
          <w:b/>
          <w:color w:val="808080" w:themeColor="background1" w:themeShade="80"/>
          <w:sz w:val="24"/>
          <w:szCs w:val="26"/>
        </w:rPr>
      </w:pPr>
      <w:r w:rsidRPr="000745E8">
        <w:rPr>
          <w:rFonts w:cs="Arial"/>
          <w:b/>
          <w:color w:val="808080" w:themeColor="background1" w:themeShade="80"/>
          <w:sz w:val="24"/>
          <w:szCs w:val="26"/>
        </w:rPr>
        <w:t>Budget/Expenditure</w:t>
      </w:r>
    </w:p>
    <w:p w14:paraId="7708A477" w14:textId="77777777" w:rsidR="0043493B" w:rsidRPr="00603D53" w:rsidRDefault="0043493B" w:rsidP="0043493B">
      <w:pPr>
        <w:rPr>
          <w:rFonts w:cs="Arial"/>
          <w:szCs w:val="26"/>
        </w:rPr>
      </w:pPr>
      <w:r>
        <w:rPr>
          <w:rFonts w:cs="Arial"/>
          <w:szCs w:val="26"/>
        </w:rPr>
        <w:t>As per allocated project.</w:t>
      </w:r>
    </w:p>
    <w:p w14:paraId="219A6C6F" w14:textId="77777777" w:rsidR="0043493B" w:rsidRPr="00614552" w:rsidRDefault="0043493B" w:rsidP="0043493B">
      <w:pPr>
        <w:tabs>
          <w:tab w:val="left" w:pos="2925"/>
        </w:tabs>
        <w:rPr>
          <w:rStyle w:val="Heading1Char"/>
        </w:rPr>
      </w:pPr>
      <w:r>
        <w:rPr>
          <w:rStyle w:val="Heading1Char"/>
        </w:rPr>
        <w:t>Key knowledge and experience</w:t>
      </w:r>
    </w:p>
    <w:p w14:paraId="3C3E93E6" w14:textId="77777777" w:rsidR="0043493B" w:rsidRPr="00620CDA" w:rsidRDefault="0043493B" w:rsidP="0043493B">
      <w:pPr>
        <w:pStyle w:val="ListParagraph"/>
        <w:numPr>
          <w:ilvl w:val="0"/>
          <w:numId w:val="25"/>
        </w:numPr>
        <w:tabs>
          <w:tab w:val="left" w:pos="2925"/>
        </w:tabs>
        <w:rPr>
          <w:rFonts w:cs="Arial"/>
        </w:rPr>
      </w:pPr>
      <w:r w:rsidRPr="00620CDA">
        <w:rPr>
          <w:rFonts w:cs="Arial"/>
        </w:rPr>
        <w:t xml:space="preserve">Expertise in one or more of the following areas: </w:t>
      </w:r>
      <w:r>
        <w:rPr>
          <w:rFonts w:cs="Arial"/>
        </w:rPr>
        <w:t xml:space="preserve">operations, regulation, </w:t>
      </w:r>
      <w:r w:rsidRPr="00620CDA">
        <w:rPr>
          <w:rFonts w:cs="Arial"/>
        </w:rPr>
        <w:t xml:space="preserve">contaminated sites, waste management, chemicals policy, </w:t>
      </w:r>
      <w:r>
        <w:rPr>
          <w:rFonts w:cs="Arial"/>
        </w:rPr>
        <w:t>forestry</w:t>
      </w:r>
      <w:r w:rsidRPr="00620CDA">
        <w:rPr>
          <w:rFonts w:cs="Arial"/>
        </w:rPr>
        <w:t xml:space="preserve"> policy and regulation, hazardous materials and radiation or public sector management and corporate governance.</w:t>
      </w:r>
    </w:p>
    <w:p w14:paraId="47BCB386" w14:textId="77777777" w:rsidR="0043493B" w:rsidRPr="00620CDA" w:rsidRDefault="0043493B" w:rsidP="0043493B">
      <w:pPr>
        <w:pStyle w:val="ListParagraph"/>
        <w:numPr>
          <w:ilvl w:val="0"/>
          <w:numId w:val="25"/>
        </w:numPr>
        <w:tabs>
          <w:tab w:val="left" w:pos="2925"/>
        </w:tabs>
        <w:rPr>
          <w:rFonts w:cs="Arial"/>
        </w:rPr>
      </w:pPr>
      <w:r w:rsidRPr="00620CDA">
        <w:rPr>
          <w:rFonts w:cs="Arial"/>
        </w:rPr>
        <w:lastRenderedPageBreak/>
        <w:t>Knowledge of NSW government policy as it relates to contemporary government and/ or environmental issues including knowledge of relevant public sector or environmental legislation and the responsibilities of relevant government agencies.</w:t>
      </w:r>
    </w:p>
    <w:p w14:paraId="2D3FF4C5" w14:textId="77777777" w:rsidR="0043493B" w:rsidRPr="00620CDA" w:rsidRDefault="0043493B" w:rsidP="0043493B">
      <w:pPr>
        <w:pStyle w:val="ListParagraph"/>
        <w:numPr>
          <w:ilvl w:val="0"/>
          <w:numId w:val="25"/>
        </w:numPr>
        <w:tabs>
          <w:tab w:val="left" w:pos="2925"/>
        </w:tabs>
        <w:rPr>
          <w:rFonts w:cs="Arial"/>
        </w:rPr>
      </w:pPr>
      <w:r w:rsidRPr="00620CDA">
        <w:rPr>
          <w:rFonts w:cs="Arial"/>
        </w:rPr>
        <w:t xml:space="preserve">Experience in developing and delivering resources and programs for a range of stakeholder groups aimed at achieving </w:t>
      </w:r>
      <w:proofErr w:type="spellStart"/>
      <w:r w:rsidRPr="00620CDA">
        <w:rPr>
          <w:rFonts w:cs="Arial"/>
        </w:rPr>
        <w:t>behavioural</w:t>
      </w:r>
      <w:proofErr w:type="spellEnd"/>
      <w:r w:rsidRPr="00620CDA">
        <w:rPr>
          <w:rFonts w:cs="Arial"/>
        </w:rPr>
        <w:t xml:space="preserve"> change.</w:t>
      </w:r>
    </w:p>
    <w:p w14:paraId="099E0249" w14:textId="77777777" w:rsidR="0043493B" w:rsidRPr="005B2F03" w:rsidRDefault="0043493B" w:rsidP="0043493B">
      <w:pPr>
        <w:pStyle w:val="ListParagraph"/>
        <w:numPr>
          <w:ilvl w:val="0"/>
          <w:numId w:val="25"/>
        </w:numPr>
        <w:tabs>
          <w:tab w:val="left" w:pos="2925"/>
        </w:tabs>
        <w:rPr>
          <w:rFonts w:cs="Arial"/>
        </w:rPr>
      </w:pPr>
      <w:r>
        <w:t xml:space="preserve">Ability to work independently and as part of a team in researching and developing specific responses to current or emerging public sector and/ or environmental issues. </w:t>
      </w:r>
      <w:r w:rsidRPr="00AD35D3">
        <w:t xml:space="preserve">  </w:t>
      </w:r>
    </w:p>
    <w:p w14:paraId="0DCA6065" w14:textId="77777777" w:rsidR="0043493B" w:rsidRPr="00C978B9" w:rsidRDefault="0043493B" w:rsidP="0043493B">
      <w:pPr>
        <w:pStyle w:val="Heading1"/>
      </w:pPr>
      <w:r w:rsidRPr="00C978B9">
        <w:t>Capabilities for the role</w:t>
      </w:r>
    </w:p>
    <w:p w14:paraId="27E0CD2C" w14:textId="77777777" w:rsidR="0043493B" w:rsidRPr="00175AAF" w:rsidRDefault="0043493B" w:rsidP="0043493B">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762BD996" w14:textId="77777777" w:rsidR="0043493B" w:rsidRPr="00175AAF" w:rsidRDefault="0043493B" w:rsidP="0043493B">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B475013" w14:textId="77777777" w:rsidR="0043493B" w:rsidRPr="00C978B9" w:rsidRDefault="0043493B" w:rsidP="0043493B">
      <w:pPr>
        <w:pStyle w:val="Heading1"/>
      </w:pPr>
      <w:r w:rsidRPr="00C978B9">
        <w:t xml:space="preserve">Focus </w:t>
      </w:r>
      <w:r>
        <w:t>c</w:t>
      </w:r>
      <w:r w:rsidRPr="00C978B9">
        <w:t>apabilities</w:t>
      </w:r>
    </w:p>
    <w:p w14:paraId="49D790B0" w14:textId="77777777" w:rsidR="0043493B" w:rsidRDefault="0043493B" w:rsidP="0043493B">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6DD69B15" w14:textId="77777777" w:rsidR="0043493B" w:rsidRDefault="0043493B" w:rsidP="0043493B">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43493B" w:rsidRPr="00803E47" w14:paraId="270131F1" w14:textId="77777777" w:rsidTr="00DB5773">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5D086B17" w14:textId="77777777" w:rsidR="0043493B" w:rsidRPr="00803E47" w:rsidRDefault="0043493B" w:rsidP="00DB5773">
            <w:pPr>
              <w:pStyle w:val="TableTextWhite0"/>
              <w:keepNext/>
              <w:jc w:val="both"/>
            </w:pPr>
            <w:r w:rsidRPr="00051E80">
              <w:rPr>
                <w:sz w:val="24"/>
                <w:szCs w:val="24"/>
              </w:rPr>
              <w:lastRenderedPageBreak/>
              <w:t>FOCUS CAPABILITIES</w:t>
            </w:r>
          </w:p>
        </w:tc>
      </w:tr>
      <w:tr w:rsidR="0043493B" w:rsidRPr="00C978B9" w14:paraId="7F9ABE4E" w14:textId="77777777" w:rsidTr="00DB577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3E5A332" w14:textId="77777777" w:rsidR="0043493B" w:rsidRPr="00C978B9" w:rsidRDefault="0043493B" w:rsidP="00DB577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BB29B4A" w14:textId="77777777" w:rsidR="0043493B" w:rsidRPr="00C978B9" w:rsidRDefault="0043493B" w:rsidP="00DB577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DFC55E7" w14:textId="77777777" w:rsidR="0043493B" w:rsidRDefault="0043493B" w:rsidP="00DB5773">
            <w:pPr>
              <w:pStyle w:val="TableText"/>
              <w:keepNext/>
              <w:rPr>
                <w:b/>
              </w:rPr>
            </w:pPr>
          </w:p>
        </w:tc>
        <w:tc>
          <w:tcPr>
            <w:tcW w:w="4770" w:type="dxa"/>
            <w:tcBorders>
              <w:bottom w:val="single" w:sz="12" w:space="0" w:color="auto"/>
            </w:tcBorders>
            <w:shd w:val="clear" w:color="auto" w:fill="BCBEC0"/>
          </w:tcPr>
          <w:p w14:paraId="74784798" w14:textId="77777777" w:rsidR="0043493B" w:rsidRDefault="0043493B" w:rsidP="00DB5773">
            <w:pPr>
              <w:pStyle w:val="TableText"/>
              <w:keepNext/>
              <w:rPr>
                <w:b/>
              </w:rPr>
            </w:pPr>
            <w:r>
              <w:rPr>
                <w:b/>
              </w:rPr>
              <w:t>Behavioural indicators</w:t>
            </w:r>
          </w:p>
        </w:tc>
        <w:tc>
          <w:tcPr>
            <w:tcW w:w="1606" w:type="dxa"/>
            <w:tcBorders>
              <w:bottom w:val="single" w:sz="12" w:space="0" w:color="auto"/>
            </w:tcBorders>
            <w:shd w:val="clear" w:color="auto" w:fill="BCBEC0"/>
          </w:tcPr>
          <w:p w14:paraId="455F99C4" w14:textId="77777777" w:rsidR="0043493B" w:rsidRDefault="0043493B" w:rsidP="00DB5773">
            <w:pPr>
              <w:pStyle w:val="TableText"/>
              <w:keepNext/>
              <w:jc w:val="both"/>
              <w:rPr>
                <w:b/>
              </w:rPr>
            </w:pPr>
            <w:r>
              <w:rPr>
                <w:b/>
              </w:rPr>
              <w:t xml:space="preserve">Level </w:t>
            </w:r>
          </w:p>
        </w:tc>
      </w:tr>
      <w:tr w:rsidR="0043493B" w:rsidRPr="00C978B9" w14:paraId="04B652A7" w14:textId="77777777" w:rsidTr="00DB5773">
        <w:tc>
          <w:tcPr>
            <w:tcW w:w="1406" w:type="dxa"/>
            <w:vMerge w:val="restart"/>
            <w:tcBorders>
              <w:bottom w:val="single" w:sz="4" w:space="0" w:color="BCBEC0"/>
            </w:tcBorders>
          </w:tcPr>
          <w:p w14:paraId="6E83A8D3" w14:textId="77777777" w:rsidR="0043493B" w:rsidRDefault="0043493B" w:rsidP="00DB5773">
            <w:pPr>
              <w:keepNext/>
            </w:pPr>
          </w:p>
          <w:p w14:paraId="4BF09579" w14:textId="213FCDFF" w:rsidR="0043493B" w:rsidRPr="00C978B9" w:rsidRDefault="0043493B" w:rsidP="00DB5773">
            <w:pPr>
              <w:keepNext/>
            </w:pPr>
            <w:r>
              <w:rPr>
                <w:noProof/>
                <w:lang w:eastAsia="en-AU"/>
              </w:rPr>
              <w:drawing>
                <wp:inline distT="0" distB="0" distL="0" distR="0" wp14:anchorId="4BA9D7EF" wp14:editId="375A60C9">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7A30F4F" w14:textId="77777777" w:rsidR="0043493B" w:rsidRPr="00A8226F" w:rsidRDefault="0043493B" w:rsidP="00DB5773">
            <w:pPr>
              <w:pStyle w:val="TableText"/>
              <w:keepNext/>
              <w:rPr>
                <w:b/>
              </w:rPr>
            </w:pPr>
            <w:r>
              <w:rPr>
                <w:b/>
              </w:rPr>
              <w:t>Manage Self</w:t>
            </w:r>
          </w:p>
          <w:p w14:paraId="758F270F" w14:textId="77777777" w:rsidR="0043493B" w:rsidRPr="00AA57E3" w:rsidRDefault="0043493B" w:rsidP="00DB5773">
            <w:pPr>
              <w:pStyle w:val="TableText"/>
              <w:keepNext/>
            </w:pPr>
            <w:r>
              <w:t>Show drive and motivation, an ability to self-reflect and a commitment to learning</w:t>
            </w:r>
          </w:p>
        </w:tc>
        <w:tc>
          <w:tcPr>
            <w:tcW w:w="4770" w:type="dxa"/>
            <w:tcBorders>
              <w:bottom w:val="single" w:sz="4" w:space="0" w:color="BCBEC0"/>
            </w:tcBorders>
          </w:tcPr>
          <w:p w14:paraId="0FDA50BB" w14:textId="77777777" w:rsidR="0043493B" w:rsidRPr="00AA57E3" w:rsidRDefault="0043493B" w:rsidP="00DB5773">
            <w:pPr>
              <w:pStyle w:val="TableBullet"/>
            </w:pPr>
            <w:r>
              <w:t>Keep up to date with relevant contemporary knowledge and practices</w:t>
            </w:r>
          </w:p>
          <w:p w14:paraId="4557C729" w14:textId="77777777" w:rsidR="0043493B" w:rsidRPr="00AA57E3" w:rsidRDefault="0043493B" w:rsidP="00DB5773">
            <w:pPr>
              <w:pStyle w:val="TableBullet"/>
            </w:pPr>
            <w:r>
              <w:t>Look for and take advantage of opportunities to learn new skills and develop strengths</w:t>
            </w:r>
          </w:p>
          <w:p w14:paraId="538056B2" w14:textId="77777777" w:rsidR="0043493B" w:rsidRPr="00AA57E3" w:rsidRDefault="0043493B" w:rsidP="00DB5773">
            <w:pPr>
              <w:pStyle w:val="TableBullet"/>
            </w:pPr>
            <w:r>
              <w:t>Show commitment to achieving challenging goals</w:t>
            </w:r>
          </w:p>
          <w:p w14:paraId="7D8ACC98" w14:textId="77777777" w:rsidR="0043493B" w:rsidRPr="00AA57E3" w:rsidRDefault="0043493B" w:rsidP="00DB5773">
            <w:pPr>
              <w:pStyle w:val="TableBullet"/>
            </w:pPr>
            <w:r>
              <w:t>Examine and reflect on own performance</w:t>
            </w:r>
          </w:p>
          <w:p w14:paraId="50D7CC91" w14:textId="77777777" w:rsidR="0043493B" w:rsidRPr="00AA57E3" w:rsidRDefault="0043493B" w:rsidP="00DB5773">
            <w:pPr>
              <w:pStyle w:val="TableBullet"/>
            </w:pPr>
            <w:r>
              <w:t>Seek and respond positively to constructive feedback and guidance</w:t>
            </w:r>
          </w:p>
          <w:p w14:paraId="01CFBF81" w14:textId="77777777" w:rsidR="0043493B" w:rsidRPr="00AA57E3" w:rsidRDefault="0043493B" w:rsidP="00DB5773">
            <w:pPr>
              <w:pStyle w:val="TableBullet"/>
            </w:pPr>
            <w:r>
              <w:t>Demonstrate and maintain a high level of personal motivation</w:t>
            </w:r>
          </w:p>
        </w:tc>
        <w:tc>
          <w:tcPr>
            <w:tcW w:w="1606" w:type="dxa"/>
            <w:tcBorders>
              <w:bottom w:val="single" w:sz="4" w:space="0" w:color="BCBEC0"/>
            </w:tcBorders>
          </w:tcPr>
          <w:p w14:paraId="19F26FC3" w14:textId="77777777" w:rsidR="0043493B" w:rsidRDefault="0043493B" w:rsidP="00DB5773">
            <w:pPr>
              <w:pStyle w:val="TableBullet"/>
              <w:numPr>
                <w:ilvl w:val="0"/>
                <w:numId w:val="0"/>
              </w:numPr>
              <w:jc w:val="both"/>
            </w:pPr>
            <w:r>
              <w:t>Adept</w:t>
            </w:r>
          </w:p>
        </w:tc>
      </w:tr>
      <w:tr w:rsidR="0043493B" w:rsidRPr="00C978B9" w14:paraId="4FFE044F" w14:textId="77777777" w:rsidTr="00DB5773">
        <w:tc>
          <w:tcPr>
            <w:tcW w:w="1406" w:type="dxa"/>
            <w:vMerge w:val="restart"/>
            <w:tcBorders>
              <w:bottom w:val="single" w:sz="4" w:space="0" w:color="BCBEC0"/>
            </w:tcBorders>
          </w:tcPr>
          <w:p w14:paraId="618D8DBC" w14:textId="77777777" w:rsidR="0043493B" w:rsidRDefault="0043493B" w:rsidP="00DB5773">
            <w:pPr>
              <w:keepNext/>
            </w:pPr>
          </w:p>
          <w:p w14:paraId="0E834090" w14:textId="658372BE" w:rsidR="0043493B" w:rsidRPr="00C978B9" w:rsidRDefault="0043493B" w:rsidP="00DB5773">
            <w:pPr>
              <w:keepNext/>
            </w:pPr>
            <w:r>
              <w:rPr>
                <w:noProof/>
                <w:lang w:eastAsia="en-AU"/>
              </w:rPr>
              <w:drawing>
                <wp:inline distT="0" distB="0" distL="0" distR="0" wp14:anchorId="4DCDDBFE" wp14:editId="18A3F890">
                  <wp:extent cx="838200" cy="83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5C5090EE" w14:textId="77777777" w:rsidR="0043493B" w:rsidRPr="00A8226F" w:rsidRDefault="0043493B" w:rsidP="00DB5773">
            <w:pPr>
              <w:pStyle w:val="TableText"/>
              <w:keepNext/>
              <w:rPr>
                <w:b/>
              </w:rPr>
            </w:pPr>
            <w:r>
              <w:rPr>
                <w:b/>
              </w:rPr>
              <w:t>Communicate Effectively</w:t>
            </w:r>
          </w:p>
          <w:p w14:paraId="19D4D248" w14:textId="77777777" w:rsidR="0043493B" w:rsidRPr="00AA57E3" w:rsidRDefault="0043493B" w:rsidP="00DB5773">
            <w:pPr>
              <w:pStyle w:val="TableText"/>
              <w:keepNext/>
            </w:pPr>
            <w:r>
              <w:t>Communicate clearly, actively listen to others, and respond with understanding and respect</w:t>
            </w:r>
          </w:p>
        </w:tc>
        <w:tc>
          <w:tcPr>
            <w:tcW w:w="4770" w:type="dxa"/>
            <w:tcBorders>
              <w:bottom w:val="single" w:sz="4" w:space="0" w:color="BCBEC0"/>
            </w:tcBorders>
          </w:tcPr>
          <w:p w14:paraId="1493C324" w14:textId="77777777" w:rsidR="0043493B" w:rsidRPr="00AA57E3" w:rsidRDefault="0043493B" w:rsidP="00DB5773">
            <w:pPr>
              <w:pStyle w:val="TableBullet"/>
            </w:pPr>
            <w:r>
              <w:t>Tailor communication to diverse audiences</w:t>
            </w:r>
          </w:p>
          <w:p w14:paraId="03B1EB49" w14:textId="77777777" w:rsidR="0043493B" w:rsidRPr="00AA57E3" w:rsidRDefault="0043493B" w:rsidP="00DB5773">
            <w:pPr>
              <w:pStyle w:val="TableBullet"/>
            </w:pPr>
            <w:r>
              <w:t>Clearly explain complex concepts and arguments to individuals and groups</w:t>
            </w:r>
          </w:p>
          <w:p w14:paraId="5B9C13A1" w14:textId="77777777" w:rsidR="0043493B" w:rsidRPr="00AA57E3" w:rsidRDefault="0043493B" w:rsidP="00DB5773">
            <w:pPr>
              <w:pStyle w:val="TableBullet"/>
            </w:pPr>
            <w:r>
              <w:t>Create opportunities for others to be heard, listen attentively and encourage them to express their views</w:t>
            </w:r>
          </w:p>
          <w:p w14:paraId="0DA9E59A" w14:textId="77777777" w:rsidR="0043493B" w:rsidRPr="00AA57E3" w:rsidRDefault="0043493B" w:rsidP="00DB5773">
            <w:pPr>
              <w:pStyle w:val="TableBullet"/>
            </w:pPr>
            <w:r>
              <w:t>Share information across teams and units to enable informed decision making</w:t>
            </w:r>
          </w:p>
          <w:p w14:paraId="49D9FDD1" w14:textId="77777777" w:rsidR="0043493B" w:rsidRPr="00AA57E3" w:rsidRDefault="0043493B" w:rsidP="00DB5773">
            <w:pPr>
              <w:pStyle w:val="TableBullet"/>
            </w:pPr>
            <w:r>
              <w:t>Write fluently in plain English and in a range of styles and formats</w:t>
            </w:r>
          </w:p>
          <w:p w14:paraId="4AEB0F98" w14:textId="77777777" w:rsidR="0043493B" w:rsidRPr="00AA57E3" w:rsidRDefault="0043493B" w:rsidP="00DB5773">
            <w:pPr>
              <w:pStyle w:val="TableBullet"/>
            </w:pPr>
            <w:r>
              <w:t>Use contemporary communication channels to share information, engage and interact with diverse audiences</w:t>
            </w:r>
          </w:p>
        </w:tc>
        <w:tc>
          <w:tcPr>
            <w:tcW w:w="1606" w:type="dxa"/>
            <w:tcBorders>
              <w:bottom w:val="single" w:sz="4" w:space="0" w:color="BCBEC0"/>
            </w:tcBorders>
          </w:tcPr>
          <w:p w14:paraId="36C21DCD" w14:textId="77777777" w:rsidR="0043493B" w:rsidRDefault="0043493B" w:rsidP="00DB5773">
            <w:pPr>
              <w:pStyle w:val="TableBullet"/>
              <w:numPr>
                <w:ilvl w:val="0"/>
                <w:numId w:val="0"/>
              </w:numPr>
              <w:jc w:val="both"/>
            </w:pPr>
            <w:r>
              <w:t>Adept</w:t>
            </w:r>
          </w:p>
        </w:tc>
      </w:tr>
      <w:tr w:rsidR="0043493B" w:rsidRPr="00C978B9" w14:paraId="54811E6F" w14:textId="77777777" w:rsidTr="00DB5773">
        <w:tc>
          <w:tcPr>
            <w:tcW w:w="1406" w:type="dxa"/>
            <w:vMerge/>
            <w:tcBorders>
              <w:bottom w:val="single" w:sz="4" w:space="0" w:color="BCBEC0"/>
            </w:tcBorders>
          </w:tcPr>
          <w:p w14:paraId="5EF82570" w14:textId="77777777" w:rsidR="0043493B" w:rsidRDefault="0043493B" w:rsidP="00DB5773">
            <w:pPr>
              <w:keepNext/>
              <w:rPr>
                <w:noProof/>
                <w:lang w:eastAsia="en-AU"/>
              </w:rPr>
            </w:pPr>
          </w:p>
        </w:tc>
        <w:tc>
          <w:tcPr>
            <w:tcW w:w="2971" w:type="dxa"/>
            <w:gridSpan w:val="2"/>
            <w:tcBorders>
              <w:bottom w:val="single" w:sz="4" w:space="0" w:color="BCBEC0"/>
            </w:tcBorders>
          </w:tcPr>
          <w:p w14:paraId="70C11240" w14:textId="77777777" w:rsidR="0043493B" w:rsidRPr="00A8226F" w:rsidRDefault="0043493B" w:rsidP="00DB5773">
            <w:pPr>
              <w:pStyle w:val="TableText"/>
              <w:keepNext/>
              <w:rPr>
                <w:b/>
              </w:rPr>
            </w:pPr>
            <w:r>
              <w:rPr>
                <w:b/>
              </w:rPr>
              <w:t>Influence and Negotiate</w:t>
            </w:r>
          </w:p>
          <w:p w14:paraId="39E615EA" w14:textId="77777777" w:rsidR="0043493B" w:rsidRPr="00A8226F" w:rsidRDefault="0043493B" w:rsidP="00DB5773">
            <w:pPr>
              <w:pStyle w:val="TableText"/>
              <w:keepNext/>
              <w:rPr>
                <w:b/>
              </w:rPr>
            </w:pPr>
            <w:r>
              <w:t>Gain consensus and commitment from others, and resolve issues and conflicts</w:t>
            </w:r>
          </w:p>
        </w:tc>
        <w:tc>
          <w:tcPr>
            <w:tcW w:w="4770" w:type="dxa"/>
            <w:tcBorders>
              <w:bottom w:val="single" w:sz="4" w:space="0" w:color="BCBEC0"/>
            </w:tcBorders>
          </w:tcPr>
          <w:p w14:paraId="4AE384CE" w14:textId="77777777" w:rsidR="0043493B" w:rsidRDefault="0043493B" w:rsidP="00DB5773">
            <w:pPr>
              <w:pStyle w:val="TableBullet"/>
            </w:pPr>
            <w:r>
              <w:t>Use facts, knowledge and experience to support recommendations</w:t>
            </w:r>
          </w:p>
          <w:p w14:paraId="156AA1AA" w14:textId="77777777" w:rsidR="0043493B" w:rsidRDefault="0043493B" w:rsidP="00DB5773">
            <w:pPr>
              <w:pStyle w:val="TableBullet"/>
            </w:pPr>
            <w:r>
              <w:t>Work towards positive and mutually satisfactory outcomes</w:t>
            </w:r>
          </w:p>
          <w:p w14:paraId="36C8AD88" w14:textId="77777777" w:rsidR="0043493B" w:rsidRDefault="0043493B" w:rsidP="00DB5773">
            <w:pPr>
              <w:pStyle w:val="TableBullet"/>
            </w:pPr>
            <w:r>
              <w:t>Identify and resolve issues in discussion with other staff and stakeholders</w:t>
            </w:r>
          </w:p>
          <w:p w14:paraId="4BB60BC7" w14:textId="77777777" w:rsidR="0043493B" w:rsidRDefault="0043493B" w:rsidP="00DB5773">
            <w:pPr>
              <w:pStyle w:val="TableBullet"/>
            </w:pPr>
            <w:r>
              <w:t>Identify others’ concerns and expectations</w:t>
            </w:r>
          </w:p>
          <w:p w14:paraId="21EEB52D" w14:textId="77777777" w:rsidR="0043493B" w:rsidRDefault="0043493B" w:rsidP="00DB5773">
            <w:pPr>
              <w:pStyle w:val="TableBullet"/>
            </w:pPr>
            <w:r>
              <w:t>Respond constructively to conflict and disagreements and be open to compromise</w:t>
            </w:r>
          </w:p>
          <w:p w14:paraId="5DA937B1" w14:textId="77777777" w:rsidR="0043493B" w:rsidRDefault="0043493B" w:rsidP="00DB5773">
            <w:pPr>
              <w:pStyle w:val="TableBullet"/>
            </w:pPr>
            <w:r>
              <w:t>Keep discussions focused on the key issues</w:t>
            </w:r>
          </w:p>
        </w:tc>
        <w:tc>
          <w:tcPr>
            <w:tcW w:w="1606" w:type="dxa"/>
            <w:tcBorders>
              <w:bottom w:val="single" w:sz="4" w:space="0" w:color="BCBEC0"/>
            </w:tcBorders>
          </w:tcPr>
          <w:p w14:paraId="3FCA71EB" w14:textId="77777777" w:rsidR="0043493B" w:rsidRDefault="0043493B" w:rsidP="00DB5773">
            <w:pPr>
              <w:pStyle w:val="TableBullet"/>
              <w:numPr>
                <w:ilvl w:val="0"/>
                <w:numId w:val="0"/>
              </w:numPr>
              <w:jc w:val="both"/>
            </w:pPr>
            <w:r>
              <w:t>Intermediate</w:t>
            </w:r>
          </w:p>
        </w:tc>
      </w:tr>
      <w:tr w:rsidR="0043493B" w:rsidRPr="00C978B9" w14:paraId="0C14E3D3" w14:textId="77777777" w:rsidTr="00DB5773">
        <w:tc>
          <w:tcPr>
            <w:tcW w:w="1406" w:type="dxa"/>
            <w:vMerge w:val="restart"/>
            <w:tcBorders>
              <w:bottom w:val="single" w:sz="4" w:space="0" w:color="BCBEC0"/>
            </w:tcBorders>
          </w:tcPr>
          <w:p w14:paraId="78796EE6" w14:textId="77777777" w:rsidR="0043493B" w:rsidRDefault="0043493B" w:rsidP="00DB5773">
            <w:pPr>
              <w:keepNext/>
            </w:pPr>
          </w:p>
          <w:p w14:paraId="65A060F1" w14:textId="731C13B2" w:rsidR="0043493B" w:rsidRPr="00C978B9" w:rsidRDefault="0043493B" w:rsidP="00DB5773">
            <w:pPr>
              <w:keepNext/>
            </w:pPr>
            <w:r>
              <w:rPr>
                <w:noProof/>
                <w:lang w:eastAsia="en-AU"/>
              </w:rPr>
              <w:drawing>
                <wp:inline distT="0" distB="0" distL="0" distR="0" wp14:anchorId="6D7D75E3" wp14:editId="5A9A78E0">
                  <wp:extent cx="838200"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54B3F343" w14:textId="77777777" w:rsidR="0043493B" w:rsidRPr="00A8226F" w:rsidRDefault="0043493B" w:rsidP="00DB5773">
            <w:pPr>
              <w:pStyle w:val="TableText"/>
              <w:keepNext/>
              <w:rPr>
                <w:b/>
              </w:rPr>
            </w:pPr>
            <w:r>
              <w:rPr>
                <w:b/>
              </w:rPr>
              <w:t>Deliver Results</w:t>
            </w:r>
          </w:p>
          <w:p w14:paraId="168838E5" w14:textId="77777777" w:rsidR="0043493B" w:rsidRPr="00AA57E3" w:rsidRDefault="0043493B" w:rsidP="00DB5773">
            <w:pPr>
              <w:pStyle w:val="TableText"/>
              <w:keepNext/>
            </w:pPr>
            <w:r>
              <w:t>Achieve results through the efficient use of resources and a commitment to quality outcomes</w:t>
            </w:r>
          </w:p>
        </w:tc>
        <w:tc>
          <w:tcPr>
            <w:tcW w:w="4770" w:type="dxa"/>
            <w:tcBorders>
              <w:bottom w:val="single" w:sz="4" w:space="0" w:color="BCBEC0"/>
            </w:tcBorders>
          </w:tcPr>
          <w:p w14:paraId="02FB5DB8" w14:textId="77777777" w:rsidR="0043493B" w:rsidRPr="00AA57E3" w:rsidRDefault="0043493B" w:rsidP="00DB5773">
            <w:pPr>
              <w:pStyle w:val="TableBullet"/>
            </w:pPr>
            <w:r>
              <w:t>Use own and others’ expertise to achieve outcomes, and take responsibility for delivering intended outcomes</w:t>
            </w:r>
          </w:p>
          <w:p w14:paraId="00471BFD" w14:textId="77777777" w:rsidR="0043493B" w:rsidRPr="00AA57E3" w:rsidRDefault="0043493B" w:rsidP="00DB5773">
            <w:pPr>
              <w:pStyle w:val="TableBullet"/>
            </w:pPr>
            <w:r>
              <w:t>Make sure staff understand expected goals and acknowledge staff success in achieving these</w:t>
            </w:r>
          </w:p>
          <w:p w14:paraId="4309589B" w14:textId="77777777" w:rsidR="0043493B" w:rsidRPr="00AA57E3" w:rsidRDefault="0043493B" w:rsidP="00DB5773">
            <w:pPr>
              <w:pStyle w:val="TableBullet"/>
            </w:pPr>
            <w:r>
              <w:t>Identify resource needs and ensure goals are achieved within set budgets and deadlines</w:t>
            </w:r>
          </w:p>
          <w:p w14:paraId="58991CC6" w14:textId="77777777" w:rsidR="0043493B" w:rsidRPr="00AA57E3" w:rsidRDefault="0043493B" w:rsidP="00DB5773">
            <w:pPr>
              <w:pStyle w:val="TableBullet"/>
            </w:pPr>
            <w:r>
              <w:t>Use business data to evaluate outcomes and inform continuous improvement</w:t>
            </w:r>
          </w:p>
          <w:p w14:paraId="04F1CC26" w14:textId="77777777" w:rsidR="0043493B" w:rsidRPr="00AA57E3" w:rsidRDefault="0043493B" w:rsidP="00DB5773">
            <w:pPr>
              <w:pStyle w:val="TableBullet"/>
            </w:pPr>
            <w:r>
              <w:t>Identify priorities that need to change and ensure the allocation of resources meets new business needs</w:t>
            </w:r>
          </w:p>
          <w:p w14:paraId="4B3176B7" w14:textId="77777777" w:rsidR="0043493B" w:rsidRPr="00AA57E3" w:rsidRDefault="0043493B" w:rsidP="00DB5773">
            <w:pPr>
              <w:pStyle w:val="TableBullet"/>
            </w:pPr>
            <w:r>
              <w:lastRenderedPageBreak/>
              <w:t>Ensure that the financial implications of changed priorities are explicit and budgeted for</w:t>
            </w:r>
          </w:p>
        </w:tc>
        <w:tc>
          <w:tcPr>
            <w:tcW w:w="1606" w:type="dxa"/>
            <w:tcBorders>
              <w:bottom w:val="single" w:sz="4" w:space="0" w:color="BCBEC0"/>
            </w:tcBorders>
          </w:tcPr>
          <w:p w14:paraId="43A42B10" w14:textId="77777777" w:rsidR="0043493B" w:rsidRDefault="0043493B" w:rsidP="00DB5773">
            <w:pPr>
              <w:pStyle w:val="TableBullet"/>
              <w:numPr>
                <w:ilvl w:val="0"/>
                <w:numId w:val="0"/>
              </w:numPr>
              <w:jc w:val="both"/>
            </w:pPr>
            <w:r>
              <w:lastRenderedPageBreak/>
              <w:t>Adept</w:t>
            </w:r>
          </w:p>
        </w:tc>
      </w:tr>
      <w:tr w:rsidR="0043493B" w:rsidRPr="00C978B9" w14:paraId="2757644A" w14:textId="77777777" w:rsidTr="00DB5773">
        <w:tc>
          <w:tcPr>
            <w:tcW w:w="1406" w:type="dxa"/>
            <w:vMerge/>
            <w:tcBorders>
              <w:bottom w:val="single" w:sz="4" w:space="0" w:color="BCBEC0"/>
            </w:tcBorders>
          </w:tcPr>
          <w:p w14:paraId="1874D56B" w14:textId="77777777" w:rsidR="0043493B" w:rsidRDefault="0043493B" w:rsidP="00DB5773">
            <w:pPr>
              <w:keepNext/>
              <w:rPr>
                <w:noProof/>
                <w:lang w:eastAsia="en-AU"/>
              </w:rPr>
            </w:pPr>
          </w:p>
        </w:tc>
        <w:tc>
          <w:tcPr>
            <w:tcW w:w="2971" w:type="dxa"/>
            <w:gridSpan w:val="2"/>
            <w:tcBorders>
              <w:bottom w:val="single" w:sz="4" w:space="0" w:color="BCBEC0"/>
            </w:tcBorders>
          </w:tcPr>
          <w:p w14:paraId="552C3373" w14:textId="77777777" w:rsidR="0043493B" w:rsidRPr="00A8226F" w:rsidRDefault="0043493B" w:rsidP="00DB5773">
            <w:pPr>
              <w:pStyle w:val="TableText"/>
              <w:keepNext/>
              <w:rPr>
                <w:b/>
              </w:rPr>
            </w:pPr>
            <w:r>
              <w:rPr>
                <w:b/>
              </w:rPr>
              <w:t>Think and Solve Problems</w:t>
            </w:r>
          </w:p>
          <w:p w14:paraId="1BBEAADB" w14:textId="77777777" w:rsidR="0043493B" w:rsidRPr="00A8226F" w:rsidRDefault="0043493B" w:rsidP="00DB5773">
            <w:pPr>
              <w:pStyle w:val="TableText"/>
              <w:keepNext/>
              <w:rPr>
                <w:b/>
              </w:rPr>
            </w:pPr>
            <w:r>
              <w:t>Think, analyse and consider the broader context to develop practical solutions</w:t>
            </w:r>
          </w:p>
        </w:tc>
        <w:tc>
          <w:tcPr>
            <w:tcW w:w="4770" w:type="dxa"/>
            <w:tcBorders>
              <w:bottom w:val="single" w:sz="4" w:space="0" w:color="BCBEC0"/>
            </w:tcBorders>
          </w:tcPr>
          <w:p w14:paraId="7CAD527F" w14:textId="77777777" w:rsidR="0043493B" w:rsidRDefault="0043493B" w:rsidP="00DB5773">
            <w:pPr>
              <w:pStyle w:val="TableBullet"/>
            </w:pPr>
            <w:r>
              <w:t>Research and apply critical-thinking techniques in analysing information, identify interrelationships and make recommendations based on relevant evidence</w:t>
            </w:r>
          </w:p>
          <w:p w14:paraId="2042C228" w14:textId="77777777" w:rsidR="0043493B" w:rsidRDefault="0043493B" w:rsidP="00DB5773">
            <w:pPr>
              <w:pStyle w:val="TableBullet"/>
            </w:pPr>
            <w:r>
              <w:t>Anticipate, identify and address issues and potential problems that may have an impact on organisational objectives and the user experience</w:t>
            </w:r>
          </w:p>
          <w:p w14:paraId="3C1F414A" w14:textId="77777777" w:rsidR="0043493B" w:rsidRDefault="0043493B" w:rsidP="00DB5773">
            <w:pPr>
              <w:pStyle w:val="TableBullet"/>
            </w:pPr>
            <w:r>
              <w:t>Apply creative-thinking techniques to generate new ideas and options to address issues and improve the user experience</w:t>
            </w:r>
          </w:p>
          <w:p w14:paraId="161875AC" w14:textId="77777777" w:rsidR="0043493B" w:rsidRDefault="0043493B" w:rsidP="00DB5773">
            <w:pPr>
              <w:pStyle w:val="TableBullet"/>
            </w:pPr>
            <w:r>
              <w:t>Seek contributions and ideas from people with diverse backgrounds and experience</w:t>
            </w:r>
          </w:p>
          <w:p w14:paraId="43670D65" w14:textId="77777777" w:rsidR="0043493B" w:rsidRDefault="0043493B" w:rsidP="00DB5773">
            <w:pPr>
              <w:pStyle w:val="TableBullet"/>
            </w:pPr>
            <w:r>
              <w:t>Participate in and contribute to team or unit initiatives to resolve common issues or barriers to effectiveness</w:t>
            </w:r>
          </w:p>
          <w:p w14:paraId="6379A139" w14:textId="77777777" w:rsidR="0043493B" w:rsidRDefault="0043493B" w:rsidP="00DB5773">
            <w:pPr>
              <w:pStyle w:val="TableBullet"/>
            </w:pPr>
            <w:r>
              <w:t>Identify and share business process improvements to enhance effectiveness</w:t>
            </w:r>
          </w:p>
        </w:tc>
        <w:tc>
          <w:tcPr>
            <w:tcW w:w="1606" w:type="dxa"/>
            <w:tcBorders>
              <w:bottom w:val="single" w:sz="4" w:space="0" w:color="BCBEC0"/>
            </w:tcBorders>
          </w:tcPr>
          <w:p w14:paraId="4C2AF720" w14:textId="77777777" w:rsidR="0043493B" w:rsidRDefault="0043493B" w:rsidP="00DB5773">
            <w:pPr>
              <w:pStyle w:val="TableBullet"/>
              <w:numPr>
                <w:ilvl w:val="0"/>
                <w:numId w:val="0"/>
              </w:numPr>
              <w:jc w:val="both"/>
            </w:pPr>
            <w:r>
              <w:t>Adept</w:t>
            </w:r>
          </w:p>
        </w:tc>
      </w:tr>
      <w:tr w:rsidR="0043493B" w:rsidRPr="00C978B9" w14:paraId="22AD6693" w14:textId="77777777" w:rsidTr="00DB5773">
        <w:tc>
          <w:tcPr>
            <w:tcW w:w="1406" w:type="dxa"/>
            <w:vMerge w:val="restart"/>
            <w:tcBorders>
              <w:bottom w:val="single" w:sz="4" w:space="0" w:color="BCBEC0"/>
            </w:tcBorders>
          </w:tcPr>
          <w:p w14:paraId="5EAF204E" w14:textId="77777777" w:rsidR="0043493B" w:rsidRDefault="0043493B" w:rsidP="00DB5773">
            <w:pPr>
              <w:keepNext/>
            </w:pPr>
          </w:p>
          <w:p w14:paraId="7F773DBA" w14:textId="2D9A6F56" w:rsidR="0043493B" w:rsidRPr="00C978B9" w:rsidRDefault="0043493B" w:rsidP="00DB5773">
            <w:pPr>
              <w:keepNext/>
            </w:pPr>
            <w:r>
              <w:rPr>
                <w:noProof/>
                <w:lang w:eastAsia="en-AU"/>
              </w:rPr>
              <w:drawing>
                <wp:inline distT="0" distB="0" distL="0" distR="0" wp14:anchorId="012084C6" wp14:editId="51F7E1B3">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C881045" w14:textId="77777777" w:rsidR="0043493B" w:rsidRPr="00A8226F" w:rsidRDefault="0043493B" w:rsidP="00DB5773">
            <w:pPr>
              <w:pStyle w:val="TableText"/>
              <w:keepNext/>
              <w:rPr>
                <w:b/>
              </w:rPr>
            </w:pPr>
            <w:r>
              <w:rPr>
                <w:b/>
              </w:rPr>
              <w:t>Project Management</w:t>
            </w:r>
          </w:p>
          <w:p w14:paraId="2AE4D8BF" w14:textId="77777777" w:rsidR="0043493B" w:rsidRPr="00AA57E3" w:rsidRDefault="0043493B" w:rsidP="00DB5773">
            <w:pPr>
              <w:pStyle w:val="TableText"/>
              <w:keepNext/>
            </w:pPr>
            <w:r>
              <w:t>Understand and apply effective planning, coordination and control methods</w:t>
            </w:r>
          </w:p>
        </w:tc>
        <w:tc>
          <w:tcPr>
            <w:tcW w:w="4770" w:type="dxa"/>
            <w:tcBorders>
              <w:bottom w:val="single" w:sz="4" w:space="0" w:color="BCBEC0"/>
            </w:tcBorders>
          </w:tcPr>
          <w:p w14:paraId="285BDB46" w14:textId="77777777" w:rsidR="0043493B" w:rsidRPr="00AA57E3" w:rsidRDefault="0043493B" w:rsidP="00DB5773">
            <w:pPr>
              <w:pStyle w:val="TableBullet"/>
            </w:pPr>
            <w:r>
              <w:t>Understand all components of the project management process, including the need to consider change management to realise business benefits</w:t>
            </w:r>
          </w:p>
          <w:p w14:paraId="66F7D5A2" w14:textId="77777777" w:rsidR="0043493B" w:rsidRPr="00AA57E3" w:rsidRDefault="0043493B" w:rsidP="00DB5773">
            <w:pPr>
              <w:pStyle w:val="TableBullet"/>
            </w:pPr>
            <w:r>
              <w:t>Prepare clear project proposals and accurate estimates of required costs and resources</w:t>
            </w:r>
          </w:p>
          <w:p w14:paraId="4CCB9373" w14:textId="77777777" w:rsidR="0043493B" w:rsidRPr="00AA57E3" w:rsidRDefault="0043493B" w:rsidP="00DB5773">
            <w:pPr>
              <w:pStyle w:val="TableBullet"/>
            </w:pPr>
            <w:r>
              <w:t>Establish performance outcomes and measures for key project goals, and define monitoring, reporting and communication requirements</w:t>
            </w:r>
          </w:p>
          <w:p w14:paraId="38E47653" w14:textId="77777777" w:rsidR="0043493B" w:rsidRPr="00AA57E3" w:rsidRDefault="0043493B" w:rsidP="00DB5773">
            <w:pPr>
              <w:pStyle w:val="TableBullet"/>
            </w:pPr>
            <w:r>
              <w:t>Identify and evaluate risks associated with the project and develop mitigation strategies</w:t>
            </w:r>
          </w:p>
          <w:p w14:paraId="2F9C15EF" w14:textId="77777777" w:rsidR="0043493B" w:rsidRPr="00AA57E3" w:rsidRDefault="0043493B" w:rsidP="00DB5773">
            <w:pPr>
              <w:pStyle w:val="TableBullet"/>
            </w:pPr>
            <w:r>
              <w:t>Identify and consult stakeholders to inform the project strategy</w:t>
            </w:r>
          </w:p>
          <w:p w14:paraId="12024C1E" w14:textId="77777777" w:rsidR="0043493B" w:rsidRPr="00AA57E3" w:rsidRDefault="0043493B" w:rsidP="00DB5773">
            <w:pPr>
              <w:pStyle w:val="TableBullet"/>
            </w:pPr>
            <w:r>
              <w:t>Communicate the project’s objectives and its expected benefits</w:t>
            </w:r>
          </w:p>
          <w:p w14:paraId="7D2EC9A6" w14:textId="77777777" w:rsidR="0043493B" w:rsidRPr="00AA57E3" w:rsidRDefault="0043493B" w:rsidP="00DB5773">
            <w:pPr>
              <w:pStyle w:val="TableBullet"/>
            </w:pPr>
            <w:r>
              <w:t>Monitor the completion of project milestones against goals and take necessary action</w:t>
            </w:r>
          </w:p>
          <w:p w14:paraId="06FAF2B3" w14:textId="77777777" w:rsidR="0043493B" w:rsidRPr="00AA57E3" w:rsidRDefault="0043493B" w:rsidP="00DB5773">
            <w:pPr>
              <w:pStyle w:val="TableBullet"/>
            </w:pPr>
            <w:r>
              <w:t>Evaluate progress and identify improvements to inform future projects</w:t>
            </w:r>
          </w:p>
        </w:tc>
        <w:tc>
          <w:tcPr>
            <w:tcW w:w="1606" w:type="dxa"/>
            <w:tcBorders>
              <w:bottom w:val="single" w:sz="4" w:space="0" w:color="BCBEC0"/>
            </w:tcBorders>
          </w:tcPr>
          <w:p w14:paraId="643D6736" w14:textId="77777777" w:rsidR="0043493B" w:rsidRDefault="0043493B" w:rsidP="00DB5773">
            <w:pPr>
              <w:pStyle w:val="TableBullet"/>
              <w:numPr>
                <w:ilvl w:val="0"/>
                <w:numId w:val="0"/>
              </w:numPr>
              <w:jc w:val="both"/>
            </w:pPr>
            <w:r>
              <w:t>Adept</w:t>
            </w:r>
          </w:p>
        </w:tc>
      </w:tr>
    </w:tbl>
    <w:p w14:paraId="7144D4B7" w14:textId="77777777" w:rsidR="0043493B" w:rsidRDefault="0043493B" w:rsidP="0043493B"/>
    <w:p w14:paraId="78A15CF9" w14:textId="77777777" w:rsidR="0043493B" w:rsidRDefault="0043493B" w:rsidP="0043493B">
      <w:pPr>
        <w:pStyle w:val="Heading1"/>
      </w:pPr>
      <w:r>
        <w:t>Complementary capabilities</w:t>
      </w:r>
    </w:p>
    <w:p w14:paraId="6178BD42" w14:textId="77777777" w:rsidR="0043493B" w:rsidRPr="003927AE" w:rsidRDefault="0043493B" w:rsidP="0043493B">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001701B" w14:textId="77777777" w:rsidR="0043493B" w:rsidRDefault="0043493B" w:rsidP="0043493B">
      <w:pPr>
        <w:pStyle w:val="PlainText"/>
        <w:spacing w:before="62" w:line="276" w:lineRule="auto"/>
        <w:rPr>
          <w:rFonts w:ascii="Arial" w:hAnsi="Arial"/>
          <w:szCs w:val="22"/>
          <w:lang w:val="en-US"/>
        </w:rPr>
      </w:pPr>
      <w:r w:rsidRPr="003927AE">
        <w:rPr>
          <w:rFonts w:ascii="Arial" w:hAnsi="Arial"/>
          <w:szCs w:val="22"/>
          <w:lang w:val="en-US"/>
        </w:rPr>
        <w:lastRenderedPageBreak/>
        <w:t>Note: capabilities listed as ‘not essential’ for this role are not relevant for recruitment purposes however may be relevant for future career development.</w:t>
      </w:r>
    </w:p>
    <w:p w14:paraId="0236A191" w14:textId="77777777" w:rsidR="0043493B" w:rsidRDefault="0043493B" w:rsidP="0043493B">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43493B" w:rsidRPr="00803E47" w14:paraId="41C71E92" w14:textId="77777777" w:rsidTr="00DB5773">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04E0DE91" w14:textId="77777777" w:rsidR="0043493B" w:rsidRPr="00803E47" w:rsidRDefault="0043493B" w:rsidP="00DB5773">
            <w:pPr>
              <w:pStyle w:val="TableTextWhite0"/>
              <w:keepNext/>
              <w:jc w:val="both"/>
            </w:pPr>
            <w:r>
              <w:rPr>
                <w:sz w:val="24"/>
                <w:szCs w:val="24"/>
              </w:rPr>
              <w:t>COMPLEMENTARY</w:t>
            </w:r>
            <w:r w:rsidRPr="00051E80">
              <w:rPr>
                <w:sz w:val="24"/>
                <w:szCs w:val="24"/>
              </w:rPr>
              <w:t xml:space="preserve"> CAPABILITIES</w:t>
            </w:r>
          </w:p>
        </w:tc>
      </w:tr>
      <w:tr w:rsidR="0043493B" w:rsidRPr="00C978B9" w14:paraId="404428AD" w14:textId="77777777" w:rsidTr="00DB5773">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EEC92DC" w14:textId="77777777" w:rsidR="0043493B" w:rsidRPr="00C978B9" w:rsidRDefault="0043493B" w:rsidP="00DB5773">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4CAC596" w14:textId="77777777" w:rsidR="0043493B" w:rsidRPr="00C978B9" w:rsidRDefault="0043493B" w:rsidP="00DB5773">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20ABFCC" w14:textId="77777777" w:rsidR="0043493B" w:rsidRDefault="0043493B" w:rsidP="00DB5773">
            <w:pPr>
              <w:pStyle w:val="TableText"/>
              <w:keepNext/>
              <w:rPr>
                <w:b/>
              </w:rPr>
            </w:pPr>
          </w:p>
        </w:tc>
        <w:tc>
          <w:tcPr>
            <w:tcW w:w="4770" w:type="dxa"/>
            <w:tcBorders>
              <w:bottom w:val="single" w:sz="12" w:space="0" w:color="auto"/>
            </w:tcBorders>
            <w:shd w:val="clear" w:color="auto" w:fill="BCBEC0"/>
          </w:tcPr>
          <w:p w14:paraId="416CA058" w14:textId="77777777" w:rsidR="0043493B" w:rsidRDefault="0043493B" w:rsidP="00DB5773">
            <w:pPr>
              <w:pStyle w:val="TableText"/>
              <w:keepNext/>
              <w:rPr>
                <w:b/>
              </w:rPr>
            </w:pPr>
            <w:r>
              <w:rPr>
                <w:b/>
              </w:rPr>
              <w:t>Description</w:t>
            </w:r>
          </w:p>
        </w:tc>
        <w:tc>
          <w:tcPr>
            <w:tcW w:w="1606" w:type="dxa"/>
            <w:tcBorders>
              <w:bottom w:val="single" w:sz="12" w:space="0" w:color="auto"/>
            </w:tcBorders>
            <w:shd w:val="clear" w:color="auto" w:fill="BCBEC0"/>
          </w:tcPr>
          <w:p w14:paraId="7F502263" w14:textId="77777777" w:rsidR="0043493B" w:rsidRDefault="0043493B" w:rsidP="00DB5773">
            <w:pPr>
              <w:pStyle w:val="TableText"/>
              <w:keepNext/>
              <w:jc w:val="both"/>
              <w:rPr>
                <w:b/>
              </w:rPr>
            </w:pPr>
            <w:r>
              <w:rPr>
                <w:b/>
              </w:rPr>
              <w:t xml:space="preserve">Level </w:t>
            </w:r>
          </w:p>
        </w:tc>
      </w:tr>
      <w:tr w:rsidR="0043493B" w:rsidRPr="00C978B9" w14:paraId="5840DFE8" w14:textId="77777777" w:rsidTr="00DB5773">
        <w:tc>
          <w:tcPr>
            <w:tcW w:w="1406" w:type="dxa"/>
            <w:vMerge w:val="restart"/>
            <w:tcBorders>
              <w:bottom w:val="single" w:sz="4" w:space="0" w:color="BCBEC0"/>
            </w:tcBorders>
          </w:tcPr>
          <w:p w14:paraId="11D9404E" w14:textId="77777777" w:rsidR="0043493B" w:rsidRDefault="0043493B" w:rsidP="00DB5773">
            <w:pPr>
              <w:keepNext/>
            </w:pPr>
          </w:p>
          <w:p w14:paraId="5684A070" w14:textId="5454CEE9" w:rsidR="0043493B" w:rsidRPr="00C978B9" w:rsidRDefault="0043493B" w:rsidP="00DB5773">
            <w:pPr>
              <w:keepNext/>
            </w:pPr>
            <w:r>
              <w:rPr>
                <w:noProof/>
                <w:lang w:eastAsia="en-AU"/>
              </w:rPr>
              <w:drawing>
                <wp:inline distT="0" distB="0" distL="0" distR="0" wp14:anchorId="5792446B" wp14:editId="4B3F3EB0">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90BDA0E" w14:textId="77777777" w:rsidR="0043493B" w:rsidRPr="00AA57E3" w:rsidRDefault="0043493B" w:rsidP="00DB5773">
            <w:r>
              <w:t>Display Resilience and Courage</w:t>
            </w:r>
          </w:p>
        </w:tc>
        <w:tc>
          <w:tcPr>
            <w:tcW w:w="4770" w:type="dxa"/>
            <w:tcBorders>
              <w:bottom w:val="single" w:sz="4" w:space="0" w:color="BCBEC0"/>
            </w:tcBorders>
          </w:tcPr>
          <w:p w14:paraId="16B91E1C" w14:textId="77777777" w:rsidR="0043493B" w:rsidRPr="00AA57E3" w:rsidRDefault="0043493B" w:rsidP="00DB5773">
            <w:r>
              <w:t>Be open and honest, prepared to express your views, and willing to accept and commit to change</w:t>
            </w:r>
          </w:p>
        </w:tc>
        <w:tc>
          <w:tcPr>
            <w:tcW w:w="1606" w:type="dxa"/>
            <w:tcBorders>
              <w:bottom w:val="single" w:sz="4" w:space="0" w:color="BCBEC0"/>
            </w:tcBorders>
          </w:tcPr>
          <w:p w14:paraId="56C4D589" w14:textId="77777777" w:rsidR="0043493B" w:rsidRDefault="0043493B" w:rsidP="00DB5773">
            <w:pPr>
              <w:pStyle w:val="TableBullet"/>
              <w:numPr>
                <w:ilvl w:val="0"/>
                <w:numId w:val="0"/>
              </w:numPr>
              <w:jc w:val="both"/>
            </w:pPr>
            <w:r>
              <w:t>Intermediate</w:t>
            </w:r>
          </w:p>
        </w:tc>
      </w:tr>
      <w:tr w:rsidR="0043493B" w:rsidRPr="00C978B9" w14:paraId="1672DFD9" w14:textId="77777777" w:rsidTr="00DB5773">
        <w:tc>
          <w:tcPr>
            <w:tcW w:w="1406" w:type="dxa"/>
            <w:vMerge/>
            <w:tcBorders>
              <w:bottom w:val="single" w:sz="4" w:space="0" w:color="BCBEC0"/>
            </w:tcBorders>
          </w:tcPr>
          <w:p w14:paraId="4BDA99C7" w14:textId="77777777" w:rsidR="0043493B" w:rsidRDefault="0043493B" w:rsidP="00DB5773">
            <w:pPr>
              <w:keepNext/>
              <w:rPr>
                <w:noProof/>
                <w:lang w:eastAsia="en-AU"/>
              </w:rPr>
            </w:pPr>
          </w:p>
        </w:tc>
        <w:tc>
          <w:tcPr>
            <w:tcW w:w="2971" w:type="dxa"/>
            <w:gridSpan w:val="2"/>
            <w:tcBorders>
              <w:bottom w:val="single" w:sz="4" w:space="0" w:color="BCBEC0"/>
            </w:tcBorders>
          </w:tcPr>
          <w:p w14:paraId="1C4A409C" w14:textId="77777777" w:rsidR="0043493B" w:rsidRPr="00A8226F" w:rsidRDefault="0043493B" w:rsidP="00DB5773">
            <w:r>
              <w:t>Act with Integrity</w:t>
            </w:r>
          </w:p>
        </w:tc>
        <w:tc>
          <w:tcPr>
            <w:tcW w:w="4770" w:type="dxa"/>
            <w:tcBorders>
              <w:bottom w:val="single" w:sz="4" w:space="0" w:color="BCBEC0"/>
            </w:tcBorders>
          </w:tcPr>
          <w:p w14:paraId="679D67ED" w14:textId="77777777" w:rsidR="0043493B" w:rsidRDefault="0043493B" w:rsidP="00DB5773">
            <w:r>
              <w:t>Be ethical and professional, and uphold and promote the public sector values</w:t>
            </w:r>
          </w:p>
        </w:tc>
        <w:tc>
          <w:tcPr>
            <w:tcW w:w="1606" w:type="dxa"/>
            <w:tcBorders>
              <w:bottom w:val="single" w:sz="4" w:space="0" w:color="BCBEC0"/>
            </w:tcBorders>
          </w:tcPr>
          <w:p w14:paraId="1CA8E556" w14:textId="77777777" w:rsidR="0043493B" w:rsidRDefault="0043493B" w:rsidP="00DB5773">
            <w:pPr>
              <w:pStyle w:val="TableBullet"/>
              <w:numPr>
                <w:ilvl w:val="0"/>
                <w:numId w:val="0"/>
              </w:numPr>
              <w:jc w:val="both"/>
            </w:pPr>
            <w:r>
              <w:t>Intermediate</w:t>
            </w:r>
          </w:p>
        </w:tc>
      </w:tr>
      <w:tr w:rsidR="0043493B" w:rsidRPr="00C978B9" w14:paraId="77FA3939" w14:textId="77777777" w:rsidTr="00DB5773">
        <w:tc>
          <w:tcPr>
            <w:tcW w:w="1406" w:type="dxa"/>
            <w:vMerge/>
            <w:tcBorders>
              <w:bottom w:val="single" w:sz="4" w:space="0" w:color="BCBEC0"/>
            </w:tcBorders>
          </w:tcPr>
          <w:p w14:paraId="500245DF" w14:textId="77777777" w:rsidR="0043493B" w:rsidRDefault="0043493B" w:rsidP="00DB5773">
            <w:pPr>
              <w:keepNext/>
              <w:rPr>
                <w:noProof/>
                <w:lang w:eastAsia="en-AU"/>
              </w:rPr>
            </w:pPr>
          </w:p>
        </w:tc>
        <w:tc>
          <w:tcPr>
            <w:tcW w:w="2971" w:type="dxa"/>
            <w:gridSpan w:val="2"/>
            <w:tcBorders>
              <w:bottom w:val="single" w:sz="4" w:space="0" w:color="BCBEC0"/>
            </w:tcBorders>
          </w:tcPr>
          <w:p w14:paraId="023F6524" w14:textId="77777777" w:rsidR="0043493B" w:rsidRPr="00A8226F" w:rsidRDefault="0043493B" w:rsidP="00DB5773">
            <w:r>
              <w:t>Value Diversity and Inclusion</w:t>
            </w:r>
          </w:p>
        </w:tc>
        <w:tc>
          <w:tcPr>
            <w:tcW w:w="4770" w:type="dxa"/>
            <w:tcBorders>
              <w:bottom w:val="single" w:sz="4" w:space="0" w:color="BCBEC0"/>
            </w:tcBorders>
          </w:tcPr>
          <w:p w14:paraId="5517C37C" w14:textId="77777777" w:rsidR="0043493B" w:rsidRDefault="0043493B" w:rsidP="00DB5773">
            <w:r>
              <w:t>Demonstrate inclusive behaviour and show respect for diverse backgrounds, experiences and perspectives</w:t>
            </w:r>
          </w:p>
        </w:tc>
        <w:tc>
          <w:tcPr>
            <w:tcW w:w="1606" w:type="dxa"/>
            <w:tcBorders>
              <w:bottom w:val="single" w:sz="4" w:space="0" w:color="BCBEC0"/>
            </w:tcBorders>
          </w:tcPr>
          <w:p w14:paraId="0BB348BD" w14:textId="77777777" w:rsidR="0043493B" w:rsidRDefault="0043493B" w:rsidP="00DB5773">
            <w:pPr>
              <w:pStyle w:val="TableBullet"/>
              <w:numPr>
                <w:ilvl w:val="0"/>
                <w:numId w:val="0"/>
              </w:numPr>
              <w:jc w:val="both"/>
            </w:pPr>
            <w:r>
              <w:t>Intermediate</w:t>
            </w:r>
          </w:p>
        </w:tc>
      </w:tr>
      <w:tr w:rsidR="0043493B" w:rsidRPr="00C978B9" w14:paraId="3A2DBF43" w14:textId="77777777" w:rsidTr="00DB5773">
        <w:tc>
          <w:tcPr>
            <w:tcW w:w="1406" w:type="dxa"/>
            <w:vMerge w:val="restart"/>
            <w:tcBorders>
              <w:bottom w:val="single" w:sz="4" w:space="0" w:color="BCBEC0"/>
            </w:tcBorders>
          </w:tcPr>
          <w:p w14:paraId="5572333F" w14:textId="77777777" w:rsidR="0043493B" w:rsidRDefault="0043493B" w:rsidP="00DB5773">
            <w:pPr>
              <w:keepNext/>
            </w:pPr>
          </w:p>
          <w:p w14:paraId="1924D553" w14:textId="47BE70D5" w:rsidR="0043493B" w:rsidRPr="00C978B9" w:rsidRDefault="0043493B" w:rsidP="00DB5773">
            <w:pPr>
              <w:keepNext/>
            </w:pPr>
            <w:r>
              <w:rPr>
                <w:noProof/>
                <w:lang w:eastAsia="en-AU"/>
              </w:rPr>
              <w:drawing>
                <wp:inline distT="0" distB="0" distL="0" distR="0" wp14:anchorId="2157A852" wp14:editId="4BC7B6D9">
                  <wp:extent cx="8382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35189809" w14:textId="77777777" w:rsidR="0043493B" w:rsidRPr="00AA57E3" w:rsidRDefault="0043493B" w:rsidP="00DB5773">
            <w:r>
              <w:t>Commit to Customer Service</w:t>
            </w:r>
          </w:p>
        </w:tc>
        <w:tc>
          <w:tcPr>
            <w:tcW w:w="4770" w:type="dxa"/>
            <w:tcBorders>
              <w:bottom w:val="single" w:sz="4" w:space="0" w:color="BCBEC0"/>
            </w:tcBorders>
          </w:tcPr>
          <w:p w14:paraId="0B8D64AB" w14:textId="77777777" w:rsidR="0043493B" w:rsidRPr="00AA57E3" w:rsidRDefault="0043493B" w:rsidP="00DB5773">
            <w:r>
              <w:t>Provide customer-focused services in line with public sector and organisational objectives</w:t>
            </w:r>
          </w:p>
        </w:tc>
        <w:tc>
          <w:tcPr>
            <w:tcW w:w="1606" w:type="dxa"/>
            <w:tcBorders>
              <w:bottom w:val="single" w:sz="4" w:space="0" w:color="BCBEC0"/>
            </w:tcBorders>
          </w:tcPr>
          <w:p w14:paraId="4A5BADF7" w14:textId="77777777" w:rsidR="0043493B" w:rsidRDefault="0043493B" w:rsidP="00DB5773">
            <w:pPr>
              <w:pStyle w:val="TableBullet"/>
              <w:numPr>
                <w:ilvl w:val="0"/>
                <w:numId w:val="0"/>
              </w:numPr>
              <w:jc w:val="both"/>
            </w:pPr>
            <w:r>
              <w:t>Intermediate</w:t>
            </w:r>
          </w:p>
        </w:tc>
      </w:tr>
      <w:tr w:rsidR="0043493B" w:rsidRPr="00C978B9" w14:paraId="43538351" w14:textId="77777777" w:rsidTr="00DB5773">
        <w:tc>
          <w:tcPr>
            <w:tcW w:w="1406" w:type="dxa"/>
            <w:vMerge/>
            <w:tcBorders>
              <w:bottom w:val="single" w:sz="4" w:space="0" w:color="BCBEC0"/>
            </w:tcBorders>
          </w:tcPr>
          <w:p w14:paraId="080F41B6" w14:textId="77777777" w:rsidR="0043493B" w:rsidRDefault="0043493B" w:rsidP="00DB5773">
            <w:pPr>
              <w:keepNext/>
              <w:rPr>
                <w:noProof/>
                <w:lang w:eastAsia="en-AU"/>
              </w:rPr>
            </w:pPr>
          </w:p>
        </w:tc>
        <w:tc>
          <w:tcPr>
            <w:tcW w:w="2971" w:type="dxa"/>
            <w:gridSpan w:val="2"/>
            <w:tcBorders>
              <w:bottom w:val="single" w:sz="4" w:space="0" w:color="BCBEC0"/>
            </w:tcBorders>
          </w:tcPr>
          <w:p w14:paraId="4C58AAD3" w14:textId="77777777" w:rsidR="0043493B" w:rsidRPr="00A8226F" w:rsidRDefault="0043493B" w:rsidP="00DB5773">
            <w:r>
              <w:t>Work Collaboratively</w:t>
            </w:r>
          </w:p>
        </w:tc>
        <w:tc>
          <w:tcPr>
            <w:tcW w:w="4770" w:type="dxa"/>
            <w:tcBorders>
              <w:bottom w:val="single" w:sz="4" w:space="0" w:color="BCBEC0"/>
            </w:tcBorders>
          </w:tcPr>
          <w:p w14:paraId="009E33FA" w14:textId="77777777" w:rsidR="0043493B" w:rsidRDefault="0043493B" w:rsidP="00DB5773">
            <w:r>
              <w:t>Collaborate with others and value their contribution</w:t>
            </w:r>
          </w:p>
        </w:tc>
        <w:tc>
          <w:tcPr>
            <w:tcW w:w="1606" w:type="dxa"/>
            <w:tcBorders>
              <w:bottom w:val="single" w:sz="4" w:space="0" w:color="BCBEC0"/>
            </w:tcBorders>
          </w:tcPr>
          <w:p w14:paraId="503CB0B2" w14:textId="77777777" w:rsidR="0043493B" w:rsidRDefault="0043493B" w:rsidP="00DB5773">
            <w:pPr>
              <w:pStyle w:val="TableBullet"/>
              <w:numPr>
                <w:ilvl w:val="0"/>
                <w:numId w:val="0"/>
              </w:numPr>
              <w:jc w:val="both"/>
            </w:pPr>
            <w:r>
              <w:t>Intermediate</w:t>
            </w:r>
          </w:p>
        </w:tc>
      </w:tr>
      <w:tr w:rsidR="0043493B" w:rsidRPr="00C978B9" w14:paraId="59D47C08" w14:textId="77777777" w:rsidTr="00DB5773">
        <w:tc>
          <w:tcPr>
            <w:tcW w:w="1406" w:type="dxa"/>
            <w:vMerge w:val="restart"/>
            <w:tcBorders>
              <w:bottom w:val="single" w:sz="4" w:space="0" w:color="BCBEC0"/>
            </w:tcBorders>
          </w:tcPr>
          <w:p w14:paraId="75E199E2" w14:textId="77777777" w:rsidR="0043493B" w:rsidRDefault="0043493B" w:rsidP="00DB5773">
            <w:pPr>
              <w:keepNext/>
            </w:pPr>
          </w:p>
          <w:p w14:paraId="6AD95CAC" w14:textId="388A2065" w:rsidR="0043493B" w:rsidRPr="00C978B9" w:rsidRDefault="0043493B" w:rsidP="00DB5773">
            <w:pPr>
              <w:keepNext/>
            </w:pPr>
            <w:r>
              <w:rPr>
                <w:noProof/>
                <w:lang w:eastAsia="en-AU"/>
              </w:rPr>
              <w:drawing>
                <wp:inline distT="0" distB="0" distL="0" distR="0" wp14:anchorId="3AE122DD" wp14:editId="42906547">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2FC53024" w14:textId="77777777" w:rsidR="0043493B" w:rsidRPr="00AA57E3" w:rsidRDefault="0043493B" w:rsidP="00DB5773">
            <w:r>
              <w:t>Plan and Prioritise</w:t>
            </w:r>
          </w:p>
        </w:tc>
        <w:tc>
          <w:tcPr>
            <w:tcW w:w="4770" w:type="dxa"/>
            <w:tcBorders>
              <w:bottom w:val="single" w:sz="4" w:space="0" w:color="BCBEC0"/>
            </w:tcBorders>
          </w:tcPr>
          <w:p w14:paraId="3AD4A015" w14:textId="77777777" w:rsidR="0043493B" w:rsidRPr="00AA57E3" w:rsidRDefault="0043493B" w:rsidP="00DB5773">
            <w:r>
              <w:t>Plan to achieve priority outcomes and respond flexibly to changing circumstances</w:t>
            </w:r>
          </w:p>
        </w:tc>
        <w:tc>
          <w:tcPr>
            <w:tcW w:w="1606" w:type="dxa"/>
            <w:tcBorders>
              <w:bottom w:val="single" w:sz="4" w:space="0" w:color="BCBEC0"/>
            </w:tcBorders>
          </w:tcPr>
          <w:p w14:paraId="0A0E18A7" w14:textId="77777777" w:rsidR="0043493B" w:rsidRDefault="0043493B" w:rsidP="00DB5773">
            <w:pPr>
              <w:pStyle w:val="TableBullet"/>
              <w:numPr>
                <w:ilvl w:val="0"/>
                <w:numId w:val="0"/>
              </w:numPr>
              <w:jc w:val="both"/>
            </w:pPr>
            <w:r>
              <w:t>Intermediate</w:t>
            </w:r>
          </w:p>
        </w:tc>
      </w:tr>
      <w:tr w:rsidR="0043493B" w:rsidRPr="00C978B9" w14:paraId="59BD4CE8" w14:textId="77777777" w:rsidTr="00DB5773">
        <w:tc>
          <w:tcPr>
            <w:tcW w:w="1406" w:type="dxa"/>
            <w:vMerge/>
            <w:tcBorders>
              <w:bottom w:val="single" w:sz="4" w:space="0" w:color="BCBEC0"/>
            </w:tcBorders>
          </w:tcPr>
          <w:p w14:paraId="47A7360B" w14:textId="77777777" w:rsidR="0043493B" w:rsidRDefault="0043493B" w:rsidP="00DB5773">
            <w:pPr>
              <w:keepNext/>
              <w:rPr>
                <w:noProof/>
                <w:lang w:eastAsia="en-AU"/>
              </w:rPr>
            </w:pPr>
          </w:p>
        </w:tc>
        <w:tc>
          <w:tcPr>
            <w:tcW w:w="2971" w:type="dxa"/>
            <w:gridSpan w:val="2"/>
            <w:tcBorders>
              <w:bottom w:val="single" w:sz="4" w:space="0" w:color="BCBEC0"/>
            </w:tcBorders>
          </w:tcPr>
          <w:p w14:paraId="74D1167D" w14:textId="77777777" w:rsidR="0043493B" w:rsidRPr="00A8226F" w:rsidRDefault="0043493B" w:rsidP="00DB5773">
            <w:r>
              <w:t>Demonstrate Accountability</w:t>
            </w:r>
          </w:p>
        </w:tc>
        <w:tc>
          <w:tcPr>
            <w:tcW w:w="4770" w:type="dxa"/>
            <w:tcBorders>
              <w:bottom w:val="single" w:sz="4" w:space="0" w:color="BCBEC0"/>
            </w:tcBorders>
          </w:tcPr>
          <w:p w14:paraId="1458B917" w14:textId="77777777" w:rsidR="0043493B" w:rsidRDefault="0043493B" w:rsidP="00DB5773">
            <w:r>
              <w:t>Be proactive and responsible for own actions, and adhere to legislation, policy and guidelines</w:t>
            </w:r>
          </w:p>
        </w:tc>
        <w:tc>
          <w:tcPr>
            <w:tcW w:w="1606" w:type="dxa"/>
            <w:tcBorders>
              <w:bottom w:val="single" w:sz="4" w:space="0" w:color="BCBEC0"/>
            </w:tcBorders>
          </w:tcPr>
          <w:p w14:paraId="2AC16E9D" w14:textId="77777777" w:rsidR="0043493B" w:rsidRDefault="0043493B" w:rsidP="00DB5773">
            <w:pPr>
              <w:pStyle w:val="TableBullet"/>
              <w:numPr>
                <w:ilvl w:val="0"/>
                <w:numId w:val="0"/>
              </w:numPr>
              <w:jc w:val="both"/>
            </w:pPr>
            <w:r>
              <w:t>Intermediate</w:t>
            </w:r>
          </w:p>
        </w:tc>
      </w:tr>
      <w:tr w:rsidR="0043493B" w:rsidRPr="00C978B9" w14:paraId="64C5199E" w14:textId="77777777" w:rsidTr="00DB5773">
        <w:tc>
          <w:tcPr>
            <w:tcW w:w="1406" w:type="dxa"/>
            <w:vMerge w:val="restart"/>
            <w:tcBorders>
              <w:bottom w:val="single" w:sz="4" w:space="0" w:color="BCBEC0"/>
            </w:tcBorders>
          </w:tcPr>
          <w:p w14:paraId="4E3C523F" w14:textId="77777777" w:rsidR="0043493B" w:rsidRDefault="0043493B" w:rsidP="00DB5773">
            <w:pPr>
              <w:keepNext/>
            </w:pPr>
          </w:p>
          <w:p w14:paraId="7B2C1F4A" w14:textId="49DE9E09" w:rsidR="0043493B" w:rsidRPr="00C978B9" w:rsidRDefault="0043493B" w:rsidP="00DB5773">
            <w:pPr>
              <w:keepNext/>
            </w:pPr>
            <w:r>
              <w:rPr>
                <w:noProof/>
                <w:lang w:eastAsia="en-AU"/>
              </w:rPr>
              <w:drawing>
                <wp:inline distT="0" distB="0" distL="0" distR="0" wp14:anchorId="6A03404A" wp14:editId="0DDF4820">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6B94301" w14:textId="77777777" w:rsidR="0043493B" w:rsidRPr="00AA57E3" w:rsidRDefault="0043493B" w:rsidP="00DB5773">
            <w:r>
              <w:t>Finance</w:t>
            </w:r>
          </w:p>
        </w:tc>
        <w:tc>
          <w:tcPr>
            <w:tcW w:w="4770" w:type="dxa"/>
            <w:tcBorders>
              <w:bottom w:val="single" w:sz="4" w:space="0" w:color="BCBEC0"/>
            </w:tcBorders>
          </w:tcPr>
          <w:p w14:paraId="6C4C7792" w14:textId="77777777" w:rsidR="0043493B" w:rsidRPr="00AA57E3" w:rsidRDefault="0043493B" w:rsidP="00DB5773">
            <w:r>
              <w:t>Understand and apply financial processes to achieve value for money and minimise financial risk</w:t>
            </w:r>
          </w:p>
        </w:tc>
        <w:tc>
          <w:tcPr>
            <w:tcW w:w="1606" w:type="dxa"/>
            <w:tcBorders>
              <w:bottom w:val="single" w:sz="4" w:space="0" w:color="BCBEC0"/>
            </w:tcBorders>
          </w:tcPr>
          <w:p w14:paraId="4C93FFB1" w14:textId="77777777" w:rsidR="0043493B" w:rsidRDefault="0043493B" w:rsidP="00DB5773">
            <w:pPr>
              <w:pStyle w:val="TableBullet"/>
              <w:numPr>
                <w:ilvl w:val="0"/>
                <w:numId w:val="0"/>
              </w:numPr>
              <w:jc w:val="both"/>
            </w:pPr>
            <w:r>
              <w:t>Intermediate</w:t>
            </w:r>
          </w:p>
        </w:tc>
      </w:tr>
      <w:tr w:rsidR="0043493B" w:rsidRPr="00C978B9" w14:paraId="62A31F27" w14:textId="77777777" w:rsidTr="00DB5773">
        <w:tc>
          <w:tcPr>
            <w:tcW w:w="1406" w:type="dxa"/>
            <w:vMerge/>
            <w:tcBorders>
              <w:bottom w:val="single" w:sz="4" w:space="0" w:color="BCBEC0"/>
            </w:tcBorders>
          </w:tcPr>
          <w:p w14:paraId="7874A6F3" w14:textId="77777777" w:rsidR="0043493B" w:rsidRDefault="0043493B" w:rsidP="00DB5773">
            <w:pPr>
              <w:keepNext/>
              <w:rPr>
                <w:noProof/>
                <w:lang w:eastAsia="en-AU"/>
              </w:rPr>
            </w:pPr>
          </w:p>
        </w:tc>
        <w:tc>
          <w:tcPr>
            <w:tcW w:w="2971" w:type="dxa"/>
            <w:gridSpan w:val="2"/>
            <w:tcBorders>
              <w:bottom w:val="single" w:sz="4" w:space="0" w:color="BCBEC0"/>
            </w:tcBorders>
          </w:tcPr>
          <w:p w14:paraId="2E35AF57" w14:textId="77777777" w:rsidR="0043493B" w:rsidRPr="00A8226F" w:rsidRDefault="0043493B" w:rsidP="00DB5773">
            <w:r>
              <w:t>Technology</w:t>
            </w:r>
          </w:p>
        </w:tc>
        <w:tc>
          <w:tcPr>
            <w:tcW w:w="4770" w:type="dxa"/>
            <w:tcBorders>
              <w:bottom w:val="single" w:sz="4" w:space="0" w:color="BCBEC0"/>
            </w:tcBorders>
          </w:tcPr>
          <w:p w14:paraId="5C946835" w14:textId="77777777" w:rsidR="0043493B" w:rsidRDefault="0043493B" w:rsidP="00DB5773">
            <w:r>
              <w:t>Understand and use available technologies to maximise efficiencies and effectiveness</w:t>
            </w:r>
          </w:p>
        </w:tc>
        <w:tc>
          <w:tcPr>
            <w:tcW w:w="1606" w:type="dxa"/>
            <w:tcBorders>
              <w:bottom w:val="single" w:sz="4" w:space="0" w:color="BCBEC0"/>
            </w:tcBorders>
          </w:tcPr>
          <w:p w14:paraId="446E9DA8" w14:textId="77777777" w:rsidR="0043493B" w:rsidRDefault="0043493B" w:rsidP="00DB5773">
            <w:pPr>
              <w:pStyle w:val="TableBullet"/>
              <w:numPr>
                <w:ilvl w:val="0"/>
                <w:numId w:val="0"/>
              </w:numPr>
              <w:jc w:val="both"/>
            </w:pPr>
            <w:r>
              <w:t>Intermediate</w:t>
            </w:r>
          </w:p>
        </w:tc>
      </w:tr>
      <w:tr w:rsidR="0043493B" w:rsidRPr="00C978B9" w14:paraId="0808BB5F" w14:textId="77777777" w:rsidTr="00DB5773">
        <w:tc>
          <w:tcPr>
            <w:tcW w:w="1406" w:type="dxa"/>
            <w:vMerge/>
            <w:tcBorders>
              <w:bottom w:val="single" w:sz="4" w:space="0" w:color="BCBEC0"/>
            </w:tcBorders>
          </w:tcPr>
          <w:p w14:paraId="26EF154E" w14:textId="77777777" w:rsidR="0043493B" w:rsidRDefault="0043493B" w:rsidP="00DB5773">
            <w:pPr>
              <w:keepNext/>
              <w:rPr>
                <w:noProof/>
                <w:lang w:eastAsia="en-AU"/>
              </w:rPr>
            </w:pPr>
          </w:p>
        </w:tc>
        <w:tc>
          <w:tcPr>
            <w:tcW w:w="2971" w:type="dxa"/>
            <w:gridSpan w:val="2"/>
            <w:tcBorders>
              <w:bottom w:val="single" w:sz="4" w:space="0" w:color="BCBEC0"/>
            </w:tcBorders>
          </w:tcPr>
          <w:p w14:paraId="3D1107A9" w14:textId="77777777" w:rsidR="0043493B" w:rsidRPr="00A8226F" w:rsidRDefault="0043493B" w:rsidP="00DB5773">
            <w:r>
              <w:t>Procurement and Contract Management</w:t>
            </w:r>
          </w:p>
        </w:tc>
        <w:tc>
          <w:tcPr>
            <w:tcW w:w="4770" w:type="dxa"/>
            <w:tcBorders>
              <w:bottom w:val="single" w:sz="4" w:space="0" w:color="BCBEC0"/>
            </w:tcBorders>
          </w:tcPr>
          <w:p w14:paraId="515FAC52" w14:textId="77777777" w:rsidR="0043493B" w:rsidRDefault="0043493B" w:rsidP="00DB5773">
            <w:r>
              <w:t>Understand and apply procurement processes to ensure effective purchasing and contract performance</w:t>
            </w:r>
          </w:p>
        </w:tc>
        <w:tc>
          <w:tcPr>
            <w:tcW w:w="1606" w:type="dxa"/>
            <w:tcBorders>
              <w:bottom w:val="single" w:sz="4" w:space="0" w:color="BCBEC0"/>
            </w:tcBorders>
          </w:tcPr>
          <w:p w14:paraId="5E629C08" w14:textId="77777777" w:rsidR="0043493B" w:rsidRDefault="0043493B" w:rsidP="00DB5773">
            <w:pPr>
              <w:pStyle w:val="TableBullet"/>
              <w:numPr>
                <w:ilvl w:val="0"/>
                <w:numId w:val="0"/>
              </w:numPr>
              <w:jc w:val="both"/>
            </w:pPr>
            <w:r>
              <w:t>Intermediate</w:t>
            </w:r>
          </w:p>
        </w:tc>
      </w:tr>
    </w:tbl>
    <w:p w14:paraId="5208E488" w14:textId="77777777" w:rsidR="0043493B" w:rsidRPr="003927AE" w:rsidRDefault="0043493B" w:rsidP="0043493B"/>
    <w:p w14:paraId="3A341803" w14:textId="77777777" w:rsidR="0043493B" w:rsidRPr="005B2F03" w:rsidRDefault="0043493B" w:rsidP="0043493B">
      <w:pPr>
        <w:tabs>
          <w:tab w:val="left" w:pos="2925"/>
        </w:tabs>
        <w:ind w:left="360"/>
        <w:rPr>
          <w:rFonts w:cs="Arial"/>
        </w:rPr>
      </w:pPr>
    </w:p>
    <w:p w14:paraId="290A0586" w14:textId="77777777" w:rsidR="0043493B" w:rsidRDefault="0043493B" w:rsidP="00DC5A6C">
      <w:pPr>
        <w:tabs>
          <w:tab w:val="left" w:pos="2925"/>
        </w:tabs>
      </w:pPr>
    </w:p>
    <w:sectPr w:rsidR="0043493B"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78320" w14:textId="77777777" w:rsidR="00DC627A" w:rsidRDefault="00DC627A" w:rsidP="00BB532F">
      <w:pPr>
        <w:spacing w:after="0" w:line="240" w:lineRule="auto"/>
      </w:pPr>
      <w:r>
        <w:separator/>
      </w:r>
    </w:p>
  </w:endnote>
  <w:endnote w:type="continuationSeparator" w:id="0">
    <w:p w14:paraId="24A3869E" w14:textId="77777777" w:rsidR="00DC627A" w:rsidRDefault="00DC627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14:paraId="005EA03E" w14:textId="77777777" w:rsidTr="00C03AFD">
      <w:tc>
        <w:tcPr>
          <w:tcW w:w="2250" w:type="pct"/>
          <w:vAlign w:val="center"/>
        </w:tcPr>
        <w:p w14:paraId="7185C26D" w14:textId="4BD8E30C" w:rsidR="00C03AFD" w:rsidRDefault="00C03AFD" w:rsidP="002E7C66">
          <w:pPr>
            <w:pStyle w:val="Footer"/>
          </w:pPr>
          <w:r w:rsidRPr="00C03AFD">
            <w:rPr>
              <w:color w:val="928B81"/>
              <w:sz w:val="18"/>
            </w:rPr>
            <w:t>Role Description</w:t>
          </w:r>
          <w:r w:rsidR="00443BCB">
            <w:rPr>
              <w:color w:val="928B81"/>
              <w:sz w:val="18"/>
            </w:rPr>
            <w:t xml:space="preserve">  </w:t>
          </w:r>
          <w:r w:rsidR="002E7C66">
            <w:rPr>
              <w:b/>
              <w:color w:val="928B81"/>
              <w:sz w:val="18"/>
            </w:rPr>
            <w:t>Project Officer</w:t>
          </w:r>
        </w:p>
      </w:tc>
      <w:tc>
        <w:tcPr>
          <w:tcW w:w="250" w:type="pct"/>
          <w:vAlign w:val="center"/>
        </w:tcPr>
        <w:p w14:paraId="3380C1A4" w14:textId="27DED18C"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1A4854">
            <w:rPr>
              <w:noProof/>
              <w:color w:val="928B81"/>
              <w:sz w:val="18"/>
              <w:lang w:eastAsia="en-AU"/>
            </w:rPr>
            <w:t>6</w:t>
          </w:r>
          <w:r w:rsidRPr="00C03AFD">
            <w:rPr>
              <w:noProof/>
              <w:color w:val="928B81"/>
              <w:sz w:val="18"/>
              <w:lang w:eastAsia="en-AU"/>
            </w:rPr>
            <w:fldChar w:fldCharType="end"/>
          </w:r>
        </w:p>
      </w:tc>
      <w:tc>
        <w:tcPr>
          <w:tcW w:w="2350" w:type="pct"/>
        </w:tcPr>
        <w:p w14:paraId="6D9175BC" w14:textId="77777777" w:rsidR="00C03AFD" w:rsidRDefault="00C03AFD" w:rsidP="00C03AFD">
          <w:pPr>
            <w:pStyle w:val="Footer"/>
            <w:jc w:val="right"/>
          </w:pPr>
          <w:r>
            <w:rPr>
              <w:noProof/>
              <w:lang w:val="en-AU" w:eastAsia="en-AU"/>
            </w:rPr>
            <w:drawing>
              <wp:inline distT="0" distB="0" distL="0" distR="0" wp14:anchorId="6054D6C1" wp14:editId="31BF9304">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9361036" w14:textId="77777777" w:rsidR="00C03AFD" w:rsidRDefault="00C0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B13F8E4" w14:textId="77777777" w:rsidTr="0047547E">
      <w:trPr>
        <w:trHeight w:val="811"/>
      </w:trPr>
      <w:tc>
        <w:tcPr>
          <w:tcW w:w="10005" w:type="dxa"/>
          <w:vAlign w:val="bottom"/>
        </w:tcPr>
        <w:p w14:paraId="5D2E9547" w14:textId="256AA96D"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1A4854">
            <w:rPr>
              <w:noProof/>
              <w:lang w:eastAsia="en-AU"/>
            </w:rPr>
            <w:t>1</w:t>
          </w:r>
          <w:r>
            <w:rPr>
              <w:noProof/>
              <w:lang w:eastAsia="en-AU"/>
            </w:rPr>
            <w:fldChar w:fldCharType="end"/>
          </w:r>
        </w:p>
      </w:tc>
      <w:tc>
        <w:tcPr>
          <w:tcW w:w="875" w:type="dxa"/>
        </w:tcPr>
        <w:p w14:paraId="5F21B46F" w14:textId="77777777" w:rsidR="00BB532F" w:rsidRDefault="003A1185" w:rsidP="00BD7BA7">
          <w:pPr>
            <w:pStyle w:val="Footer"/>
            <w:jc w:val="right"/>
          </w:pPr>
          <w:r>
            <w:rPr>
              <w:noProof/>
              <w:lang w:val="en-AU" w:eastAsia="en-AU"/>
            </w:rPr>
            <w:drawing>
              <wp:inline distT="0" distB="0" distL="0" distR="0" wp14:anchorId="1D77BF52" wp14:editId="15F36F7A">
                <wp:extent cx="555625" cy="58166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38401241" w14:textId="77777777"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85644" w14:textId="77777777" w:rsidR="00DC627A" w:rsidRDefault="00DC627A" w:rsidP="00BB532F">
      <w:pPr>
        <w:spacing w:after="0" w:line="240" w:lineRule="auto"/>
      </w:pPr>
      <w:r>
        <w:separator/>
      </w:r>
    </w:p>
  </w:footnote>
  <w:footnote w:type="continuationSeparator" w:id="0">
    <w:p w14:paraId="53C189B7" w14:textId="77777777" w:rsidR="00DC627A" w:rsidRDefault="00DC627A"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639CB27" w14:textId="77777777" w:rsidTr="00894A73">
      <w:trPr>
        <w:trHeight w:val="813"/>
      </w:trPr>
      <w:tc>
        <w:tcPr>
          <w:tcW w:w="7082" w:type="dxa"/>
        </w:tcPr>
        <w:p w14:paraId="64DC0D60"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68FA1375" w14:textId="3B48855D" w:rsidR="00DC5A6C" w:rsidRPr="00935EE2" w:rsidRDefault="002E7C66" w:rsidP="00F4276E">
          <w:pPr>
            <w:pStyle w:val="TitleSub"/>
            <w:spacing w:after="240"/>
            <w:rPr>
              <w:rFonts w:ascii="Arial" w:hAnsi="Arial" w:cs="Arial"/>
              <w:b/>
            </w:rPr>
          </w:pPr>
          <w:r>
            <w:rPr>
              <w:rFonts w:ascii="Arial" w:hAnsi="Arial" w:cs="Arial"/>
              <w:b/>
            </w:rPr>
            <w:t>Project</w:t>
          </w:r>
          <w:r w:rsidR="00DC5A6C">
            <w:rPr>
              <w:rFonts w:ascii="Arial" w:hAnsi="Arial" w:cs="Arial"/>
              <w:b/>
            </w:rPr>
            <w:t xml:space="preserve"> Officer</w:t>
          </w:r>
        </w:p>
      </w:tc>
      <w:tc>
        <w:tcPr>
          <w:tcW w:w="3688" w:type="dxa"/>
        </w:tcPr>
        <w:p w14:paraId="5CC96BCF" w14:textId="6FB21B28" w:rsidR="000477E1" w:rsidRPr="000477E1" w:rsidRDefault="00CA393A" w:rsidP="00030565">
          <w:pPr>
            <w:jc w:val="right"/>
          </w:pPr>
          <w:r w:rsidRPr="00CA393A">
            <w:rPr>
              <w:noProof/>
              <w:lang w:val="en-AU" w:eastAsia="en-AU"/>
            </w:rPr>
            <w:drawing>
              <wp:inline distT="0" distB="0" distL="0" distR="0" wp14:anchorId="40DF4791" wp14:editId="7941E318">
                <wp:extent cx="20574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a:ln>
                          <a:noFill/>
                        </a:ln>
                      </pic:spPr>
                    </pic:pic>
                  </a:graphicData>
                </a:graphic>
              </wp:inline>
            </w:drawing>
          </w:r>
        </w:p>
      </w:tc>
    </w:tr>
  </w:tbl>
  <w:p w14:paraId="623360AC" w14:textId="77777777"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717EC"/>
    <w:multiLevelType w:val="hybridMultilevel"/>
    <w:tmpl w:val="CCC428E4"/>
    <w:lvl w:ilvl="0" w:tplc="47B0950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C6260"/>
    <w:multiLevelType w:val="hybridMultilevel"/>
    <w:tmpl w:val="9984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86AB6"/>
    <w:multiLevelType w:val="hybridMultilevel"/>
    <w:tmpl w:val="1264F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FC2F58"/>
    <w:multiLevelType w:val="hybridMultilevel"/>
    <w:tmpl w:val="E162212A"/>
    <w:lvl w:ilvl="0" w:tplc="47B0950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D43B2"/>
    <w:multiLevelType w:val="hybridMultilevel"/>
    <w:tmpl w:val="57D61FBC"/>
    <w:lvl w:ilvl="0" w:tplc="7404227C">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1B63D1"/>
    <w:multiLevelType w:val="hybridMultilevel"/>
    <w:tmpl w:val="2F54F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DF0657F"/>
    <w:multiLevelType w:val="hybridMultilevel"/>
    <w:tmpl w:val="EF44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242DF8"/>
    <w:multiLevelType w:val="hybridMultilevel"/>
    <w:tmpl w:val="65FE5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1975D2"/>
    <w:multiLevelType w:val="hybridMultilevel"/>
    <w:tmpl w:val="77FC7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BD4F4D"/>
    <w:multiLevelType w:val="hybridMultilevel"/>
    <w:tmpl w:val="238AAC38"/>
    <w:lvl w:ilvl="0" w:tplc="47B0950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8FB6633"/>
    <w:multiLevelType w:val="hybridMultilevel"/>
    <w:tmpl w:val="09F42822"/>
    <w:lvl w:ilvl="0" w:tplc="47B0950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3268F9"/>
    <w:multiLevelType w:val="hybridMultilevel"/>
    <w:tmpl w:val="DDF6E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062FD6"/>
    <w:multiLevelType w:val="hybridMultilevel"/>
    <w:tmpl w:val="C3341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24407C1"/>
    <w:multiLevelType w:val="hybridMultilevel"/>
    <w:tmpl w:val="47DA0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C4578E"/>
    <w:multiLevelType w:val="hybridMultilevel"/>
    <w:tmpl w:val="46825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5F6E8C"/>
    <w:multiLevelType w:val="multilevel"/>
    <w:tmpl w:val="9E0CAF8E"/>
    <w:lvl w:ilvl="0">
      <w:numFmt w:val="decimal"/>
      <w:lvlText w:val="%1"/>
      <w:lvlJc w:val="left"/>
      <w:pPr>
        <w:ind w:left="360" w:hanging="360"/>
      </w:pPr>
      <w:rPr>
        <w:rFonts w:cstheme="minorBidi" w:hint="default"/>
      </w:rPr>
    </w:lvl>
    <w:lvl w:ilvl="1">
      <w:start w:val="5"/>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0"/>
  </w:num>
  <w:num w:numId="2">
    <w:abstractNumId w:val="3"/>
  </w:num>
  <w:num w:numId="3">
    <w:abstractNumId w:val="6"/>
  </w:num>
  <w:num w:numId="4">
    <w:abstractNumId w:val="16"/>
  </w:num>
  <w:num w:numId="5">
    <w:abstractNumId w:val="0"/>
  </w:num>
  <w:num w:numId="6">
    <w:abstractNumId w:val="0"/>
  </w:num>
  <w:num w:numId="7">
    <w:abstractNumId w:val="0"/>
  </w:num>
  <w:num w:numId="8">
    <w:abstractNumId w:val="0"/>
  </w:num>
  <w:num w:numId="9">
    <w:abstractNumId w:val="0"/>
  </w:num>
  <w:num w:numId="10">
    <w:abstractNumId w:val="4"/>
  </w:num>
  <w:num w:numId="11">
    <w:abstractNumId w:val="5"/>
  </w:num>
  <w:num w:numId="12">
    <w:abstractNumId w:val="1"/>
  </w:num>
  <w:num w:numId="13">
    <w:abstractNumId w:val="13"/>
  </w:num>
  <w:num w:numId="14">
    <w:abstractNumId w:val="12"/>
  </w:num>
  <w:num w:numId="15">
    <w:abstractNumId w:val="7"/>
  </w:num>
  <w:num w:numId="16">
    <w:abstractNumId w:val="19"/>
  </w:num>
  <w:num w:numId="17">
    <w:abstractNumId w:val="10"/>
  </w:num>
  <w:num w:numId="18">
    <w:abstractNumId w:val="18"/>
  </w:num>
  <w:num w:numId="19">
    <w:abstractNumId w:val="2"/>
  </w:num>
  <w:num w:numId="20">
    <w:abstractNumId w:val="11"/>
  </w:num>
  <w:num w:numId="21">
    <w:abstractNumId w:val="9"/>
  </w:num>
  <w:num w:numId="22">
    <w:abstractNumId w:val="17"/>
  </w:num>
  <w:num w:numId="23">
    <w:abstractNumId w:val="15"/>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577CA"/>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854"/>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2E67"/>
    <w:rsid w:val="00205A8A"/>
    <w:rsid w:val="00211F68"/>
    <w:rsid w:val="002309B5"/>
    <w:rsid w:val="00237421"/>
    <w:rsid w:val="00240A8E"/>
    <w:rsid w:val="00250A4E"/>
    <w:rsid w:val="00263ACB"/>
    <w:rsid w:val="00266912"/>
    <w:rsid w:val="00280887"/>
    <w:rsid w:val="0028314F"/>
    <w:rsid w:val="00287C54"/>
    <w:rsid w:val="002A648F"/>
    <w:rsid w:val="002B0B83"/>
    <w:rsid w:val="002B1F76"/>
    <w:rsid w:val="002B5704"/>
    <w:rsid w:val="002B7BD0"/>
    <w:rsid w:val="002C2823"/>
    <w:rsid w:val="002C4194"/>
    <w:rsid w:val="002C616A"/>
    <w:rsid w:val="002D336D"/>
    <w:rsid w:val="002D36BB"/>
    <w:rsid w:val="002E7C66"/>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05DA"/>
    <w:rsid w:val="003A1185"/>
    <w:rsid w:val="003A2AFA"/>
    <w:rsid w:val="003A3538"/>
    <w:rsid w:val="003B0F42"/>
    <w:rsid w:val="003B403A"/>
    <w:rsid w:val="003C00FD"/>
    <w:rsid w:val="003C031F"/>
    <w:rsid w:val="003C2846"/>
    <w:rsid w:val="003C476D"/>
    <w:rsid w:val="003C5EB3"/>
    <w:rsid w:val="003D3521"/>
    <w:rsid w:val="003D5227"/>
    <w:rsid w:val="003E2663"/>
    <w:rsid w:val="00411F3E"/>
    <w:rsid w:val="0041525E"/>
    <w:rsid w:val="00416D58"/>
    <w:rsid w:val="004203B4"/>
    <w:rsid w:val="0043493B"/>
    <w:rsid w:val="00436621"/>
    <w:rsid w:val="00442732"/>
    <w:rsid w:val="00443BCB"/>
    <w:rsid w:val="00451F51"/>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0BFF"/>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53EEE"/>
    <w:rsid w:val="00767553"/>
    <w:rsid w:val="007726EF"/>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7F3D62"/>
    <w:rsid w:val="00801E41"/>
    <w:rsid w:val="008044BB"/>
    <w:rsid w:val="00805561"/>
    <w:rsid w:val="00806FE1"/>
    <w:rsid w:val="00807ED1"/>
    <w:rsid w:val="00817B11"/>
    <w:rsid w:val="008203EE"/>
    <w:rsid w:val="008267A0"/>
    <w:rsid w:val="008308A7"/>
    <w:rsid w:val="0083547C"/>
    <w:rsid w:val="00843197"/>
    <w:rsid w:val="008476E6"/>
    <w:rsid w:val="00856473"/>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39F3"/>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C2202"/>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081"/>
    <w:rsid w:val="00B262BC"/>
    <w:rsid w:val="00B32691"/>
    <w:rsid w:val="00B407F6"/>
    <w:rsid w:val="00B635E3"/>
    <w:rsid w:val="00B710DA"/>
    <w:rsid w:val="00B72B4F"/>
    <w:rsid w:val="00B835C0"/>
    <w:rsid w:val="00B876AF"/>
    <w:rsid w:val="00B9055C"/>
    <w:rsid w:val="00B9419F"/>
    <w:rsid w:val="00BA759E"/>
    <w:rsid w:val="00BB12E9"/>
    <w:rsid w:val="00BB532F"/>
    <w:rsid w:val="00BC162D"/>
    <w:rsid w:val="00BC2FE4"/>
    <w:rsid w:val="00BD4DDA"/>
    <w:rsid w:val="00BE4EAE"/>
    <w:rsid w:val="00BE6E24"/>
    <w:rsid w:val="00BF5DDE"/>
    <w:rsid w:val="00C01CED"/>
    <w:rsid w:val="00C038B5"/>
    <w:rsid w:val="00C03AFD"/>
    <w:rsid w:val="00C15332"/>
    <w:rsid w:val="00C23E79"/>
    <w:rsid w:val="00C271F9"/>
    <w:rsid w:val="00C470CB"/>
    <w:rsid w:val="00C517B6"/>
    <w:rsid w:val="00C63F0F"/>
    <w:rsid w:val="00C70636"/>
    <w:rsid w:val="00C70842"/>
    <w:rsid w:val="00C740FF"/>
    <w:rsid w:val="00C8578E"/>
    <w:rsid w:val="00C861F7"/>
    <w:rsid w:val="00CA393A"/>
    <w:rsid w:val="00CA3DE5"/>
    <w:rsid w:val="00CA76B5"/>
    <w:rsid w:val="00CC76F2"/>
    <w:rsid w:val="00CD323E"/>
    <w:rsid w:val="00CE105E"/>
    <w:rsid w:val="00CE1E5E"/>
    <w:rsid w:val="00CE659E"/>
    <w:rsid w:val="00CF2A85"/>
    <w:rsid w:val="00D015F9"/>
    <w:rsid w:val="00D312DA"/>
    <w:rsid w:val="00D351CC"/>
    <w:rsid w:val="00D4220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5A6C"/>
    <w:rsid w:val="00DC627A"/>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098"/>
    <w:rsid w:val="00F15669"/>
    <w:rsid w:val="00F31B35"/>
    <w:rsid w:val="00F339CD"/>
    <w:rsid w:val="00F33A43"/>
    <w:rsid w:val="00F41650"/>
    <w:rsid w:val="00F4276E"/>
    <w:rsid w:val="00F47143"/>
    <w:rsid w:val="00F639A5"/>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8F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Body Text" w:uiPriority="97"/>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styleId="BodyText">
    <w:name w:val="Body Text"/>
    <w:basedOn w:val="Normal"/>
    <w:link w:val="BodyTextChar"/>
    <w:uiPriority w:val="97"/>
    <w:semiHidden/>
    <w:rsid w:val="0043493B"/>
    <w:pPr>
      <w:spacing w:before="120" w:after="120" w:line="260" w:lineRule="atLeast"/>
    </w:pPr>
    <w:rPr>
      <w:rFonts w:cs="Times New Roman"/>
      <w:color w:val="404040" w:themeColor="text1" w:themeTint="BF"/>
      <w:szCs w:val="20"/>
      <w:lang w:val="en-AU"/>
    </w:rPr>
  </w:style>
  <w:style w:type="character" w:customStyle="1" w:styleId="BodyTextChar">
    <w:name w:val="Body Text Char"/>
    <w:basedOn w:val="DefaultParagraphFont"/>
    <w:link w:val="BodyText"/>
    <w:uiPriority w:val="97"/>
    <w:semiHidden/>
    <w:rsid w:val="0043493B"/>
    <w:rPr>
      <w:rFonts w:cs="Times New Roman"/>
      <w:color w:val="404040" w:themeColor="text1" w:themeTint="BF"/>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Body Text" w:uiPriority="97"/>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 w:type="paragraph" w:styleId="BodyText">
    <w:name w:val="Body Text"/>
    <w:basedOn w:val="Normal"/>
    <w:link w:val="BodyTextChar"/>
    <w:uiPriority w:val="97"/>
    <w:semiHidden/>
    <w:rsid w:val="0043493B"/>
    <w:pPr>
      <w:spacing w:before="120" w:after="120" w:line="260" w:lineRule="atLeast"/>
    </w:pPr>
    <w:rPr>
      <w:rFonts w:cs="Times New Roman"/>
      <w:color w:val="404040" w:themeColor="text1" w:themeTint="BF"/>
      <w:szCs w:val="20"/>
      <w:lang w:val="en-AU"/>
    </w:rPr>
  </w:style>
  <w:style w:type="character" w:customStyle="1" w:styleId="BodyTextChar">
    <w:name w:val="Body Text Char"/>
    <w:basedOn w:val="DefaultParagraphFont"/>
    <w:link w:val="BodyText"/>
    <w:uiPriority w:val="97"/>
    <w:semiHidden/>
    <w:rsid w:val="0043493B"/>
    <w:rPr>
      <w:rFonts w:cs="Times New Roman"/>
      <w:color w:val="404040" w:themeColor="text1" w:themeTint="BF"/>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F0D02-B116-47BC-B932-18846EAE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TotalTime>
  <Pages>6</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cp:lastPrinted>2021-01-08T04:56:00Z</cp:lastPrinted>
  <dcterms:created xsi:type="dcterms:W3CDTF">2021-05-17T06:48:00Z</dcterms:created>
  <dcterms:modified xsi:type="dcterms:W3CDTF">2021-05-17T06:48:00Z</dcterms:modified>
</cp:coreProperties>
</file>