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Separate Agency</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NSW Education Standards Authority</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Psychometrics and Analytics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117 Clarence Street Sydney</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Clerk Grade 7/8</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B1220</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A373A3" w:rsidP="00DC0173">
            <w:pPr>
              <w:pStyle w:val="TableTextWhite"/>
            </w:pPr>
            <w:r>
              <w:t>224113</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A373A3" w:rsidP="00DC0173">
            <w:pPr>
              <w:pStyle w:val="TableTextWhite"/>
            </w:pPr>
            <w:r>
              <w:t>2119192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A373A3" w:rsidP="00DC0173">
            <w:pPr>
              <w:pStyle w:val="TableTextWhite"/>
            </w:pPr>
            <w:r>
              <w:t>30</w:t>
            </w:r>
            <w:r w:rsidR="00E95F38">
              <w:t xml:space="preserve"> June 2017</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www.educationstandards.nsw.edu.au</w:t>
            </w:r>
          </w:p>
        </w:tc>
        <w:bookmarkStart w:id="0" w:name="Cluster"/>
        <w:bookmarkEnd w:id="0"/>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NSW Education Standards A</w:t>
      </w:r>
      <w:bookmarkStart w:id="1" w:name="_GoBack"/>
      <w:bookmarkEnd w:id="1"/>
      <w:r w:rsidRPr="00614552">
        <w:rPr>
          <w:rFonts w:cs="Arial"/>
        </w:rPr>
        <w:t>uthority (‘NESA’) was formally established on 1 January 2017 to improve quality teaching and student learning across all schools and school sectors.  It is responsible for the curriculum, assessment, teacher accreditation and regulatory standards in NSW schools, and accreditation of early childhood teachers.</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Statistician undertakes research in educational measurement to support the development and application of assessment and examinations policy and practice, provides advice and guidance to NESA and its committees and others in the areas of educational measurement and assessment, and manages and conducts projects and processes to support the NESA’s state-wide assessment and examination programs.</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Conduct high level research, statistical analysis and review of complex issues and proposals; recommend and implement appropriate action.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research papers and represent NESA at conferences, meetings, presentations.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and/or oversee high level technical advice, information and support to NESA officers and its committees on complex and diverse issues in measurement and research.</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Write programs in R or python that automate routine statistical analyses and processing tasks.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Review and evaluate processes and recommend improvements.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Working on multiple and complex research projects with tight time frames.</w:t>
      </w:r>
    </w:p>
    <w:p w:rsidR="00A373A3" w:rsidRDefault="001D097C" w:rsidP="001D097C">
      <w:pPr>
        <w:pStyle w:val="ListParagraph"/>
        <w:numPr>
          <w:ilvl w:val="0"/>
          <w:numId w:val="3"/>
        </w:numPr>
        <w:tabs>
          <w:tab w:val="left" w:pos="2925"/>
        </w:tabs>
        <w:rPr>
          <w:rFonts w:ascii="Georgia" w:hAnsi="Georgia"/>
        </w:rPr>
      </w:pPr>
      <w:r w:rsidRPr="00614552">
        <w:rPr>
          <w:rFonts w:cs="Arial"/>
        </w:rPr>
        <w:t>Encouraging progression towards modern assessment systems.</w:t>
      </w:r>
    </w:p>
    <w:p w:rsidR="0013413E" w:rsidRPr="00A373A3" w:rsidRDefault="0013413E" w:rsidP="00A373A3">
      <w:pPr>
        <w:jc w:val="right"/>
      </w:pP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Unit head</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provide recommendations and receive directions for new research.</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Collaborate on projects and tasks.</w:t>
            </w:r>
          </w:p>
          <w:p w:rsidR="00BB532F" w:rsidRPr="00A15CDB" w:rsidRDefault="001336E8" w:rsidP="00022223">
            <w:pPr>
              <w:pStyle w:val="TableText"/>
              <w:numPr>
                <w:ilvl w:val="0"/>
                <w:numId w:val="3"/>
              </w:numPr>
            </w:pPr>
            <w:r>
              <w:t>Provide status updates on assigned tasks, issues and priorities.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NESA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statistical and measurement advice.</w:t>
            </w:r>
          </w:p>
          <w:p w:rsidR="00BB532F" w:rsidRPr="00A15CDB" w:rsidRDefault="001336E8" w:rsidP="00022223">
            <w:pPr>
              <w:pStyle w:val="TableText"/>
              <w:numPr>
                <w:ilvl w:val="0"/>
                <w:numId w:val="3"/>
              </w:numPr>
            </w:pPr>
            <w:r>
              <w:t>Present research proposals and findings.</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Academics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Present academic research.</w:t>
            </w:r>
          </w:p>
          <w:p w:rsidR="00BB532F" w:rsidRPr="00A15CDB" w:rsidRDefault="001336E8" w:rsidP="00022223">
            <w:pPr>
              <w:pStyle w:val="TableText"/>
              <w:numPr>
                <w:ilvl w:val="0"/>
                <w:numId w:val="3"/>
              </w:numPr>
            </w:pPr>
            <w:r>
              <w:t>Participate in research discussions.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This role operates with some autonomy, preparing research proposals and conducting approved research studies. The Statistician escalates issues which cannot be resolved independently along with recommended actions to the Head, Measurement and Research Services unit.</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Statistician reports to the Head, Measurement and Research Services unit.</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Completed degree in psychometrics, educational measurement, statistics, quantitative social science or other related field.</w:t>
      </w:r>
    </w:p>
    <w:p w:rsidR="00205A8A" w:rsidRDefault="00205A8A" w:rsidP="00205A8A">
      <w:pPr>
        <w:tabs>
          <w:tab w:val="left" w:pos="2925"/>
        </w:tabs>
        <w:rPr>
          <w:rFonts w:ascii="Georgia" w:hAnsi="Georgia"/>
        </w:rPr>
      </w:pPr>
      <w:r w:rsidRPr="00614552">
        <w:rPr>
          <w:rFonts w:cs="Arial"/>
        </w:rPr>
        <w:t>Experience using statistical applications, such as R, SAS, SPSS, Stata or Matlab, or psychometric applications, such as RUMM2030, ConQuest, WinSTEPS.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42"/>
        <w:gridCol w:w="5458"/>
        <w:gridCol w:w="3357"/>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rsidR="00373737" w:rsidRPr="00A15CDB" w:rsidRDefault="006B723B" w:rsidP="006B723B">
            <w:pPr>
              <w:pStyle w:val="TableText"/>
              <w:keepNext/>
            </w:pPr>
            <w:r>
              <w:t>Intermediate</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14"/>
        <w:gridCol w:w="2348"/>
        <w:gridCol w:w="5795"/>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Adapt existing skills to new situations</w:t>
            </w:r>
          </w:p>
          <w:p w:rsidR="001F2503" w:rsidRPr="00C978B9" w:rsidRDefault="0039395B" w:rsidP="0039395B">
            <w:pPr>
              <w:pStyle w:val="TableBullet"/>
            </w:pPr>
            <w:r>
              <w:t>Show commitment to achieving work goals</w:t>
            </w:r>
          </w:p>
          <w:p w:rsidR="001F2503" w:rsidRPr="00C978B9" w:rsidRDefault="0039395B" w:rsidP="0039395B">
            <w:pPr>
              <w:pStyle w:val="TableBullet"/>
            </w:pPr>
            <w:r>
              <w:t>Show awareness of own strengths and areas for growth and develop and apply new skills</w:t>
            </w:r>
          </w:p>
          <w:p w:rsidR="001F2503" w:rsidRPr="00C978B9" w:rsidRDefault="0039395B" w:rsidP="0039395B">
            <w:pPr>
              <w:pStyle w:val="TableBullet"/>
            </w:pPr>
            <w:r>
              <w:t>Seek feedback from colleagues and stakeholders</w:t>
            </w:r>
          </w:p>
          <w:p w:rsidR="001F2503" w:rsidRPr="00C978B9" w:rsidRDefault="0039395B" w:rsidP="0039395B">
            <w:pPr>
              <w:pStyle w:val="TableBullet"/>
            </w:pPr>
            <w:r>
              <w:t>Maintain own motivation when tasks become difficult</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Communicate Effectively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Tailor communication to the audience</w:t>
            </w:r>
          </w:p>
          <w:p w:rsidR="001F2503" w:rsidRPr="00C978B9" w:rsidRDefault="0039395B" w:rsidP="0039395B">
            <w:pPr>
              <w:pStyle w:val="TableBullet"/>
            </w:pPr>
            <w:r>
              <w:t>Clearly explain complex concepts and arguments to individuals and groups</w:t>
            </w:r>
          </w:p>
          <w:p w:rsidR="001F2503" w:rsidRPr="00C978B9" w:rsidRDefault="0039395B" w:rsidP="0039395B">
            <w:pPr>
              <w:pStyle w:val="TableBullet"/>
            </w:pPr>
            <w:r>
              <w:t>Monitor own and others’ non-verbal cues and adapt where necessary</w:t>
            </w:r>
          </w:p>
          <w:p w:rsidR="001F2503" w:rsidRPr="00C978B9" w:rsidRDefault="0039395B" w:rsidP="0039395B">
            <w:pPr>
              <w:pStyle w:val="TableBullet"/>
            </w:pPr>
            <w:r>
              <w:t>Create opportunities for others to be heard</w:t>
            </w:r>
          </w:p>
          <w:p w:rsidR="001F2503" w:rsidRPr="00C978B9" w:rsidRDefault="0039395B" w:rsidP="0039395B">
            <w:pPr>
              <w:pStyle w:val="TableBullet"/>
            </w:pPr>
            <w:r>
              <w:lastRenderedPageBreak/>
              <w:t>Actively listen to others and clarify own understanding</w:t>
            </w:r>
          </w:p>
          <w:p w:rsidR="001F2503" w:rsidRPr="00C978B9" w:rsidRDefault="0039395B" w:rsidP="0039395B">
            <w:pPr>
              <w:pStyle w:val="TableBullet"/>
            </w:pPr>
            <w:r>
              <w:t>Write fluently in a range of styles and formats</w:t>
            </w:r>
          </w:p>
        </w:tc>
      </w:tr>
      <w:tr w:rsidR="0039395B" w:rsidRPr="00C978B9" w:rsidTr="00742966">
        <w:tc>
          <w:tcPr>
            <w:tcW w:w="2714" w:type="dxa"/>
          </w:tcPr>
          <w:p w:rsidR="001F2503" w:rsidRPr="00C978B9" w:rsidRDefault="0039395B" w:rsidP="00CC7829">
            <w:pPr>
              <w:pStyle w:val="TableText"/>
              <w:rPr>
                <w:b/>
              </w:rPr>
            </w:pPr>
            <w:r>
              <w:rPr>
                <w:b/>
              </w:rPr>
              <w:lastRenderedPageBreak/>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Complete work tasks to agreed budgets, timeframes and standards</w:t>
            </w:r>
          </w:p>
          <w:p w:rsidR="001F2503" w:rsidRPr="00C978B9" w:rsidRDefault="0039395B" w:rsidP="0039395B">
            <w:pPr>
              <w:pStyle w:val="TableBullet"/>
            </w:pPr>
            <w:r>
              <w:t>Take the initiative to progress and deliver own and team/unit work</w:t>
            </w:r>
          </w:p>
          <w:p w:rsidR="001F2503" w:rsidRPr="00C978B9" w:rsidRDefault="0039395B" w:rsidP="0039395B">
            <w:pPr>
              <w:pStyle w:val="TableBullet"/>
            </w:pPr>
            <w:r>
              <w:t>Contribute to allocation of responsibilities and resources to ensure achievement of team/unit goals</w:t>
            </w:r>
          </w:p>
          <w:p w:rsidR="001F2503" w:rsidRPr="00C978B9" w:rsidRDefault="0039395B" w:rsidP="0039395B">
            <w:pPr>
              <w:pStyle w:val="TableBullet"/>
            </w:pPr>
            <w:r>
              <w:t>Seek and apply specialist advice when required</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Research and analyse information, identify interrelationships and make recommendations based on relevant evidence</w:t>
            </w:r>
          </w:p>
          <w:p w:rsidR="001F2503" w:rsidRPr="00C978B9" w:rsidRDefault="0039395B" w:rsidP="0039395B">
            <w:pPr>
              <w:pStyle w:val="TableBullet"/>
            </w:pPr>
            <w:r>
              <w:t>Anticipate, identify and address issues and potential problems and select the most effective solutions from a range of option</w:t>
            </w:r>
          </w:p>
          <w:p w:rsidR="001F2503" w:rsidRPr="00C978B9" w:rsidRDefault="0039395B" w:rsidP="0039395B">
            <w:pPr>
              <w:pStyle w:val="TableBullet"/>
            </w:pPr>
            <w:r>
              <w:t>Participate in and contribute to team/unit initiatives to resolve common issues or barriers to effectiveness</w:t>
            </w:r>
          </w:p>
          <w:p w:rsidR="001F2503" w:rsidRPr="00C978B9" w:rsidRDefault="0039395B" w:rsidP="0039395B">
            <w:pPr>
              <w:pStyle w:val="TableBullet"/>
            </w:pPr>
            <w:r>
              <w:t>Identify and share business process improvements to enhance effectiveness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Technology</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Apply computer applications that enable performance of more complex tasks</w:t>
            </w:r>
          </w:p>
          <w:p w:rsidR="001F2503" w:rsidRPr="00C978B9" w:rsidRDefault="0039395B" w:rsidP="0039395B">
            <w:pPr>
              <w:pStyle w:val="TableBullet"/>
            </w:pPr>
            <w:r>
              <w:t>Apply practical skills in the use of relevant technology</w:t>
            </w:r>
          </w:p>
          <w:p w:rsidR="001F2503" w:rsidRPr="00C978B9" w:rsidRDefault="0039395B" w:rsidP="0039395B">
            <w:pPr>
              <w:pStyle w:val="TableBullet"/>
            </w:pPr>
            <w:r>
              <w:t>Make effective use of records, information and knowledge management functions and systems</w:t>
            </w:r>
          </w:p>
          <w:p w:rsidR="001F2503" w:rsidRPr="00C978B9" w:rsidRDefault="0039395B" w:rsidP="0039395B">
            <w:pPr>
              <w:pStyle w:val="TableBullet"/>
            </w:pPr>
            <w:r>
              <w:t>Understand and comply with information and communications security and acceptable use policies</w:t>
            </w:r>
          </w:p>
          <w:p w:rsidR="001F2503" w:rsidRPr="00C978B9" w:rsidRDefault="0039395B" w:rsidP="0039395B">
            <w:pPr>
              <w:pStyle w:val="TableBullet"/>
            </w:pPr>
            <w:r>
              <w:t>Support the implementation of systems improvement initiatives and the introduction and roll-out of new technologies</w:t>
            </w:r>
          </w:p>
        </w:tc>
      </w:tr>
    </w:tbl>
    <w:p w:rsidR="00520289" w:rsidRDefault="00520289"/>
    <w:sectPr w:rsidR="00520289"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EE" w:rsidRDefault="008203EE" w:rsidP="00BB532F">
      <w:pPr>
        <w:spacing w:after="0" w:line="240" w:lineRule="auto"/>
      </w:pPr>
      <w:r>
        <w:separator/>
      </w:r>
    </w:p>
  </w:endnote>
  <w:endnote w:type="continuationSeparator" w:id="0">
    <w:p w:rsidR="008203EE" w:rsidRDefault="008203E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Statistician</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373A3">
            <w:rPr>
              <w:noProof/>
              <w:color w:val="928B81"/>
              <w:sz w:val="18"/>
              <w:lang w:eastAsia="en-AU"/>
            </w:rPr>
            <w:t>4</w:t>
          </w:r>
          <w:r w:rsidRPr="00C03AFD">
            <w:rPr>
              <w:noProof/>
              <w:color w:val="928B81"/>
              <w:sz w:val="18"/>
              <w:lang w:eastAsia="en-AU"/>
            </w:rPr>
            <w:fldChar w:fldCharType="end"/>
          </w:r>
        </w:p>
      </w:tc>
      <w:tc>
        <w:tcPr>
          <w:tcW w:w="2350" w:type="pct"/>
        </w:tcPr>
        <w:p w:rsidR="00C03AFD" w:rsidRDefault="00A373A3" w:rsidP="00C03AFD">
          <w:pPr>
            <w:pStyle w:val="Footer"/>
            <w:jc w:val="right"/>
          </w:pPr>
          <w:r>
            <w:rPr>
              <w:noProof/>
              <w:lang w:val="en-AU" w:eastAsia="en-AU"/>
            </w:rPr>
            <w:drawing>
              <wp:inline distT="0" distB="0" distL="0" distR="0" wp14:anchorId="0CB8518D" wp14:editId="161D362A">
                <wp:extent cx="555625" cy="5816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373A3">
            <w:rPr>
              <w:noProof/>
              <w:lang w:eastAsia="en-AU"/>
            </w:rPr>
            <w:t>1</w:t>
          </w:r>
          <w:r>
            <w:rPr>
              <w:noProof/>
              <w:lang w:eastAsia="en-AU"/>
            </w:rPr>
            <w:fldChar w:fldCharType="end"/>
          </w:r>
        </w:p>
      </w:tc>
      <w:tc>
        <w:tcPr>
          <w:tcW w:w="875" w:type="dxa"/>
        </w:tcPr>
        <w:p w:rsidR="00BB532F" w:rsidRDefault="00A373A3" w:rsidP="00BD7BA7">
          <w:pPr>
            <w:pStyle w:val="Footer"/>
            <w:jc w:val="right"/>
          </w:pPr>
          <w:r>
            <w:rPr>
              <w:noProof/>
              <w:lang w:val="en-AU" w:eastAsia="en-AU"/>
            </w:rPr>
            <w:drawing>
              <wp:inline distT="0" distB="0" distL="0" distR="0" wp14:anchorId="0CB8518D" wp14:editId="161D362A">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EE" w:rsidRDefault="008203EE" w:rsidP="00BB532F">
      <w:pPr>
        <w:spacing w:after="0" w:line="240" w:lineRule="auto"/>
      </w:pPr>
      <w:r>
        <w:separator/>
      </w:r>
    </w:p>
  </w:footnote>
  <w:footnote w:type="continuationSeparator" w:id="0">
    <w:p w:rsidR="008203EE" w:rsidRDefault="008203E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Statistician</w:t>
          </w:r>
        </w:p>
      </w:tc>
      <w:tc>
        <w:tcPr>
          <w:tcW w:w="3665" w:type="dxa"/>
        </w:tcPr>
        <w:p w:rsidR="000477E1" w:rsidRPr="000477E1" w:rsidRDefault="00A373A3" w:rsidP="00030565">
          <w:pPr>
            <w:jc w:val="right"/>
          </w:pPr>
          <w:r>
            <w:rPr>
              <w:noProof/>
              <w:lang w:val="en-AU" w:eastAsia="en-AU"/>
            </w:rPr>
            <w:drawing>
              <wp:inline distT="0" distB="0" distL="0" distR="0" wp14:anchorId="1EB404C8" wp14:editId="7B281EA1">
                <wp:extent cx="1895856" cy="67056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_Waratah_NESA_email+sign.jpg"/>
                        <pic:cNvPicPr/>
                      </pic:nvPicPr>
                      <pic:blipFill>
                        <a:blip r:embed="rId1">
                          <a:extLst>
                            <a:ext uri="{28A0092B-C50C-407E-A947-70E740481C1C}">
                              <a14:useLocalDpi xmlns:a14="http://schemas.microsoft.com/office/drawing/2010/main" val="0"/>
                            </a:ext>
                          </a:extLst>
                        </a:blip>
                        <a:stretch>
                          <a:fillRect/>
                        </a:stretch>
                      </pic:blipFill>
                      <pic:spPr>
                        <a:xfrm>
                          <a:off x="0" y="0"/>
                          <a:ext cx="1895856" cy="67056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0289"/>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373A3"/>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B55"/>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77752"/>
  <w15:docId w15:val="{55873387-601C-4581-AA34-799472D5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1810-DFEB-435A-8902-10C7B8D9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Sam Pickering</cp:lastModifiedBy>
  <cp:revision>2</cp:revision>
  <dcterms:created xsi:type="dcterms:W3CDTF">2019-06-11T05:55:00Z</dcterms:created>
  <dcterms:modified xsi:type="dcterms:W3CDTF">2019-06-11T05:55:00Z</dcterms:modified>
</cp:coreProperties>
</file>