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D59C2" w14:paraId="01CB049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3FC01A5"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5D7C5C6" w14:textId="77777777" w:rsidR="00766964" w:rsidRPr="002D59C2" w:rsidRDefault="00766964" w:rsidP="0042689D">
            <w:pPr>
              <w:pStyle w:val="TableTextWhite"/>
              <w:rPr>
                <w:rFonts w:ascii="Public Sans" w:hAnsi="Public Sans" w:cstheme="minorHAnsi"/>
                <w:color w:val="auto"/>
                <w:sz w:val="22"/>
                <w:szCs w:val="22"/>
              </w:rPr>
            </w:pPr>
            <w:r w:rsidRPr="002D59C2">
              <w:rPr>
                <w:rFonts w:ascii="Public Sans" w:hAnsi="Public Sans" w:cstheme="minorHAnsi"/>
                <w:color w:val="auto"/>
                <w:sz w:val="22"/>
                <w:szCs w:val="22"/>
              </w:rPr>
              <w:t xml:space="preserve">Stronger Communities </w:t>
            </w:r>
          </w:p>
        </w:tc>
      </w:tr>
      <w:tr w:rsidR="00766964" w:rsidRPr="002D59C2" w14:paraId="67DD8B2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7AD4AA"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73D5B1F" w14:textId="77777777" w:rsidR="00766964" w:rsidRPr="002D59C2" w:rsidRDefault="00766964" w:rsidP="0042689D">
            <w:pPr>
              <w:pStyle w:val="TableTextWhite"/>
              <w:rPr>
                <w:rFonts w:ascii="Public Sans" w:hAnsi="Public Sans" w:cstheme="minorHAnsi"/>
                <w:color w:val="auto"/>
                <w:sz w:val="22"/>
                <w:szCs w:val="22"/>
              </w:rPr>
            </w:pPr>
            <w:r w:rsidRPr="002D59C2">
              <w:rPr>
                <w:rFonts w:ascii="Public Sans" w:hAnsi="Public Sans" w:cstheme="minorHAnsi"/>
                <w:color w:val="auto"/>
                <w:sz w:val="22"/>
                <w:szCs w:val="22"/>
              </w:rPr>
              <w:t>Department of Communities and Justice</w:t>
            </w:r>
          </w:p>
        </w:tc>
      </w:tr>
      <w:tr w:rsidR="00766964" w:rsidRPr="002D59C2" w14:paraId="4B531A3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313229"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F5E2F8E" w14:textId="72A02154" w:rsidR="00766964" w:rsidRPr="002D59C2" w:rsidRDefault="005116AD" w:rsidP="0042689D">
            <w:pPr>
              <w:pStyle w:val="TableTextWhite"/>
              <w:rPr>
                <w:rFonts w:ascii="Public Sans" w:hAnsi="Public Sans" w:cstheme="minorHAnsi"/>
                <w:color w:val="auto"/>
                <w:sz w:val="22"/>
                <w:szCs w:val="22"/>
              </w:rPr>
            </w:pPr>
            <w:r w:rsidRPr="002D59C2">
              <w:rPr>
                <w:rFonts w:ascii="Public Sans" w:hAnsi="Public Sans"/>
                <w:color w:val="auto"/>
                <w:sz w:val="22"/>
                <w:szCs w:val="22"/>
              </w:rPr>
              <w:t>Office of the Legal Services Commission</w:t>
            </w:r>
            <w:r w:rsidR="009C182B" w:rsidRPr="002D59C2">
              <w:rPr>
                <w:rFonts w:ascii="Public Sans" w:hAnsi="Public Sans"/>
                <w:color w:val="auto"/>
                <w:sz w:val="22"/>
                <w:szCs w:val="22"/>
              </w:rPr>
              <w:t>er</w:t>
            </w:r>
          </w:p>
        </w:tc>
      </w:tr>
      <w:tr w:rsidR="00766964" w:rsidRPr="002D59C2" w14:paraId="1F43C2C3" w14:textId="77777777" w:rsidTr="0042689D">
        <w:tc>
          <w:tcPr>
            <w:tcW w:w="3601" w:type="dxa"/>
            <w:tcBorders>
              <w:top w:val="single" w:sz="8" w:space="0" w:color="FFFFFF"/>
              <w:left w:val="nil"/>
              <w:bottom w:val="single" w:sz="8" w:space="0" w:color="FFFFFF"/>
              <w:right w:val="nil"/>
            </w:tcBorders>
            <w:shd w:val="clear" w:color="auto" w:fill="C6D9F1"/>
            <w:hideMark/>
          </w:tcPr>
          <w:p w14:paraId="4E20F888"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1EB69B9" w14:textId="3130B91B" w:rsidR="00766964" w:rsidRPr="002D59C2" w:rsidRDefault="005116AD" w:rsidP="0042689D">
            <w:pPr>
              <w:pStyle w:val="TableTextWhite"/>
              <w:rPr>
                <w:rFonts w:ascii="Public Sans" w:hAnsi="Public Sans" w:cstheme="minorHAnsi"/>
                <w:color w:val="auto"/>
                <w:sz w:val="22"/>
                <w:szCs w:val="22"/>
              </w:rPr>
            </w:pPr>
            <w:r w:rsidRPr="002D59C2">
              <w:rPr>
                <w:rFonts w:ascii="Public Sans" w:hAnsi="Public Sans" w:cstheme="minorHAnsi"/>
                <w:color w:val="auto"/>
                <w:sz w:val="22"/>
                <w:szCs w:val="22"/>
              </w:rPr>
              <w:t>Sydney</w:t>
            </w:r>
          </w:p>
        </w:tc>
      </w:tr>
      <w:tr w:rsidR="00766964" w:rsidRPr="002D59C2" w14:paraId="73CE00D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593838B"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2A10AA" w14:textId="7A6E9778" w:rsidR="00766964" w:rsidRPr="002D59C2" w:rsidRDefault="005116AD" w:rsidP="0042689D">
            <w:pPr>
              <w:pStyle w:val="TableTextWhite"/>
              <w:rPr>
                <w:rFonts w:ascii="Public Sans" w:hAnsi="Public Sans" w:cstheme="minorHAnsi"/>
                <w:color w:val="auto"/>
                <w:sz w:val="22"/>
                <w:szCs w:val="22"/>
              </w:rPr>
            </w:pPr>
            <w:r w:rsidRPr="002D59C2">
              <w:rPr>
                <w:rFonts w:ascii="Public Sans" w:hAnsi="Public Sans"/>
                <w:color w:val="auto"/>
                <w:sz w:val="22"/>
                <w:szCs w:val="22"/>
              </w:rPr>
              <w:t>Senior Executive Band 1</w:t>
            </w:r>
          </w:p>
        </w:tc>
      </w:tr>
      <w:tr w:rsidR="007F58CC" w:rsidRPr="002D59C2" w14:paraId="2DD2D73F" w14:textId="77777777" w:rsidTr="007F58CC">
        <w:tc>
          <w:tcPr>
            <w:tcW w:w="3601" w:type="dxa"/>
            <w:tcBorders>
              <w:top w:val="single" w:sz="8" w:space="0" w:color="FFFFFF"/>
              <w:left w:val="nil"/>
              <w:bottom w:val="single" w:sz="8" w:space="0" w:color="FFFFFF"/>
              <w:right w:val="nil"/>
            </w:tcBorders>
            <w:shd w:val="clear" w:color="auto" w:fill="C6D9F1"/>
            <w:hideMark/>
          </w:tcPr>
          <w:p w14:paraId="4102B243" w14:textId="77777777" w:rsidR="007F58CC" w:rsidRPr="002D59C2" w:rsidRDefault="007F58CC">
            <w:pPr>
              <w:pStyle w:val="TableTextWhite"/>
              <w:rPr>
                <w:rFonts w:ascii="Public Sans" w:hAnsi="Public Sans"/>
                <w:b/>
                <w:color w:val="auto"/>
                <w:sz w:val="22"/>
                <w:szCs w:val="22"/>
              </w:rPr>
            </w:pPr>
            <w:r w:rsidRPr="002D59C2">
              <w:rPr>
                <w:rFonts w:ascii="Public Sans" w:hAnsi="Public Sans"/>
                <w:b/>
                <w:color w:val="auto"/>
                <w:sz w:val="22"/>
                <w:szCs w:val="22"/>
              </w:rPr>
              <w:t>Senior Executive Work Level Standards:</w:t>
            </w:r>
          </w:p>
        </w:tc>
        <w:tc>
          <w:tcPr>
            <w:tcW w:w="6955" w:type="dxa"/>
            <w:gridSpan w:val="2"/>
            <w:tcBorders>
              <w:top w:val="single" w:sz="8" w:space="0" w:color="FFFFFF"/>
              <w:left w:val="nil"/>
              <w:bottom w:val="single" w:sz="8" w:space="0" w:color="FFFFFF"/>
              <w:right w:val="nil"/>
            </w:tcBorders>
            <w:shd w:val="clear" w:color="auto" w:fill="C6D9F1"/>
            <w:hideMark/>
          </w:tcPr>
          <w:p w14:paraId="1F7D87E3" w14:textId="785FA33A" w:rsidR="0015260B" w:rsidRPr="002D59C2" w:rsidRDefault="0015260B">
            <w:pPr>
              <w:pStyle w:val="TableTextWhite"/>
              <w:rPr>
                <w:rFonts w:ascii="Public Sans" w:hAnsi="Public Sans"/>
                <w:color w:val="auto"/>
                <w:sz w:val="22"/>
                <w:szCs w:val="22"/>
              </w:rPr>
            </w:pPr>
            <w:r w:rsidRPr="002D59C2">
              <w:rPr>
                <w:rFonts w:ascii="Public Sans" w:hAnsi="Public Sans"/>
                <w:color w:val="auto"/>
                <w:sz w:val="22"/>
                <w:szCs w:val="22"/>
              </w:rPr>
              <w:t xml:space="preserve"> </w:t>
            </w:r>
            <w:r w:rsidRPr="002D59C2">
              <w:rPr>
                <w:rFonts w:ascii="Public Sans" w:hAnsi="Public Sans" w:cstheme="minorHAnsi"/>
                <w:color w:val="auto"/>
                <w:sz w:val="22"/>
                <w:szCs w:val="22"/>
              </w:rPr>
              <w:t xml:space="preserve">Work Contribution Stream: </w:t>
            </w:r>
            <w:r w:rsidR="00381123">
              <w:rPr>
                <w:rFonts w:ascii="Public Sans" w:hAnsi="Public Sans" w:cstheme="minorHAnsi"/>
                <w:color w:val="auto"/>
                <w:sz w:val="22"/>
                <w:szCs w:val="22"/>
              </w:rPr>
              <w:t>Regulatory/Compliance</w:t>
            </w:r>
          </w:p>
        </w:tc>
      </w:tr>
      <w:tr w:rsidR="00766964" w:rsidRPr="002D59C2" w14:paraId="5A03394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C98662E"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D94A177" w14:textId="4FA0C8D9" w:rsidR="00766964" w:rsidRPr="002D59C2" w:rsidRDefault="005116AD" w:rsidP="0042689D">
            <w:pPr>
              <w:pStyle w:val="TableTextWhite"/>
              <w:rPr>
                <w:rFonts w:ascii="Public Sans" w:hAnsi="Public Sans" w:cstheme="minorHAnsi"/>
                <w:color w:val="auto"/>
                <w:sz w:val="22"/>
                <w:szCs w:val="22"/>
              </w:rPr>
            </w:pPr>
            <w:r w:rsidRPr="002D59C2">
              <w:rPr>
                <w:rFonts w:ascii="Public Sans" w:hAnsi="Public Sans"/>
                <w:color w:val="auto"/>
                <w:sz w:val="22"/>
                <w:szCs w:val="22"/>
              </w:rPr>
              <w:t>50009310</w:t>
            </w:r>
          </w:p>
        </w:tc>
      </w:tr>
      <w:tr w:rsidR="00766964" w:rsidRPr="002D59C2" w14:paraId="01F84BA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B86973"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5B23DC3" w14:textId="22D22F7E" w:rsidR="00766964" w:rsidRPr="002D59C2" w:rsidRDefault="005116AD" w:rsidP="0042689D">
            <w:pPr>
              <w:pStyle w:val="TableTextWhite"/>
              <w:rPr>
                <w:rFonts w:ascii="Public Sans" w:hAnsi="Public Sans" w:cstheme="minorHAnsi"/>
                <w:color w:val="auto"/>
                <w:sz w:val="22"/>
                <w:szCs w:val="22"/>
              </w:rPr>
            </w:pPr>
            <w:r w:rsidRPr="002D59C2">
              <w:rPr>
                <w:rFonts w:ascii="Public Sans" w:hAnsi="Public Sans"/>
                <w:color w:val="auto"/>
                <w:sz w:val="22"/>
                <w:szCs w:val="22"/>
              </w:rPr>
              <w:t>139999</w:t>
            </w:r>
          </w:p>
        </w:tc>
      </w:tr>
      <w:tr w:rsidR="00766964" w:rsidRPr="002D59C2" w14:paraId="658F283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7A9856"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332F934" w14:textId="588E40CF" w:rsidR="00766964" w:rsidRPr="002D59C2" w:rsidRDefault="005116AD" w:rsidP="0042689D">
            <w:pPr>
              <w:pStyle w:val="TableTextWhite"/>
              <w:rPr>
                <w:rFonts w:ascii="Public Sans" w:hAnsi="Public Sans" w:cstheme="minorHAnsi"/>
                <w:color w:val="auto"/>
                <w:sz w:val="22"/>
                <w:szCs w:val="22"/>
              </w:rPr>
            </w:pPr>
            <w:r w:rsidRPr="002D59C2">
              <w:rPr>
                <w:rFonts w:ascii="Public Sans" w:hAnsi="Public Sans"/>
                <w:color w:val="auto"/>
                <w:sz w:val="22"/>
                <w:szCs w:val="22"/>
              </w:rPr>
              <w:t>3119181</w:t>
            </w:r>
          </w:p>
        </w:tc>
      </w:tr>
      <w:tr w:rsidR="00766964" w:rsidRPr="002D59C2" w14:paraId="39A4EB9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005B3A5"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5C9A499" w14:textId="5A7E5C69" w:rsidR="00766964" w:rsidRPr="002D59C2" w:rsidRDefault="002D59C2" w:rsidP="0042689D">
            <w:pPr>
              <w:pStyle w:val="TableTextWhite"/>
              <w:rPr>
                <w:rFonts w:ascii="Public Sans" w:hAnsi="Public Sans" w:cstheme="minorHAnsi"/>
                <w:color w:val="auto"/>
                <w:sz w:val="22"/>
                <w:szCs w:val="22"/>
              </w:rPr>
            </w:pPr>
            <w:r w:rsidRPr="002D59C2">
              <w:rPr>
                <w:rFonts w:ascii="Public Sans" w:hAnsi="Public Sans"/>
                <w:color w:val="auto"/>
                <w:sz w:val="22"/>
                <w:szCs w:val="22"/>
              </w:rPr>
              <w:t>23 December 2022</w:t>
            </w:r>
          </w:p>
        </w:tc>
        <w:tc>
          <w:tcPr>
            <w:tcW w:w="2561" w:type="dxa"/>
            <w:tcBorders>
              <w:top w:val="single" w:sz="8" w:space="0" w:color="FFFFFF"/>
              <w:left w:val="nil"/>
              <w:bottom w:val="single" w:sz="8" w:space="0" w:color="FFFFFF"/>
              <w:right w:val="nil"/>
            </w:tcBorders>
            <w:shd w:val="clear" w:color="auto" w:fill="C6D9F1"/>
          </w:tcPr>
          <w:p w14:paraId="13BC4B64" w14:textId="08E10F8B"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Ref:</w:t>
            </w:r>
            <w:r w:rsidR="005116AD" w:rsidRPr="002D59C2">
              <w:rPr>
                <w:rFonts w:ascii="Public Sans" w:hAnsi="Public Sans"/>
                <w:b/>
                <w:color w:val="auto"/>
                <w:sz w:val="22"/>
                <w:szCs w:val="22"/>
              </w:rPr>
              <w:t xml:space="preserve"> </w:t>
            </w:r>
            <w:r w:rsidR="00EC034A" w:rsidRPr="00EC034A">
              <w:rPr>
                <w:rFonts w:ascii="Public Sans" w:hAnsi="Public Sans"/>
                <w:b/>
                <w:bCs/>
                <w:color w:val="auto"/>
                <w:sz w:val="22"/>
                <w:szCs w:val="22"/>
              </w:rPr>
              <w:t>B1/0207</w:t>
            </w:r>
          </w:p>
        </w:tc>
      </w:tr>
      <w:tr w:rsidR="00766964" w:rsidRPr="002D59C2" w14:paraId="3EEF5CE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6EE8C13" w14:textId="77777777" w:rsidR="00766964" w:rsidRPr="002D59C2" w:rsidRDefault="00766964" w:rsidP="0042689D">
            <w:pPr>
              <w:pStyle w:val="TableTextWhite"/>
              <w:rPr>
                <w:rFonts w:ascii="Public Sans" w:hAnsi="Public Sans" w:cstheme="minorHAnsi"/>
                <w:b/>
                <w:color w:val="auto"/>
                <w:sz w:val="22"/>
                <w:szCs w:val="22"/>
              </w:rPr>
            </w:pPr>
            <w:r w:rsidRPr="002D59C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805952" w14:textId="77777777" w:rsidR="00766964" w:rsidRPr="002D59C2" w:rsidRDefault="00920A62" w:rsidP="0042689D">
            <w:pPr>
              <w:pStyle w:val="TableTextWhite"/>
              <w:rPr>
                <w:rFonts w:ascii="Public Sans" w:hAnsi="Public Sans" w:cstheme="minorHAnsi"/>
                <w:color w:val="auto"/>
                <w:sz w:val="22"/>
                <w:szCs w:val="22"/>
              </w:rPr>
            </w:pPr>
            <w:r w:rsidRPr="002D59C2">
              <w:rPr>
                <w:rFonts w:ascii="Public Sans" w:hAnsi="Public Sans" w:cstheme="minorHAnsi"/>
                <w:color w:val="auto"/>
                <w:sz w:val="22"/>
                <w:szCs w:val="22"/>
              </w:rPr>
              <w:t>www.dcj</w:t>
            </w:r>
            <w:r w:rsidR="00766964" w:rsidRPr="002D59C2">
              <w:rPr>
                <w:rFonts w:ascii="Public Sans" w:hAnsi="Public Sans" w:cstheme="minorHAnsi"/>
                <w:color w:val="auto"/>
                <w:sz w:val="22"/>
                <w:szCs w:val="22"/>
              </w:rPr>
              <w:t>.nsw.gov.au</w:t>
            </w:r>
          </w:p>
        </w:tc>
      </w:tr>
    </w:tbl>
    <w:p w14:paraId="7FCBFA02" w14:textId="77777777" w:rsidR="00960981" w:rsidRPr="002D59C2" w:rsidRDefault="00960981" w:rsidP="00960981">
      <w:pPr>
        <w:pStyle w:val="Heading1"/>
        <w:spacing w:after="0" w:line="240" w:lineRule="auto"/>
        <w:rPr>
          <w:rFonts w:ascii="Public Sans" w:hAnsi="Public Sans" w:cstheme="minorHAnsi"/>
          <w:sz w:val="24"/>
          <w:szCs w:val="24"/>
        </w:rPr>
      </w:pPr>
    </w:p>
    <w:p w14:paraId="4F4314BD" w14:textId="77777777" w:rsidR="003F1151" w:rsidRPr="002D59C2" w:rsidRDefault="003F1151" w:rsidP="00960981">
      <w:pPr>
        <w:pStyle w:val="Heading1"/>
        <w:spacing w:after="0" w:line="240" w:lineRule="auto"/>
        <w:rPr>
          <w:rFonts w:ascii="Public Sans" w:hAnsi="Public Sans" w:cstheme="minorHAnsi"/>
          <w:sz w:val="24"/>
          <w:szCs w:val="24"/>
        </w:rPr>
      </w:pPr>
      <w:r w:rsidRPr="002D59C2">
        <w:rPr>
          <w:rFonts w:ascii="Public Sans" w:hAnsi="Public Sans" w:cstheme="minorHAnsi"/>
          <w:sz w:val="24"/>
          <w:szCs w:val="24"/>
        </w:rPr>
        <w:t>Agency overview</w:t>
      </w:r>
    </w:p>
    <w:p w14:paraId="5B7F73CB" w14:textId="043DF15B" w:rsidR="003F1151" w:rsidRDefault="003F1151" w:rsidP="003F1151">
      <w:pPr>
        <w:jc w:val="both"/>
        <w:rPr>
          <w:rFonts w:ascii="Public Sans" w:hAnsi="Public Sans" w:cstheme="minorHAnsi"/>
          <w:iCs/>
        </w:rPr>
      </w:pPr>
      <w:r w:rsidRPr="002D59C2">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D59C2">
        <w:rPr>
          <w:rFonts w:ascii="Public Sans" w:hAnsi="Public Sans" w:cstheme="minorHAnsi"/>
          <w:iCs/>
        </w:rPr>
        <w:t>s</w:t>
      </w:r>
      <w:r w:rsidRPr="002D59C2">
        <w:rPr>
          <w:rFonts w:ascii="Public Sans" w:hAnsi="Public Sans"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5760EE3F" w14:textId="77777777" w:rsidR="00B74DB3" w:rsidRPr="002D59C2" w:rsidRDefault="00B74DB3" w:rsidP="002060CD">
      <w:pPr>
        <w:spacing w:after="0" w:line="240" w:lineRule="auto"/>
        <w:jc w:val="both"/>
        <w:rPr>
          <w:rFonts w:ascii="Public Sans" w:hAnsi="Public Sans" w:cstheme="minorHAnsi"/>
          <w:iCs/>
        </w:rPr>
      </w:pPr>
    </w:p>
    <w:p w14:paraId="6B88279A" w14:textId="52989092" w:rsidR="009C182B" w:rsidRPr="002D59C2" w:rsidRDefault="00A672D2" w:rsidP="00F824AD">
      <w:pPr>
        <w:jc w:val="both"/>
        <w:rPr>
          <w:rFonts w:ascii="Public Sans" w:hAnsi="Public Sans" w:cstheme="minorHAnsi"/>
          <w:iCs/>
        </w:rPr>
      </w:pPr>
      <w:r w:rsidRPr="002D59C2">
        <w:rPr>
          <w:rFonts w:ascii="Public Sans" w:hAnsi="Public Sans" w:cstheme="minorHAnsi"/>
          <w:iCs/>
        </w:rPr>
        <w:t>The Office of the Legal Services Commissioner</w:t>
      </w:r>
      <w:r w:rsidR="009C182B" w:rsidRPr="002D59C2">
        <w:rPr>
          <w:rFonts w:ascii="Public Sans" w:hAnsi="Public Sans" w:cstheme="minorHAnsi"/>
          <w:iCs/>
        </w:rPr>
        <w:t xml:space="preserve"> deals with complaints about lawyers under the </w:t>
      </w:r>
      <w:r w:rsidR="009C182B" w:rsidRPr="002D59C2">
        <w:rPr>
          <w:rFonts w:ascii="Public Sans" w:hAnsi="Public Sans" w:cstheme="minorHAnsi"/>
          <w:i/>
          <w:iCs/>
        </w:rPr>
        <w:t>Legal Profession Uniform Law (NSW)</w:t>
      </w:r>
      <w:r w:rsidR="009C182B" w:rsidRPr="002D59C2">
        <w:rPr>
          <w:rFonts w:ascii="Public Sans" w:hAnsi="Public Sans" w:cstheme="minorHAnsi"/>
          <w:iCs/>
        </w:rPr>
        <w:t xml:space="preserve"> and </w:t>
      </w:r>
      <w:r w:rsidR="009C182B" w:rsidRPr="002D59C2">
        <w:rPr>
          <w:rFonts w:ascii="Public Sans" w:hAnsi="Public Sans" w:cstheme="minorHAnsi"/>
          <w:i/>
          <w:iCs/>
        </w:rPr>
        <w:t xml:space="preserve">Legal Profession Uniform Law Application Act 2014. </w:t>
      </w:r>
      <w:r w:rsidR="009C182B" w:rsidRPr="002D59C2">
        <w:rPr>
          <w:rFonts w:ascii="Public Sans" w:hAnsi="Public Sans" w:cstheme="minorHAnsi"/>
          <w:iCs/>
        </w:rPr>
        <w:t xml:space="preserve"> The Office of the Legal </w:t>
      </w:r>
      <w:r w:rsidR="00A5077C" w:rsidRPr="002D59C2">
        <w:rPr>
          <w:rFonts w:ascii="Public Sans" w:hAnsi="Public Sans" w:cstheme="minorHAnsi"/>
          <w:iCs/>
        </w:rPr>
        <w:t>S</w:t>
      </w:r>
      <w:r w:rsidR="009C182B" w:rsidRPr="002D59C2">
        <w:rPr>
          <w:rFonts w:ascii="Public Sans" w:hAnsi="Public Sans" w:cstheme="minorHAnsi"/>
          <w:iCs/>
        </w:rPr>
        <w:t>ervices Commissioner oversees the investigation of complaints, attempts to resolve consumer matters informally and may take disciplinary action against a solicitor or barrister, or commence disciplinary proceedings in N</w:t>
      </w:r>
      <w:r w:rsidR="00675BB1" w:rsidRPr="002D59C2">
        <w:rPr>
          <w:rFonts w:ascii="Public Sans" w:hAnsi="Public Sans" w:cstheme="minorHAnsi"/>
          <w:iCs/>
        </w:rPr>
        <w:t xml:space="preserve">SW </w:t>
      </w:r>
      <w:r w:rsidR="009C182B" w:rsidRPr="002D59C2">
        <w:rPr>
          <w:rFonts w:ascii="Public Sans" w:hAnsi="Public Sans" w:cstheme="minorHAnsi"/>
          <w:iCs/>
        </w:rPr>
        <w:t>C</w:t>
      </w:r>
      <w:r w:rsidR="00675BB1" w:rsidRPr="002D59C2">
        <w:rPr>
          <w:rFonts w:ascii="Public Sans" w:hAnsi="Public Sans" w:cstheme="minorHAnsi"/>
          <w:iCs/>
        </w:rPr>
        <w:t xml:space="preserve">ivil and </w:t>
      </w:r>
      <w:r w:rsidR="009C182B" w:rsidRPr="002D59C2">
        <w:rPr>
          <w:rFonts w:ascii="Public Sans" w:hAnsi="Public Sans" w:cstheme="minorHAnsi"/>
          <w:iCs/>
        </w:rPr>
        <w:t>A</w:t>
      </w:r>
      <w:r w:rsidR="00675BB1" w:rsidRPr="002D59C2">
        <w:rPr>
          <w:rFonts w:ascii="Public Sans" w:hAnsi="Public Sans" w:cstheme="minorHAnsi"/>
          <w:iCs/>
        </w:rPr>
        <w:t xml:space="preserve">dministrative </w:t>
      </w:r>
      <w:r w:rsidR="009C182B" w:rsidRPr="002D59C2">
        <w:rPr>
          <w:rFonts w:ascii="Public Sans" w:hAnsi="Public Sans" w:cstheme="minorHAnsi"/>
          <w:iCs/>
        </w:rPr>
        <w:t>T</w:t>
      </w:r>
      <w:r w:rsidR="00675BB1" w:rsidRPr="002D59C2">
        <w:rPr>
          <w:rFonts w:ascii="Public Sans" w:hAnsi="Public Sans" w:cstheme="minorHAnsi"/>
          <w:iCs/>
        </w:rPr>
        <w:t>ribunal</w:t>
      </w:r>
      <w:r w:rsidR="009C182B" w:rsidRPr="002D59C2">
        <w:rPr>
          <w:rFonts w:ascii="Public Sans" w:hAnsi="Public Sans" w:cstheme="minorHAnsi"/>
          <w:iCs/>
        </w:rPr>
        <w:t xml:space="preserve"> - Occupational Division. </w:t>
      </w:r>
    </w:p>
    <w:p w14:paraId="2D20A3E4" w14:textId="77777777" w:rsidR="000A68E3" w:rsidRPr="002D59C2" w:rsidRDefault="000A68E3" w:rsidP="000A68E3">
      <w:pPr>
        <w:pStyle w:val="Heading1"/>
        <w:spacing w:before="40"/>
        <w:rPr>
          <w:rFonts w:ascii="Public Sans" w:hAnsi="Public Sans"/>
          <w:sz w:val="24"/>
          <w:szCs w:val="24"/>
        </w:rPr>
      </w:pPr>
      <w:r w:rsidRPr="002D59C2">
        <w:rPr>
          <w:rFonts w:ascii="Public Sans" w:hAnsi="Public Sans"/>
          <w:sz w:val="24"/>
          <w:szCs w:val="24"/>
        </w:rPr>
        <w:t>Primary purpose of the role</w:t>
      </w:r>
    </w:p>
    <w:p w14:paraId="583C4003" w14:textId="41EF197D" w:rsidR="000A68E3" w:rsidRPr="002D59C2" w:rsidRDefault="000A68E3" w:rsidP="000A68E3">
      <w:pPr>
        <w:pStyle w:val="BodyText2"/>
        <w:spacing w:before="120" w:after="0" w:line="240" w:lineRule="auto"/>
        <w:jc w:val="both"/>
        <w:rPr>
          <w:rFonts w:ascii="Public Sans" w:hAnsi="Public Sans" w:cs="Arial"/>
        </w:rPr>
      </w:pPr>
      <w:bookmarkStart w:id="0" w:name="Purpose"/>
      <w:bookmarkEnd w:id="0"/>
      <w:r w:rsidRPr="002D59C2">
        <w:rPr>
          <w:rFonts w:ascii="Public Sans" w:hAnsi="Public Sans" w:cs="Arial"/>
        </w:rPr>
        <w:t xml:space="preserve">The Commissioner is an independent statutory office holder exercising critical regulatory functions under the </w:t>
      </w:r>
      <w:r w:rsidRPr="002D59C2">
        <w:rPr>
          <w:rFonts w:ascii="Public Sans" w:hAnsi="Public Sans" w:cs="Arial"/>
          <w:i/>
          <w:iCs/>
        </w:rPr>
        <w:t>Legal Profession Act 2004</w:t>
      </w:r>
      <w:r w:rsidRPr="002D59C2">
        <w:rPr>
          <w:rFonts w:ascii="Public Sans" w:hAnsi="Public Sans" w:cs="Arial"/>
        </w:rPr>
        <w:t xml:space="preserve"> </w:t>
      </w:r>
      <w:r w:rsidR="00D0595E" w:rsidRPr="002D59C2">
        <w:rPr>
          <w:rFonts w:ascii="Public Sans" w:hAnsi="Public Sans" w:cs="Arial"/>
        </w:rPr>
        <w:t>and</w:t>
      </w:r>
      <w:r w:rsidR="00F824AD" w:rsidRPr="002D59C2">
        <w:rPr>
          <w:rFonts w:ascii="Public Sans" w:hAnsi="Public Sans" w:cs="Arial"/>
        </w:rPr>
        <w:t xml:space="preserve"> </w:t>
      </w:r>
      <w:r w:rsidR="00F824AD" w:rsidRPr="002D59C2">
        <w:rPr>
          <w:rFonts w:ascii="Public Sans" w:hAnsi="Public Sans" w:cs="Arial"/>
          <w:i/>
          <w:iCs/>
        </w:rPr>
        <w:t>Legal Profession Uniform Law Application Act 2014.</w:t>
      </w:r>
      <w:r w:rsidRPr="002D59C2">
        <w:rPr>
          <w:rFonts w:ascii="Public Sans" w:hAnsi="Public Sans" w:cs="Arial"/>
        </w:rPr>
        <w:t xml:space="preserve"> The Commissioner plays a leading role in the co-regulatory system of professional regulation for lawyers in New South Wales and the role is essential to maintaining public confidence in the complaints handling system. </w:t>
      </w:r>
    </w:p>
    <w:p w14:paraId="69C6FFB8" w14:textId="77777777" w:rsidR="008D4477" w:rsidRPr="002D59C2" w:rsidRDefault="000A68E3" w:rsidP="000A68E3">
      <w:pPr>
        <w:pStyle w:val="BodyText2"/>
        <w:spacing w:before="120" w:after="0" w:line="240" w:lineRule="auto"/>
        <w:jc w:val="both"/>
        <w:rPr>
          <w:rFonts w:ascii="Public Sans" w:hAnsi="Public Sans" w:cs="Arial"/>
        </w:rPr>
      </w:pPr>
      <w:r w:rsidRPr="002D59C2">
        <w:rPr>
          <w:rFonts w:ascii="Public Sans" w:hAnsi="Public Sans" w:cs="Arial"/>
        </w:rPr>
        <w:t xml:space="preserve">The primary functions of the Commissioner’s Office are to manage and investigate complaints about the conduct of lawyers (including making summary disciplinary orders against lawyers); monitor the professional associations’ handling of complaints; reviewing decisions of the professional associations upon application; and prosecuting serious cases of misconduct in the NSW Civil and Administrative Tribunal and/or the Court of Appeal.  </w:t>
      </w:r>
    </w:p>
    <w:p w14:paraId="1A70994B" w14:textId="50BC7AFC" w:rsidR="000A68E3" w:rsidRPr="002D59C2" w:rsidRDefault="000A68E3" w:rsidP="000A68E3">
      <w:pPr>
        <w:pStyle w:val="BodyText2"/>
        <w:spacing w:before="120" w:after="0" w:line="240" w:lineRule="auto"/>
        <w:jc w:val="both"/>
        <w:rPr>
          <w:rFonts w:ascii="Public Sans" w:hAnsi="Public Sans" w:cs="Arial"/>
        </w:rPr>
      </w:pPr>
      <w:r w:rsidRPr="002D59C2">
        <w:rPr>
          <w:rFonts w:ascii="Public Sans" w:hAnsi="Public Sans" w:cs="Arial"/>
        </w:rPr>
        <w:lastRenderedPageBreak/>
        <w:t xml:space="preserve">The Commissioner is also required to contribute to the development of professional conduct rules (and Uniform Rules under the Uniform Law), propose regulatory reform to the Attorney General and provide advice as requested. </w:t>
      </w:r>
    </w:p>
    <w:p w14:paraId="6CB5A2CB" w14:textId="520DAF0F" w:rsidR="000A68E3" w:rsidRPr="002D59C2" w:rsidRDefault="000A68E3" w:rsidP="000A68E3">
      <w:pPr>
        <w:pStyle w:val="BodyText2"/>
        <w:spacing w:before="120" w:after="0" w:line="240" w:lineRule="auto"/>
        <w:jc w:val="both"/>
        <w:rPr>
          <w:rFonts w:ascii="Public Sans" w:hAnsi="Public Sans" w:cs="Arial"/>
        </w:rPr>
      </w:pPr>
      <w:r w:rsidRPr="002D59C2">
        <w:rPr>
          <w:rFonts w:ascii="Public Sans" w:hAnsi="Public Sans" w:cs="Arial"/>
        </w:rPr>
        <w:t>The Commissioner must be</w:t>
      </w:r>
      <w:r w:rsidR="00924204" w:rsidRPr="002D59C2" w:rsidDel="00924204">
        <w:rPr>
          <w:rFonts w:ascii="Public Sans" w:hAnsi="Public Sans" w:cs="Arial"/>
        </w:rPr>
        <w:t xml:space="preserve"> </w:t>
      </w:r>
      <w:r w:rsidRPr="002D59C2">
        <w:rPr>
          <w:rFonts w:ascii="Public Sans" w:hAnsi="Public Sans" w:cs="Arial"/>
        </w:rPr>
        <w:t>with the nature of the legal system and legal practice (but need not be an Australian legal practitioner), and must demonstrate qualities of independence, fairness and integrity.</w:t>
      </w:r>
    </w:p>
    <w:p w14:paraId="0F3329B4" w14:textId="77777777" w:rsidR="000A68E3" w:rsidRPr="002D59C2" w:rsidRDefault="000A68E3" w:rsidP="000A68E3">
      <w:pPr>
        <w:rPr>
          <w:rFonts w:ascii="Public Sans" w:hAnsi="Public Sans"/>
        </w:rPr>
      </w:pPr>
    </w:p>
    <w:p w14:paraId="38D39DDB" w14:textId="77777777" w:rsidR="000A68E3" w:rsidRPr="002D59C2" w:rsidRDefault="000A68E3" w:rsidP="000A68E3">
      <w:pPr>
        <w:pStyle w:val="Heading1"/>
        <w:spacing w:after="0" w:line="240" w:lineRule="auto"/>
        <w:rPr>
          <w:rFonts w:ascii="Public Sans" w:hAnsi="Public Sans"/>
          <w:sz w:val="24"/>
          <w:szCs w:val="24"/>
        </w:rPr>
      </w:pPr>
      <w:r w:rsidRPr="002D59C2">
        <w:rPr>
          <w:rFonts w:ascii="Public Sans" w:hAnsi="Public Sans"/>
          <w:sz w:val="24"/>
          <w:szCs w:val="24"/>
        </w:rPr>
        <w:t>Key accountabilities</w:t>
      </w:r>
    </w:p>
    <w:p w14:paraId="3A94B961" w14:textId="54F0C7BC" w:rsidR="00BF4FD9" w:rsidRPr="002D59C2" w:rsidRDefault="00BF4FD9" w:rsidP="000A68E3">
      <w:pPr>
        <w:pStyle w:val="ListBullet"/>
        <w:tabs>
          <w:tab w:val="clear" w:pos="284"/>
          <w:tab w:val="num" w:pos="360"/>
        </w:tabs>
        <w:spacing w:before="120"/>
        <w:ind w:left="360" w:hanging="360"/>
        <w:jc w:val="both"/>
        <w:rPr>
          <w:rFonts w:ascii="Public Sans" w:hAnsi="Public Sans" w:cs="Arial"/>
        </w:rPr>
      </w:pPr>
      <w:bookmarkStart w:id="1" w:name="Accountabilities"/>
      <w:bookmarkEnd w:id="1"/>
      <w:r w:rsidRPr="002D59C2">
        <w:rPr>
          <w:rFonts w:ascii="Public Sans" w:hAnsi="Public Sans" w:cs="Arial"/>
        </w:rPr>
        <w:t xml:space="preserve">Be a thought leader and have broad influence </w:t>
      </w:r>
      <w:r w:rsidR="00EE2AFC" w:rsidRPr="002D59C2">
        <w:rPr>
          <w:rFonts w:ascii="Public Sans" w:hAnsi="Public Sans" w:cs="Arial"/>
        </w:rPr>
        <w:t>within the Legal community</w:t>
      </w:r>
      <w:r w:rsidR="00631266" w:rsidRPr="002D59C2">
        <w:rPr>
          <w:rFonts w:ascii="Public Sans" w:hAnsi="Public Sans" w:cs="Arial"/>
        </w:rPr>
        <w:t xml:space="preserve">, including leading the legal profession regulation sector within NSW. </w:t>
      </w:r>
    </w:p>
    <w:p w14:paraId="295BAEA1" w14:textId="66EC5188" w:rsidR="000A68E3" w:rsidRPr="002D59C2" w:rsidRDefault="00262D97"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Safeguard </w:t>
      </w:r>
      <w:r w:rsidR="000A68E3" w:rsidRPr="002D59C2">
        <w:rPr>
          <w:rFonts w:ascii="Public Sans" w:hAnsi="Public Sans" w:cs="Arial"/>
        </w:rPr>
        <w:t xml:space="preserve">the Office of the Legal Services Commissioner (OLSC) </w:t>
      </w:r>
      <w:r w:rsidRPr="002D59C2">
        <w:rPr>
          <w:rFonts w:ascii="Public Sans" w:hAnsi="Public Sans" w:cs="Arial"/>
        </w:rPr>
        <w:t xml:space="preserve">provision of </w:t>
      </w:r>
      <w:r w:rsidR="000A68E3" w:rsidRPr="002D59C2">
        <w:rPr>
          <w:rFonts w:ascii="Public Sans" w:hAnsi="Public Sans" w:cs="Arial"/>
        </w:rPr>
        <w:t>timely, comprehensive</w:t>
      </w:r>
      <w:r w:rsidRPr="002D59C2">
        <w:rPr>
          <w:rFonts w:ascii="Public Sans" w:hAnsi="Public Sans" w:cs="Arial"/>
        </w:rPr>
        <w:t>,</w:t>
      </w:r>
      <w:r w:rsidR="000A68E3" w:rsidRPr="002D59C2">
        <w:rPr>
          <w:rFonts w:ascii="Public Sans" w:hAnsi="Public Sans" w:cs="Arial"/>
        </w:rPr>
        <w:t xml:space="preserve"> </w:t>
      </w:r>
      <w:proofErr w:type="gramStart"/>
      <w:r w:rsidR="000A68E3" w:rsidRPr="002D59C2">
        <w:rPr>
          <w:rFonts w:ascii="Public Sans" w:hAnsi="Public Sans" w:cs="Arial"/>
        </w:rPr>
        <w:t>high quality</w:t>
      </w:r>
      <w:proofErr w:type="gramEnd"/>
      <w:r w:rsidR="000A68E3" w:rsidRPr="002D59C2">
        <w:rPr>
          <w:rFonts w:ascii="Public Sans" w:hAnsi="Public Sans" w:cs="Arial"/>
        </w:rPr>
        <w:t xml:space="preserve"> advice and assistance to consumers experiencing service-level issues with their lawyer or raising concerns about unsatisfactory or professional misconduct of lawyers.</w:t>
      </w:r>
    </w:p>
    <w:p w14:paraId="3D4728AF" w14:textId="77777777" w:rsidR="000A68E3" w:rsidRPr="002D59C2" w:rsidRDefault="000A68E3"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Ensure the referral and resolution of complaints about lawyers is timely, fair, transparent, efficient and cost effective. </w:t>
      </w:r>
    </w:p>
    <w:p w14:paraId="6DF0A560" w14:textId="77777777" w:rsidR="000A68E3" w:rsidRPr="002D59C2" w:rsidRDefault="000A68E3"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Ensure the services provided by the OLSC are responsive to client needs as evidenced by surveys of complainants and respondent lawyers.</w:t>
      </w:r>
    </w:p>
    <w:p w14:paraId="440551FB" w14:textId="1300C459" w:rsidR="000A68E3" w:rsidRPr="002D59C2" w:rsidRDefault="00887775"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Raise </w:t>
      </w:r>
      <w:r w:rsidR="000A68E3" w:rsidRPr="002D59C2">
        <w:rPr>
          <w:rFonts w:ascii="Public Sans" w:hAnsi="Public Sans" w:cs="Arial"/>
        </w:rPr>
        <w:t>community education about the regulation and discipline of the legal profession and assist legal profession regulatory bodies in the enhancement of professional ethics and standards.</w:t>
      </w:r>
    </w:p>
    <w:p w14:paraId="60CFB5E0" w14:textId="77D6E12C" w:rsidR="007C3B48" w:rsidRPr="002D59C2" w:rsidRDefault="007C3B48" w:rsidP="000A4A4F">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Provide authoritative and advice and recommendations, to key stakeholders and regulators </w:t>
      </w:r>
      <w:r w:rsidR="000A4A4F" w:rsidRPr="002D59C2">
        <w:rPr>
          <w:rFonts w:ascii="Public Sans" w:hAnsi="Public Sans" w:cs="Arial"/>
        </w:rPr>
        <w:t>to enhance professional ethics and standards.</w:t>
      </w:r>
    </w:p>
    <w:p w14:paraId="1B26D8A3" w14:textId="77777777" w:rsidR="000A68E3" w:rsidRPr="002D59C2" w:rsidRDefault="000A68E3"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Refer complaints to the appropriate professional association for investigation; monitor those investigations and give directions and assistance as appropriate; review the decisions of the associations to dismiss complaints or to reprimand Australian lawyers or Australian-registered foreign lawyers in connection with complaints; take over investigations or to institute proceedings in the Tribunal against Australian lawyers or Australian-registered foreign lawyers following a review by the Commissioner. </w:t>
      </w:r>
    </w:p>
    <w:p w14:paraId="3C519F82" w14:textId="77777777" w:rsidR="000A68E3" w:rsidRPr="002D59C2" w:rsidRDefault="000A68E3"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Identify issues of community concern about emerging practices within the legal services market or the regulation of the profession and oversee strategic regulatory intervention or recommend improvements to the regulatory framework. </w:t>
      </w:r>
    </w:p>
    <w:p w14:paraId="03B6C0E7" w14:textId="08B54657" w:rsidR="000A68E3" w:rsidRPr="002D59C2" w:rsidRDefault="000A68E3" w:rsidP="003061B2">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 xml:space="preserve">Discharge all other functions conferred on the Commissioner under the </w:t>
      </w:r>
      <w:r w:rsidRPr="002D59C2">
        <w:rPr>
          <w:rFonts w:ascii="Public Sans" w:hAnsi="Public Sans" w:cs="Arial"/>
          <w:i/>
          <w:iCs/>
        </w:rPr>
        <w:t>Legal Profession Act 2004</w:t>
      </w:r>
      <w:r w:rsidRPr="002D59C2">
        <w:rPr>
          <w:rFonts w:ascii="Public Sans" w:hAnsi="Public Sans" w:cs="Arial"/>
        </w:rPr>
        <w:t xml:space="preserve"> </w:t>
      </w:r>
      <w:r w:rsidR="000A4A4F" w:rsidRPr="002D59C2">
        <w:rPr>
          <w:rFonts w:ascii="Public Sans" w:hAnsi="Public Sans" w:cs="Arial"/>
        </w:rPr>
        <w:t xml:space="preserve">and </w:t>
      </w:r>
      <w:r w:rsidR="000A4A4F" w:rsidRPr="002D59C2">
        <w:rPr>
          <w:rFonts w:ascii="Public Sans" w:hAnsi="Public Sans" w:cs="Arial"/>
          <w:i/>
          <w:iCs/>
        </w:rPr>
        <w:t>Legal Profession Uniform Law Application Act 2014.</w:t>
      </w:r>
      <w:r w:rsidR="000A4A4F" w:rsidRPr="002D59C2">
        <w:rPr>
          <w:rFonts w:ascii="Public Sans" w:hAnsi="Public Sans" w:cs="Arial"/>
        </w:rPr>
        <w:t xml:space="preserve"> </w:t>
      </w:r>
      <w:r w:rsidR="00A5077C" w:rsidRPr="002D59C2">
        <w:rPr>
          <w:rFonts w:ascii="Public Sans" w:hAnsi="Public Sans" w:cs="Arial"/>
        </w:rPr>
        <w:t xml:space="preserve"> </w:t>
      </w:r>
      <w:r w:rsidRPr="002D59C2">
        <w:rPr>
          <w:rFonts w:ascii="Public Sans" w:hAnsi="Public Sans" w:cs="Arial"/>
        </w:rPr>
        <w:t>Ensure that the Legal Profession Uniform Law is implemented by complaints handling bodies consistently with the Uniform Law and Rules and any guidelines or directions from the interstate regulatory authorities.</w:t>
      </w:r>
    </w:p>
    <w:p w14:paraId="15130183" w14:textId="2D5838DF" w:rsidR="000A68E3" w:rsidRPr="002D59C2" w:rsidRDefault="000A68E3"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Operate within budget, review and improve business systems and processes</w:t>
      </w:r>
    </w:p>
    <w:p w14:paraId="152DBCC9" w14:textId="5823FD3E" w:rsidR="000A68E3" w:rsidRPr="002D59C2" w:rsidRDefault="000A68E3" w:rsidP="000A68E3">
      <w:pPr>
        <w:pStyle w:val="ListBullet"/>
        <w:tabs>
          <w:tab w:val="clear" w:pos="284"/>
          <w:tab w:val="num" w:pos="360"/>
        </w:tabs>
        <w:spacing w:before="120"/>
        <w:ind w:left="360" w:hanging="360"/>
        <w:jc w:val="both"/>
        <w:rPr>
          <w:rFonts w:ascii="Public Sans" w:hAnsi="Public Sans" w:cs="Arial"/>
        </w:rPr>
      </w:pPr>
      <w:r w:rsidRPr="002D59C2">
        <w:rPr>
          <w:rFonts w:ascii="Public Sans" w:hAnsi="Public Sans" w:cs="Arial"/>
        </w:rPr>
        <w:t>Ensure the OLSC align</w:t>
      </w:r>
      <w:r w:rsidR="00FC1C65" w:rsidRPr="002D59C2">
        <w:rPr>
          <w:rFonts w:ascii="Public Sans" w:hAnsi="Public Sans" w:cs="Arial"/>
        </w:rPr>
        <w:t>s</w:t>
      </w:r>
      <w:r w:rsidRPr="002D59C2">
        <w:rPr>
          <w:rFonts w:ascii="Public Sans" w:hAnsi="Public Sans" w:cs="Arial"/>
        </w:rPr>
        <w:t xml:space="preserve"> the workforce capability of the OLSC to its current and future objectives and priorities. </w:t>
      </w:r>
    </w:p>
    <w:p w14:paraId="16B0155B" w14:textId="77777777" w:rsidR="000A68E3" w:rsidRPr="002D59C2" w:rsidRDefault="000A68E3" w:rsidP="00796CE9">
      <w:pPr>
        <w:pStyle w:val="ListBullet"/>
        <w:numPr>
          <w:ilvl w:val="0"/>
          <w:numId w:val="0"/>
        </w:numPr>
        <w:ind w:left="284" w:hanging="284"/>
        <w:rPr>
          <w:rFonts w:ascii="Public Sans" w:hAnsi="Public Sans" w:cs="Arial"/>
          <w:sz w:val="24"/>
          <w:szCs w:val="24"/>
        </w:rPr>
      </w:pPr>
    </w:p>
    <w:p w14:paraId="7C300F95" w14:textId="77777777" w:rsidR="000A68E3" w:rsidRPr="002D59C2" w:rsidRDefault="000A68E3" w:rsidP="000A68E3">
      <w:pPr>
        <w:pStyle w:val="Heading1"/>
        <w:rPr>
          <w:rFonts w:ascii="Public Sans" w:hAnsi="Public Sans"/>
          <w:sz w:val="24"/>
          <w:szCs w:val="24"/>
        </w:rPr>
      </w:pPr>
      <w:r w:rsidRPr="002D59C2">
        <w:rPr>
          <w:rFonts w:ascii="Public Sans" w:hAnsi="Public Sans"/>
          <w:sz w:val="24"/>
          <w:szCs w:val="24"/>
        </w:rPr>
        <w:lastRenderedPageBreak/>
        <w:t>Key challenges</w:t>
      </w:r>
    </w:p>
    <w:p w14:paraId="1C352745" w14:textId="090EAF30" w:rsidR="00076D05" w:rsidRPr="002D59C2" w:rsidRDefault="00076D05" w:rsidP="001640D3">
      <w:pPr>
        <w:pStyle w:val="ListBullet"/>
        <w:rPr>
          <w:rFonts w:ascii="Public Sans" w:hAnsi="Public Sans" w:cs="Arial"/>
        </w:rPr>
      </w:pPr>
      <w:bookmarkStart w:id="2" w:name="Challenges"/>
      <w:bookmarkEnd w:id="2"/>
      <w:r w:rsidRPr="002D59C2">
        <w:rPr>
          <w:rFonts w:ascii="Public Sans" w:hAnsi="Public Sans" w:cs="Arial"/>
        </w:rPr>
        <w:t xml:space="preserve">Working within a complex government, non-government, private sector </w:t>
      </w:r>
      <w:r w:rsidR="00600108" w:rsidRPr="002D59C2">
        <w:rPr>
          <w:rFonts w:ascii="Public Sans" w:hAnsi="Public Sans" w:cs="Arial"/>
        </w:rPr>
        <w:t xml:space="preserve">and client focused </w:t>
      </w:r>
      <w:r w:rsidRPr="002D59C2">
        <w:rPr>
          <w:rFonts w:ascii="Public Sans" w:hAnsi="Public Sans" w:cs="Arial"/>
        </w:rPr>
        <w:t xml:space="preserve">environment </w:t>
      </w:r>
      <w:r w:rsidR="00600108" w:rsidRPr="002D59C2">
        <w:rPr>
          <w:rFonts w:ascii="Public Sans" w:hAnsi="Public Sans" w:cs="Arial"/>
        </w:rPr>
        <w:t>to ensure the integrity of the Legal system is upheld</w:t>
      </w:r>
      <w:r w:rsidRPr="002D59C2">
        <w:rPr>
          <w:rFonts w:ascii="Public Sans" w:hAnsi="Public Sans" w:cs="Arial"/>
        </w:rPr>
        <w:t>.</w:t>
      </w:r>
    </w:p>
    <w:p w14:paraId="63BFD36B" w14:textId="77777777" w:rsidR="000A68E3" w:rsidRPr="002D59C2" w:rsidRDefault="000A68E3" w:rsidP="000A68E3">
      <w:pPr>
        <w:pStyle w:val="ListBullet"/>
        <w:spacing w:before="120"/>
        <w:jc w:val="both"/>
        <w:rPr>
          <w:rFonts w:ascii="Public Sans" w:hAnsi="Public Sans" w:cs="Arial"/>
        </w:rPr>
      </w:pPr>
      <w:r w:rsidRPr="002D59C2">
        <w:rPr>
          <w:rFonts w:ascii="Public Sans" w:hAnsi="Public Sans" w:cs="Arial"/>
        </w:rPr>
        <w:t>Fostering a culture of compliance with professional and ethical standards within the legal profession.</w:t>
      </w:r>
    </w:p>
    <w:p w14:paraId="511E8A3C" w14:textId="475FB9BD" w:rsidR="000A68E3" w:rsidRPr="002D59C2" w:rsidRDefault="000C2CC4" w:rsidP="000A68E3">
      <w:pPr>
        <w:pStyle w:val="ListBullet"/>
        <w:spacing w:before="120"/>
        <w:jc w:val="both"/>
        <w:rPr>
          <w:rFonts w:ascii="Public Sans" w:hAnsi="Public Sans" w:cs="Arial"/>
        </w:rPr>
      </w:pPr>
      <w:r w:rsidRPr="002D59C2">
        <w:rPr>
          <w:rFonts w:ascii="Public Sans" w:hAnsi="Public Sans" w:cs="Arial"/>
        </w:rPr>
        <w:t xml:space="preserve">Partnering </w:t>
      </w:r>
      <w:r w:rsidR="000A68E3" w:rsidRPr="002D59C2">
        <w:rPr>
          <w:rFonts w:ascii="Public Sans" w:hAnsi="Public Sans" w:cs="Arial"/>
        </w:rPr>
        <w:t>with</w:t>
      </w:r>
      <w:r w:rsidR="001640D3" w:rsidRPr="002D59C2">
        <w:rPr>
          <w:rFonts w:ascii="Public Sans" w:hAnsi="Public Sans" w:cs="Arial"/>
        </w:rPr>
        <w:t>, and providing leadership to,</w:t>
      </w:r>
      <w:r w:rsidR="000A68E3" w:rsidRPr="002D59C2">
        <w:rPr>
          <w:rFonts w:ascii="Public Sans" w:hAnsi="Public Sans" w:cs="Arial"/>
        </w:rPr>
        <w:t xml:space="preserve"> other local regulatory authorities to improve consumer confidence in the management of complaints about the conduct of lawyers and the co-regulatory system.</w:t>
      </w:r>
    </w:p>
    <w:p w14:paraId="1BA9FBE3" w14:textId="77777777" w:rsidR="000A68E3" w:rsidRPr="002D59C2" w:rsidRDefault="000A68E3" w:rsidP="000A68E3">
      <w:pPr>
        <w:pStyle w:val="ListBullet"/>
        <w:spacing w:before="120"/>
        <w:jc w:val="both"/>
        <w:rPr>
          <w:rFonts w:ascii="Public Sans" w:hAnsi="Public Sans" w:cs="Arial"/>
        </w:rPr>
      </w:pPr>
      <w:r w:rsidRPr="002D59C2">
        <w:rPr>
          <w:rFonts w:ascii="Public Sans" w:hAnsi="Public Sans" w:cs="Arial"/>
        </w:rPr>
        <w:t xml:space="preserve">Identifying emerging market practices that pose a risk to consumers and bringing these matters to the attention of policy makers with advice on appropriate action. </w:t>
      </w:r>
    </w:p>
    <w:p w14:paraId="6330F001" w14:textId="74A839A0" w:rsidR="000A68E3" w:rsidRPr="002D59C2" w:rsidRDefault="000A68E3" w:rsidP="000A68E3">
      <w:pPr>
        <w:pStyle w:val="ListBullet"/>
        <w:spacing w:before="120"/>
        <w:jc w:val="both"/>
        <w:rPr>
          <w:rFonts w:ascii="Public Sans" w:hAnsi="Public Sans" w:cs="Arial"/>
        </w:rPr>
      </w:pPr>
      <w:r w:rsidRPr="002D59C2">
        <w:rPr>
          <w:rFonts w:ascii="Public Sans" w:hAnsi="Public Sans" w:cs="Arial"/>
        </w:rPr>
        <w:t xml:space="preserve">Exercising statutory functions with independence, integrity and sound judgement. </w:t>
      </w:r>
    </w:p>
    <w:p w14:paraId="74B79600" w14:textId="1D54830E" w:rsidR="005A7A3E" w:rsidRPr="002D59C2" w:rsidRDefault="005A7A3E" w:rsidP="000A68E3">
      <w:pPr>
        <w:pStyle w:val="ListBullet"/>
        <w:spacing w:before="120"/>
        <w:jc w:val="both"/>
        <w:rPr>
          <w:rFonts w:ascii="Public Sans" w:hAnsi="Public Sans" w:cs="Arial"/>
        </w:rPr>
      </w:pPr>
      <w:r w:rsidRPr="002D59C2">
        <w:rPr>
          <w:rFonts w:ascii="Public Sans" w:hAnsi="Public Sans" w:cs="Arial"/>
        </w:rPr>
        <w:t xml:space="preserve">Handling sensitive and contentious complaints with the highest degree of integrity and discretion. </w:t>
      </w:r>
    </w:p>
    <w:p w14:paraId="67744D92" w14:textId="77777777" w:rsidR="000A68E3" w:rsidRPr="002D59C2" w:rsidRDefault="000A68E3" w:rsidP="00B5329D">
      <w:pPr>
        <w:pStyle w:val="ListBullet"/>
        <w:numPr>
          <w:ilvl w:val="0"/>
          <w:numId w:val="0"/>
        </w:numPr>
        <w:rPr>
          <w:rFonts w:ascii="Public Sans" w:hAnsi="Public Sans" w:cs="Arial"/>
          <w:sz w:val="24"/>
          <w:szCs w:val="24"/>
        </w:rPr>
      </w:pPr>
    </w:p>
    <w:p w14:paraId="73D0D9DD" w14:textId="77777777" w:rsidR="000A68E3" w:rsidRPr="002D59C2" w:rsidRDefault="000A68E3" w:rsidP="000A68E3">
      <w:pPr>
        <w:pStyle w:val="Heading1"/>
        <w:rPr>
          <w:rFonts w:ascii="Public Sans" w:hAnsi="Public Sans"/>
          <w:sz w:val="24"/>
          <w:szCs w:val="24"/>
        </w:rPr>
      </w:pPr>
      <w:r w:rsidRPr="002D59C2">
        <w:rPr>
          <w:rFonts w:ascii="Public Sans" w:hAnsi="Public Sans"/>
          <w:sz w:val="24"/>
          <w:szCs w:val="24"/>
        </w:rPr>
        <w:t>Key relationships</w:t>
      </w:r>
    </w:p>
    <w:tbl>
      <w:tblPr>
        <w:tblW w:w="10547" w:type="dxa"/>
        <w:tblInd w:w="-26" w:type="dxa"/>
        <w:tblBorders>
          <w:top w:val="single" w:sz="8" w:space="0" w:color="auto"/>
          <w:bottom w:val="single" w:sz="8" w:space="0" w:color="BCBEC0"/>
          <w:insideH w:val="single" w:sz="8" w:space="0" w:color="BCBEC0"/>
        </w:tblBorders>
        <w:tblLayout w:type="fixed"/>
        <w:tblCellMar>
          <w:left w:w="57" w:type="dxa"/>
          <w:right w:w="0" w:type="dxa"/>
        </w:tblCellMar>
        <w:tblLook w:val="0000" w:firstRow="0" w:lastRow="0" w:firstColumn="0" w:lastColumn="0" w:noHBand="0" w:noVBand="0"/>
      </w:tblPr>
      <w:tblGrid>
        <w:gridCol w:w="3601"/>
        <w:gridCol w:w="6946"/>
      </w:tblGrid>
      <w:tr w:rsidR="000A68E3" w:rsidRPr="00B74DB3" w14:paraId="7C613DAA" w14:textId="77777777" w:rsidTr="00371DBD">
        <w:trPr>
          <w:cantSplit/>
          <w:tblHeader/>
        </w:trPr>
        <w:tc>
          <w:tcPr>
            <w:tcW w:w="3601" w:type="dxa"/>
            <w:tcBorders>
              <w:top w:val="single" w:sz="8" w:space="0" w:color="auto"/>
              <w:left w:val="nil"/>
              <w:bottom w:val="single" w:sz="8" w:space="0" w:color="auto"/>
              <w:right w:val="nil"/>
            </w:tcBorders>
            <w:shd w:val="clear" w:color="auto" w:fill="6D276A"/>
          </w:tcPr>
          <w:p w14:paraId="2E42EED8" w14:textId="77777777" w:rsidR="000A68E3" w:rsidRPr="00B74DB3" w:rsidRDefault="000A68E3" w:rsidP="00371DBD">
            <w:pPr>
              <w:pStyle w:val="TableTextWhite0"/>
              <w:rPr>
                <w:rFonts w:ascii="Public Sans" w:hAnsi="Public Sans"/>
                <w:szCs w:val="22"/>
              </w:rPr>
            </w:pPr>
            <w:r w:rsidRPr="00B74DB3">
              <w:rPr>
                <w:rFonts w:ascii="Public Sans" w:hAnsi="Public Sans"/>
                <w:szCs w:val="22"/>
              </w:rPr>
              <w:t>Who</w:t>
            </w:r>
          </w:p>
        </w:tc>
        <w:tc>
          <w:tcPr>
            <w:tcW w:w="6946" w:type="dxa"/>
            <w:tcBorders>
              <w:top w:val="single" w:sz="8" w:space="0" w:color="auto"/>
              <w:left w:val="nil"/>
              <w:bottom w:val="single" w:sz="8" w:space="0" w:color="auto"/>
              <w:right w:val="nil"/>
            </w:tcBorders>
            <w:shd w:val="clear" w:color="auto" w:fill="6D276A"/>
          </w:tcPr>
          <w:p w14:paraId="58D19C2D" w14:textId="77777777" w:rsidR="000A68E3" w:rsidRPr="00B74DB3" w:rsidRDefault="000A68E3" w:rsidP="00371DBD">
            <w:pPr>
              <w:pStyle w:val="TableTextWhite0"/>
              <w:rPr>
                <w:rFonts w:ascii="Public Sans" w:hAnsi="Public Sans"/>
                <w:szCs w:val="22"/>
              </w:rPr>
            </w:pPr>
            <w:r w:rsidRPr="00B74DB3">
              <w:rPr>
                <w:rFonts w:ascii="Public Sans" w:hAnsi="Public Sans"/>
                <w:szCs w:val="22"/>
              </w:rPr>
              <w:t>Why</w:t>
            </w:r>
          </w:p>
        </w:tc>
      </w:tr>
      <w:tr w:rsidR="00BA2CF1" w:rsidRPr="00B74DB3" w14:paraId="0042664A" w14:textId="77777777" w:rsidTr="00B74DB3">
        <w:trPr>
          <w:cantSplit/>
        </w:trPr>
        <w:tc>
          <w:tcPr>
            <w:tcW w:w="3601" w:type="dxa"/>
            <w:tcBorders>
              <w:top w:val="single" w:sz="8" w:space="0" w:color="auto"/>
              <w:left w:val="nil"/>
              <w:bottom w:val="single" w:sz="8" w:space="0" w:color="auto"/>
              <w:right w:val="nil"/>
            </w:tcBorders>
            <w:shd w:val="clear" w:color="auto" w:fill="D9D9D9" w:themeFill="background1" w:themeFillShade="D9"/>
          </w:tcPr>
          <w:p w14:paraId="3D57B657" w14:textId="22CC439A" w:rsidR="00BA2CF1" w:rsidRPr="00B74DB3" w:rsidRDefault="00B5329D" w:rsidP="00371DBD">
            <w:pPr>
              <w:pStyle w:val="TableText"/>
              <w:keepNext/>
              <w:rPr>
                <w:rFonts w:ascii="Public Sans" w:hAnsi="Public Sans"/>
                <w:b/>
                <w:bCs/>
                <w:sz w:val="22"/>
                <w:szCs w:val="22"/>
              </w:rPr>
            </w:pPr>
            <w:r w:rsidRPr="00B74DB3">
              <w:rPr>
                <w:rFonts w:ascii="Public Sans" w:hAnsi="Public Sans"/>
                <w:b/>
                <w:bCs/>
                <w:sz w:val="22"/>
                <w:szCs w:val="22"/>
              </w:rPr>
              <w:t xml:space="preserve">Ministerial </w:t>
            </w:r>
          </w:p>
        </w:tc>
        <w:tc>
          <w:tcPr>
            <w:tcW w:w="6946" w:type="dxa"/>
            <w:tcBorders>
              <w:top w:val="single" w:sz="8" w:space="0" w:color="auto"/>
              <w:left w:val="nil"/>
              <w:bottom w:val="single" w:sz="8" w:space="0" w:color="auto"/>
              <w:right w:val="nil"/>
            </w:tcBorders>
            <w:shd w:val="clear" w:color="auto" w:fill="D9D9D9" w:themeFill="background1" w:themeFillShade="D9"/>
          </w:tcPr>
          <w:p w14:paraId="68FB002B" w14:textId="77777777" w:rsidR="00BA2CF1" w:rsidRPr="00B74DB3" w:rsidRDefault="00BA2CF1" w:rsidP="00371DBD">
            <w:pPr>
              <w:pStyle w:val="TableText"/>
              <w:keepNext/>
              <w:rPr>
                <w:rFonts w:ascii="Public Sans" w:hAnsi="Public Sans"/>
                <w:b/>
                <w:bCs/>
                <w:sz w:val="22"/>
                <w:szCs w:val="22"/>
              </w:rPr>
            </w:pPr>
          </w:p>
        </w:tc>
      </w:tr>
      <w:tr w:rsidR="00F42232" w:rsidRPr="00B74DB3" w14:paraId="3F929762" w14:textId="77777777" w:rsidTr="00B74DB3">
        <w:trPr>
          <w:cantSplit/>
        </w:trPr>
        <w:tc>
          <w:tcPr>
            <w:tcW w:w="3601" w:type="dxa"/>
            <w:tcBorders>
              <w:top w:val="single" w:sz="8" w:space="0" w:color="auto"/>
              <w:left w:val="nil"/>
              <w:bottom w:val="single" w:sz="8" w:space="0" w:color="auto"/>
              <w:right w:val="nil"/>
            </w:tcBorders>
            <w:shd w:val="clear" w:color="auto" w:fill="auto"/>
          </w:tcPr>
          <w:p w14:paraId="3C35C48F" w14:textId="1E2240C0" w:rsidR="00F42232" w:rsidRPr="00B74DB3" w:rsidRDefault="00B5329D" w:rsidP="00371DBD">
            <w:pPr>
              <w:pStyle w:val="TableText"/>
              <w:keepNext/>
              <w:rPr>
                <w:rFonts w:ascii="Public Sans" w:hAnsi="Public Sans"/>
                <w:sz w:val="22"/>
                <w:szCs w:val="22"/>
              </w:rPr>
            </w:pPr>
            <w:r w:rsidRPr="00B74DB3">
              <w:rPr>
                <w:rFonts w:ascii="Public Sans" w:hAnsi="Public Sans"/>
                <w:sz w:val="22"/>
                <w:szCs w:val="22"/>
              </w:rPr>
              <w:t xml:space="preserve">Attorney General </w:t>
            </w:r>
          </w:p>
        </w:tc>
        <w:tc>
          <w:tcPr>
            <w:tcW w:w="6946" w:type="dxa"/>
            <w:tcBorders>
              <w:top w:val="single" w:sz="8" w:space="0" w:color="auto"/>
              <w:left w:val="nil"/>
              <w:bottom w:val="single" w:sz="8" w:space="0" w:color="auto"/>
              <w:right w:val="nil"/>
            </w:tcBorders>
            <w:shd w:val="clear" w:color="auto" w:fill="auto"/>
          </w:tcPr>
          <w:p w14:paraId="61163622" w14:textId="77777777" w:rsidR="00B5329D" w:rsidRPr="00B74DB3" w:rsidRDefault="00B5329D" w:rsidP="00B5329D">
            <w:pPr>
              <w:rPr>
                <w:rFonts w:ascii="Public Sans" w:hAnsi="Public Sans"/>
                <w:szCs w:val="22"/>
              </w:rPr>
            </w:pPr>
            <w:r w:rsidRPr="00B74DB3">
              <w:rPr>
                <w:rFonts w:ascii="Public Sans" w:hAnsi="Public Sans"/>
                <w:szCs w:val="22"/>
              </w:rPr>
              <w:t xml:space="preserve">Support the Attorney General as the First Law Officer of the State, responsible for the development of legal profession regulation policy. </w:t>
            </w:r>
          </w:p>
          <w:p w14:paraId="75C271BF" w14:textId="2C278FD1" w:rsidR="00F42232" w:rsidRPr="00B74DB3" w:rsidRDefault="00B5329D" w:rsidP="00B5329D">
            <w:pPr>
              <w:pStyle w:val="TableText"/>
              <w:keepNext/>
              <w:rPr>
                <w:rFonts w:ascii="Public Sans" w:hAnsi="Public Sans"/>
                <w:b/>
                <w:bCs/>
                <w:sz w:val="22"/>
                <w:szCs w:val="22"/>
              </w:rPr>
            </w:pPr>
            <w:r w:rsidRPr="00B74DB3">
              <w:rPr>
                <w:rFonts w:ascii="Public Sans" w:hAnsi="Public Sans"/>
                <w:sz w:val="22"/>
                <w:szCs w:val="22"/>
              </w:rPr>
              <w:t>Advise the Attorney General on policy and regulatory issues under the consideration of the Standing Committee on the administration of the Legal Profession Uniform Framework.</w:t>
            </w:r>
          </w:p>
        </w:tc>
      </w:tr>
      <w:tr w:rsidR="000A68E3" w:rsidRPr="00B74DB3" w14:paraId="15FCAEC5" w14:textId="77777777" w:rsidTr="00B74DB3">
        <w:trPr>
          <w:cantSplit/>
        </w:trPr>
        <w:tc>
          <w:tcPr>
            <w:tcW w:w="3601" w:type="dxa"/>
            <w:tcBorders>
              <w:top w:val="single" w:sz="8" w:space="0" w:color="auto"/>
              <w:left w:val="nil"/>
              <w:bottom w:val="single" w:sz="8" w:space="0" w:color="auto"/>
              <w:right w:val="nil"/>
            </w:tcBorders>
            <w:shd w:val="clear" w:color="auto" w:fill="D9D9D9" w:themeFill="background1" w:themeFillShade="D9"/>
          </w:tcPr>
          <w:p w14:paraId="3987A25D" w14:textId="77777777" w:rsidR="000A68E3" w:rsidRPr="00B74DB3" w:rsidRDefault="000A68E3" w:rsidP="00371DBD">
            <w:pPr>
              <w:pStyle w:val="TableText"/>
              <w:keepNext/>
              <w:rPr>
                <w:rFonts w:ascii="Public Sans" w:hAnsi="Public Sans"/>
                <w:b/>
                <w:bCs/>
                <w:sz w:val="22"/>
                <w:szCs w:val="22"/>
              </w:rPr>
            </w:pPr>
            <w:bookmarkStart w:id="3" w:name="InternalRelationships"/>
            <w:r w:rsidRPr="00B74DB3">
              <w:rPr>
                <w:rFonts w:ascii="Public Sans" w:hAnsi="Public Sans"/>
                <w:b/>
                <w:bCs/>
                <w:sz w:val="22"/>
                <w:szCs w:val="22"/>
              </w:rPr>
              <w:t>Internal</w:t>
            </w:r>
          </w:p>
        </w:tc>
        <w:tc>
          <w:tcPr>
            <w:tcW w:w="6946" w:type="dxa"/>
            <w:tcBorders>
              <w:top w:val="single" w:sz="8" w:space="0" w:color="auto"/>
              <w:left w:val="nil"/>
              <w:bottom w:val="single" w:sz="8" w:space="0" w:color="auto"/>
              <w:right w:val="nil"/>
            </w:tcBorders>
            <w:shd w:val="clear" w:color="auto" w:fill="D9D9D9" w:themeFill="background1" w:themeFillShade="D9"/>
          </w:tcPr>
          <w:p w14:paraId="236C8A27" w14:textId="77777777" w:rsidR="000A68E3" w:rsidRPr="00B74DB3" w:rsidRDefault="000A68E3" w:rsidP="00371DBD">
            <w:pPr>
              <w:pStyle w:val="TableText"/>
              <w:keepNext/>
              <w:rPr>
                <w:rFonts w:ascii="Public Sans" w:hAnsi="Public Sans"/>
                <w:b/>
                <w:bCs/>
                <w:sz w:val="22"/>
                <w:szCs w:val="22"/>
              </w:rPr>
            </w:pPr>
          </w:p>
        </w:tc>
      </w:tr>
      <w:tr w:rsidR="000A68E3" w:rsidRPr="00B74DB3" w14:paraId="383D3ADD" w14:textId="77777777" w:rsidTr="00371DBD">
        <w:tc>
          <w:tcPr>
            <w:tcW w:w="3601" w:type="dxa"/>
            <w:tcBorders>
              <w:top w:val="single" w:sz="8" w:space="0" w:color="auto"/>
              <w:left w:val="nil"/>
              <w:right w:val="nil"/>
            </w:tcBorders>
          </w:tcPr>
          <w:p w14:paraId="19C982AD" w14:textId="51464996" w:rsidR="000A68E3" w:rsidRPr="00B74DB3" w:rsidRDefault="004D2E7F" w:rsidP="00371DBD">
            <w:pPr>
              <w:pStyle w:val="TableText"/>
              <w:rPr>
                <w:rFonts w:ascii="Public Sans" w:hAnsi="Public Sans"/>
                <w:sz w:val="22"/>
                <w:szCs w:val="22"/>
              </w:rPr>
            </w:pPr>
            <w:bookmarkStart w:id="4" w:name="Start"/>
            <w:bookmarkEnd w:id="3"/>
            <w:bookmarkEnd w:id="4"/>
            <w:r w:rsidRPr="00B74DB3">
              <w:rPr>
                <w:rFonts w:ascii="Public Sans" w:hAnsi="Public Sans"/>
                <w:sz w:val="22"/>
                <w:szCs w:val="22"/>
              </w:rPr>
              <w:t>Deputy Secretary, Law Reform and Legal Services</w:t>
            </w:r>
            <w:r w:rsidR="000A68E3" w:rsidRPr="00B74DB3">
              <w:rPr>
                <w:rFonts w:ascii="Public Sans" w:hAnsi="Public Sans"/>
                <w:sz w:val="22"/>
                <w:szCs w:val="22"/>
              </w:rPr>
              <w:t>, and the Secretary</w:t>
            </w:r>
          </w:p>
        </w:tc>
        <w:tc>
          <w:tcPr>
            <w:tcW w:w="6946" w:type="dxa"/>
            <w:tcBorders>
              <w:top w:val="single" w:sz="8" w:space="0" w:color="auto"/>
              <w:left w:val="nil"/>
              <w:right w:val="nil"/>
            </w:tcBorders>
          </w:tcPr>
          <w:p w14:paraId="62A6E8C8" w14:textId="77777777" w:rsidR="000A68E3" w:rsidRPr="00B74DB3" w:rsidRDefault="000A68E3" w:rsidP="00371DBD">
            <w:pPr>
              <w:pStyle w:val="TableText"/>
              <w:rPr>
                <w:rFonts w:ascii="Public Sans" w:hAnsi="Public Sans"/>
                <w:sz w:val="22"/>
                <w:szCs w:val="22"/>
              </w:rPr>
            </w:pPr>
            <w:r w:rsidRPr="00B74DB3">
              <w:rPr>
                <w:rFonts w:ascii="Public Sans" w:hAnsi="Public Sans"/>
                <w:sz w:val="22"/>
                <w:szCs w:val="22"/>
              </w:rPr>
              <w:t>Consult regarding specific organisational policies and procedures and their impact on the Office, the Department and the Community.</w:t>
            </w:r>
          </w:p>
        </w:tc>
      </w:tr>
      <w:tr w:rsidR="000A68E3" w:rsidRPr="00B74DB3" w14:paraId="07864FAE" w14:textId="77777777" w:rsidTr="00371DBD">
        <w:tc>
          <w:tcPr>
            <w:tcW w:w="3601" w:type="dxa"/>
            <w:tcBorders>
              <w:top w:val="single" w:sz="8" w:space="0" w:color="auto"/>
              <w:left w:val="nil"/>
              <w:right w:val="nil"/>
            </w:tcBorders>
          </w:tcPr>
          <w:p w14:paraId="200813F1" w14:textId="77777777" w:rsidR="000A68E3" w:rsidRPr="00B74DB3" w:rsidRDefault="000A68E3" w:rsidP="00371DBD">
            <w:pPr>
              <w:pStyle w:val="TableText"/>
              <w:rPr>
                <w:rFonts w:ascii="Public Sans" w:hAnsi="Public Sans"/>
                <w:sz w:val="22"/>
                <w:szCs w:val="22"/>
              </w:rPr>
            </w:pPr>
            <w:r w:rsidRPr="00B74DB3">
              <w:rPr>
                <w:rFonts w:ascii="Public Sans" w:hAnsi="Public Sans"/>
                <w:sz w:val="22"/>
                <w:szCs w:val="22"/>
              </w:rPr>
              <w:t>Staff within Office of the Legal Services Commissioner</w:t>
            </w:r>
          </w:p>
        </w:tc>
        <w:tc>
          <w:tcPr>
            <w:tcW w:w="6946" w:type="dxa"/>
            <w:tcBorders>
              <w:top w:val="single" w:sz="8" w:space="0" w:color="auto"/>
              <w:left w:val="nil"/>
              <w:right w:val="nil"/>
            </w:tcBorders>
          </w:tcPr>
          <w:p w14:paraId="70F1CE5A" w14:textId="77777777" w:rsidR="000A68E3" w:rsidRPr="00B74DB3" w:rsidRDefault="000A68E3" w:rsidP="00371DBD">
            <w:pPr>
              <w:pStyle w:val="TableText"/>
              <w:rPr>
                <w:rFonts w:ascii="Public Sans" w:hAnsi="Public Sans"/>
                <w:sz w:val="22"/>
                <w:szCs w:val="22"/>
              </w:rPr>
            </w:pPr>
            <w:r w:rsidRPr="00B74DB3">
              <w:rPr>
                <w:rFonts w:ascii="Public Sans" w:hAnsi="Public Sans"/>
                <w:sz w:val="22"/>
                <w:szCs w:val="22"/>
              </w:rPr>
              <w:t xml:space="preserve">Provide guidance in relation to the operation and direction of the Office </w:t>
            </w:r>
          </w:p>
        </w:tc>
      </w:tr>
      <w:tr w:rsidR="000A68E3" w:rsidRPr="00B74DB3" w14:paraId="7A51115F" w14:textId="77777777" w:rsidTr="00371DBD">
        <w:tc>
          <w:tcPr>
            <w:tcW w:w="3601" w:type="dxa"/>
            <w:tcBorders>
              <w:left w:val="nil"/>
              <w:right w:val="nil"/>
            </w:tcBorders>
          </w:tcPr>
          <w:p w14:paraId="46AB78CA" w14:textId="77777777" w:rsidR="000A68E3" w:rsidRPr="00B74DB3" w:rsidRDefault="000A68E3" w:rsidP="00371DBD">
            <w:pPr>
              <w:rPr>
                <w:rFonts w:ascii="Public Sans" w:hAnsi="Public Sans" w:cs="Arial"/>
                <w:szCs w:val="22"/>
              </w:rPr>
            </w:pPr>
            <w:r w:rsidRPr="00B74DB3">
              <w:rPr>
                <w:rFonts w:ascii="Public Sans" w:hAnsi="Public Sans" w:cs="Arial"/>
                <w:szCs w:val="22"/>
              </w:rPr>
              <w:t>Business Centre managers</w:t>
            </w:r>
          </w:p>
        </w:tc>
        <w:tc>
          <w:tcPr>
            <w:tcW w:w="6946" w:type="dxa"/>
            <w:tcBorders>
              <w:left w:val="nil"/>
              <w:right w:val="nil"/>
            </w:tcBorders>
          </w:tcPr>
          <w:p w14:paraId="3B45A829" w14:textId="77777777" w:rsidR="000A68E3" w:rsidRPr="00B74DB3" w:rsidRDefault="000A68E3" w:rsidP="00371DBD">
            <w:pPr>
              <w:pBdr>
                <w:right w:val="single" w:sz="4" w:space="4" w:color="auto"/>
              </w:pBdr>
              <w:jc w:val="both"/>
              <w:rPr>
                <w:rFonts w:ascii="Public Sans" w:hAnsi="Public Sans" w:cs="Arial"/>
                <w:szCs w:val="22"/>
              </w:rPr>
            </w:pPr>
            <w:r w:rsidRPr="00B74DB3">
              <w:rPr>
                <w:rFonts w:ascii="Public Sans" w:hAnsi="Public Sans" w:cs="Arial"/>
                <w:szCs w:val="22"/>
              </w:rPr>
              <w:t>Ensure consistency of policy direction and resource utilisation.</w:t>
            </w:r>
          </w:p>
        </w:tc>
      </w:tr>
      <w:tr w:rsidR="000A68E3" w:rsidRPr="00B74DB3" w14:paraId="384DBA11" w14:textId="77777777" w:rsidTr="00B74DB3">
        <w:tc>
          <w:tcPr>
            <w:tcW w:w="3601" w:type="dxa"/>
            <w:tcBorders>
              <w:left w:val="nil"/>
              <w:right w:val="nil"/>
            </w:tcBorders>
            <w:shd w:val="clear" w:color="auto" w:fill="D9D9D9" w:themeFill="background1" w:themeFillShade="D9"/>
          </w:tcPr>
          <w:p w14:paraId="1314599C" w14:textId="77777777" w:rsidR="000A68E3" w:rsidRPr="00B74DB3" w:rsidRDefault="000A68E3" w:rsidP="00371DBD">
            <w:pPr>
              <w:pStyle w:val="TableText"/>
              <w:rPr>
                <w:rFonts w:ascii="Public Sans" w:hAnsi="Public Sans"/>
                <w:b/>
                <w:bCs/>
                <w:sz w:val="22"/>
                <w:szCs w:val="22"/>
              </w:rPr>
            </w:pPr>
            <w:bookmarkStart w:id="5" w:name="ExternalRelationships"/>
            <w:r w:rsidRPr="00B74DB3">
              <w:rPr>
                <w:rFonts w:ascii="Public Sans" w:hAnsi="Public Sans"/>
                <w:b/>
                <w:bCs/>
                <w:sz w:val="22"/>
                <w:szCs w:val="22"/>
              </w:rPr>
              <w:t>External</w:t>
            </w:r>
          </w:p>
        </w:tc>
        <w:tc>
          <w:tcPr>
            <w:tcW w:w="6946" w:type="dxa"/>
            <w:tcBorders>
              <w:left w:val="nil"/>
              <w:right w:val="nil"/>
            </w:tcBorders>
            <w:shd w:val="clear" w:color="auto" w:fill="D9D9D9" w:themeFill="background1" w:themeFillShade="D9"/>
          </w:tcPr>
          <w:p w14:paraId="0EBE5EF6" w14:textId="77777777" w:rsidR="000A68E3" w:rsidRPr="00B74DB3" w:rsidRDefault="000A68E3" w:rsidP="00371DBD">
            <w:pPr>
              <w:pStyle w:val="TableText"/>
              <w:rPr>
                <w:rFonts w:ascii="Public Sans" w:hAnsi="Public Sans"/>
                <w:b/>
                <w:bCs/>
                <w:sz w:val="22"/>
                <w:szCs w:val="22"/>
              </w:rPr>
            </w:pPr>
          </w:p>
        </w:tc>
      </w:tr>
      <w:tr w:rsidR="000A68E3" w:rsidRPr="00B74DB3" w14:paraId="0864068B" w14:textId="77777777" w:rsidTr="00371DBD">
        <w:tc>
          <w:tcPr>
            <w:tcW w:w="3601" w:type="dxa"/>
            <w:tcBorders>
              <w:left w:val="nil"/>
              <w:right w:val="nil"/>
            </w:tcBorders>
          </w:tcPr>
          <w:p w14:paraId="18E7E895" w14:textId="77777777" w:rsidR="000A68E3" w:rsidRPr="00B74DB3" w:rsidRDefault="000A68E3" w:rsidP="00371DBD">
            <w:pPr>
              <w:rPr>
                <w:rFonts w:ascii="Public Sans" w:hAnsi="Public Sans" w:cs="Arial"/>
                <w:szCs w:val="22"/>
              </w:rPr>
            </w:pPr>
            <w:r w:rsidRPr="00B74DB3">
              <w:rPr>
                <w:rFonts w:ascii="Public Sans" w:hAnsi="Public Sans" w:cs="Arial"/>
                <w:szCs w:val="22"/>
              </w:rPr>
              <w:t>Legal consumers and lawyers</w:t>
            </w:r>
          </w:p>
        </w:tc>
        <w:tc>
          <w:tcPr>
            <w:tcW w:w="6946" w:type="dxa"/>
            <w:tcBorders>
              <w:left w:val="nil"/>
              <w:right w:val="nil"/>
            </w:tcBorders>
          </w:tcPr>
          <w:p w14:paraId="13D25DC5" w14:textId="77777777" w:rsidR="000A68E3" w:rsidRPr="00B74DB3" w:rsidRDefault="000A68E3" w:rsidP="00371DBD">
            <w:pPr>
              <w:rPr>
                <w:rFonts w:ascii="Public Sans" w:hAnsi="Public Sans" w:cs="Arial"/>
                <w:szCs w:val="22"/>
              </w:rPr>
            </w:pPr>
            <w:r w:rsidRPr="00B74DB3">
              <w:rPr>
                <w:rFonts w:ascii="Public Sans" w:hAnsi="Public Sans" w:cs="Arial"/>
                <w:szCs w:val="22"/>
              </w:rPr>
              <w:t>Provide educational, advisory and complaints resolution services</w:t>
            </w:r>
          </w:p>
        </w:tc>
      </w:tr>
      <w:tr w:rsidR="000A68E3" w:rsidRPr="00B74DB3" w14:paraId="6E18F69B" w14:textId="77777777" w:rsidTr="00371DBD">
        <w:tc>
          <w:tcPr>
            <w:tcW w:w="3601" w:type="dxa"/>
            <w:tcBorders>
              <w:left w:val="nil"/>
              <w:right w:val="nil"/>
            </w:tcBorders>
          </w:tcPr>
          <w:p w14:paraId="005BA9EA" w14:textId="77777777" w:rsidR="000A68E3" w:rsidRPr="00B74DB3" w:rsidRDefault="000A68E3" w:rsidP="00371DBD">
            <w:pPr>
              <w:rPr>
                <w:rFonts w:ascii="Public Sans" w:hAnsi="Public Sans" w:cs="Arial"/>
                <w:szCs w:val="22"/>
              </w:rPr>
            </w:pPr>
            <w:r w:rsidRPr="00B74DB3">
              <w:rPr>
                <w:rFonts w:ascii="Public Sans" w:hAnsi="Public Sans" w:cs="Arial"/>
                <w:szCs w:val="22"/>
              </w:rPr>
              <w:t>Other legal profession regulatory authorities and stakeholders:</w:t>
            </w:r>
          </w:p>
          <w:p w14:paraId="579217F3" w14:textId="77777777" w:rsidR="000A68E3" w:rsidRPr="00B74DB3" w:rsidRDefault="000A68E3" w:rsidP="00371DBD">
            <w:pPr>
              <w:rPr>
                <w:rFonts w:ascii="Public Sans" w:hAnsi="Public Sans" w:cs="Arial"/>
                <w:szCs w:val="22"/>
              </w:rPr>
            </w:pPr>
          </w:p>
          <w:p w14:paraId="1AADA9FC" w14:textId="77777777" w:rsidR="000A68E3" w:rsidRPr="00B74DB3" w:rsidRDefault="000A68E3" w:rsidP="000A68E3">
            <w:pPr>
              <w:numPr>
                <w:ilvl w:val="0"/>
                <w:numId w:val="33"/>
              </w:numPr>
              <w:overflowPunct w:val="0"/>
              <w:autoSpaceDE w:val="0"/>
              <w:autoSpaceDN w:val="0"/>
              <w:adjustRightInd w:val="0"/>
              <w:spacing w:after="0" w:line="240" w:lineRule="auto"/>
              <w:textAlignment w:val="baseline"/>
              <w:rPr>
                <w:rFonts w:ascii="Public Sans" w:hAnsi="Public Sans" w:cs="Arial"/>
                <w:i/>
                <w:iCs/>
                <w:szCs w:val="22"/>
              </w:rPr>
            </w:pPr>
            <w:r w:rsidRPr="00B74DB3">
              <w:rPr>
                <w:rFonts w:ascii="Public Sans" w:hAnsi="Public Sans" w:cs="Arial"/>
                <w:szCs w:val="22"/>
              </w:rPr>
              <w:t>Law Society of NSW</w:t>
            </w:r>
          </w:p>
          <w:p w14:paraId="135EEF35" w14:textId="77777777" w:rsidR="000A68E3" w:rsidRPr="00B74DB3" w:rsidRDefault="000A68E3" w:rsidP="000A68E3">
            <w:pPr>
              <w:numPr>
                <w:ilvl w:val="0"/>
                <w:numId w:val="33"/>
              </w:numPr>
              <w:overflowPunct w:val="0"/>
              <w:autoSpaceDE w:val="0"/>
              <w:autoSpaceDN w:val="0"/>
              <w:adjustRightInd w:val="0"/>
              <w:spacing w:after="0" w:line="240" w:lineRule="auto"/>
              <w:textAlignment w:val="baseline"/>
              <w:rPr>
                <w:rFonts w:ascii="Public Sans" w:hAnsi="Public Sans" w:cs="Arial"/>
                <w:i/>
                <w:iCs/>
                <w:szCs w:val="22"/>
              </w:rPr>
            </w:pPr>
            <w:r w:rsidRPr="00B74DB3">
              <w:rPr>
                <w:rFonts w:ascii="Public Sans" w:hAnsi="Public Sans" w:cs="Arial"/>
                <w:szCs w:val="22"/>
              </w:rPr>
              <w:t>NSW Bar Association</w:t>
            </w:r>
          </w:p>
          <w:p w14:paraId="20A39F99" w14:textId="0A3149A5" w:rsidR="000A68E3" w:rsidRPr="00860780" w:rsidRDefault="000A68E3" w:rsidP="00860780">
            <w:pPr>
              <w:numPr>
                <w:ilvl w:val="0"/>
                <w:numId w:val="33"/>
              </w:numPr>
              <w:overflowPunct w:val="0"/>
              <w:autoSpaceDE w:val="0"/>
              <w:autoSpaceDN w:val="0"/>
              <w:adjustRightInd w:val="0"/>
              <w:spacing w:after="0" w:line="240" w:lineRule="auto"/>
              <w:textAlignment w:val="baseline"/>
              <w:rPr>
                <w:rFonts w:ascii="Public Sans" w:hAnsi="Public Sans" w:cs="Arial"/>
                <w:i/>
                <w:iCs/>
                <w:szCs w:val="22"/>
              </w:rPr>
            </w:pPr>
            <w:r w:rsidRPr="00B74DB3">
              <w:rPr>
                <w:rFonts w:ascii="Public Sans" w:hAnsi="Public Sans" w:cs="Arial"/>
                <w:szCs w:val="22"/>
              </w:rPr>
              <w:t>Legal Profession Admission Board</w:t>
            </w:r>
          </w:p>
        </w:tc>
        <w:tc>
          <w:tcPr>
            <w:tcW w:w="6946" w:type="dxa"/>
            <w:tcBorders>
              <w:left w:val="nil"/>
              <w:right w:val="nil"/>
            </w:tcBorders>
          </w:tcPr>
          <w:p w14:paraId="402E6BA0" w14:textId="77777777" w:rsidR="000A68E3" w:rsidRPr="00B74DB3" w:rsidRDefault="000A68E3" w:rsidP="00371DBD">
            <w:pPr>
              <w:rPr>
                <w:rFonts w:ascii="Public Sans" w:hAnsi="Public Sans" w:cs="Arial"/>
                <w:szCs w:val="22"/>
              </w:rPr>
            </w:pPr>
            <w:r w:rsidRPr="00B74DB3">
              <w:rPr>
                <w:rFonts w:ascii="Public Sans" w:hAnsi="Public Sans" w:cs="Arial"/>
                <w:szCs w:val="22"/>
              </w:rPr>
              <w:t xml:space="preserve">Liaise and provide advice with respect to the effective regulation of the legal profession under a co-regulatory model. </w:t>
            </w:r>
          </w:p>
          <w:p w14:paraId="4FE3B80F" w14:textId="77777777" w:rsidR="000A68E3" w:rsidRPr="00B74DB3" w:rsidRDefault="000A68E3" w:rsidP="00371DBD">
            <w:pPr>
              <w:rPr>
                <w:rFonts w:ascii="Public Sans" w:hAnsi="Public Sans" w:cs="Arial"/>
                <w:szCs w:val="22"/>
              </w:rPr>
            </w:pPr>
            <w:r w:rsidRPr="00B74DB3">
              <w:rPr>
                <w:rFonts w:ascii="Public Sans" w:hAnsi="Public Sans" w:cs="Arial"/>
                <w:szCs w:val="22"/>
              </w:rPr>
              <w:t xml:space="preserve">Exercise supervisory functions in relation to handling of complaints as required by legislation. </w:t>
            </w:r>
          </w:p>
        </w:tc>
      </w:tr>
      <w:tr w:rsidR="000A68E3" w:rsidRPr="00B74DB3" w14:paraId="56BE65A0" w14:textId="77777777" w:rsidTr="00371DBD">
        <w:tc>
          <w:tcPr>
            <w:tcW w:w="3601" w:type="dxa"/>
            <w:tcBorders>
              <w:left w:val="nil"/>
              <w:right w:val="nil"/>
            </w:tcBorders>
          </w:tcPr>
          <w:p w14:paraId="7D9A8D12" w14:textId="77777777" w:rsidR="000A68E3" w:rsidRPr="00B74DB3" w:rsidRDefault="000A68E3" w:rsidP="00371DBD">
            <w:pPr>
              <w:rPr>
                <w:rFonts w:ascii="Public Sans" w:hAnsi="Public Sans" w:cs="Arial"/>
                <w:szCs w:val="22"/>
              </w:rPr>
            </w:pPr>
            <w:r w:rsidRPr="00B74DB3">
              <w:rPr>
                <w:rFonts w:ascii="Public Sans" w:hAnsi="Public Sans" w:cs="Arial"/>
                <w:szCs w:val="22"/>
              </w:rPr>
              <w:t>Legal Services Council and Commissioner for Legal Services Regulation</w:t>
            </w:r>
          </w:p>
          <w:p w14:paraId="2D310700" w14:textId="62360FA2" w:rsidR="000A68E3" w:rsidRPr="00B74DB3" w:rsidRDefault="000A68E3" w:rsidP="00371DBD">
            <w:pPr>
              <w:rPr>
                <w:rFonts w:ascii="Public Sans" w:hAnsi="Public Sans" w:cs="Arial"/>
                <w:szCs w:val="22"/>
              </w:rPr>
            </w:pPr>
          </w:p>
        </w:tc>
        <w:tc>
          <w:tcPr>
            <w:tcW w:w="6946" w:type="dxa"/>
            <w:tcBorders>
              <w:left w:val="nil"/>
              <w:right w:val="nil"/>
            </w:tcBorders>
          </w:tcPr>
          <w:p w14:paraId="4CE64FA2" w14:textId="77777777" w:rsidR="000A68E3" w:rsidRPr="00B74DB3" w:rsidRDefault="000A68E3" w:rsidP="00371DBD">
            <w:pPr>
              <w:rPr>
                <w:rFonts w:ascii="Public Sans" w:hAnsi="Public Sans" w:cs="Arial"/>
                <w:szCs w:val="22"/>
              </w:rPr>
            </w:pPr>
            <w:r w:rsidRPr="00B74DB3">
              <w:rPr>
                <w:rFonts w:ascii="Public Sans" w:hAnsi="Public Sans" w:cs="Arial"/>
                <w:szCs w:val="22"/>
              </w:rPr>
              <w:t xml:space="preserve">Comment upon proposed regulatory rules to be made by the Council. </w:t>
            </w:r>
          </w:p>
          <w:p w14:paraId="3A89E261" w14:textId="77777777" w:rsidR="000A68E3" w:rsidRPr="00B74DB3" w:rsidRDefault="000A68E3" w:rsidP="00371DBD">
            <w:pPr>
              <w:rPr>
                <w:rFonts w:ascii="Public Sans" w:hAnsi="Public Sans" w:cs="Arial"/>
                <w:szCs w:val="22"/>
              </w:rPr>
            </w:pPr>
            <w:r w:rsidRPr="00B74DB3">
              <w:rPr>
                <w:rFonts w:ascii="Public Sans" w:hAnsi="Public Sans" w:cs="Arial"/>
                <w:szCs w:val="22"/>
              </w:rPr>
              <w:t xml:space="preserve">Provide annual reports to the Council on the administration of the </w:t>
            </w:r>
            <w:proofErr w:type="gramStart"/>
            <w:r w:rsidRPr="00B74DB3">
              <w:rPr>
                <w:rFonts w:ascii="Public Sans" w:hAnsi="Public Sans" w:cs="Arial"/>
                <w:szCs w:val="22"/>
              </w:rPr>
              <w:t>complaints</w:t>
            </w:r>
            <w:proofErr w:type="gramEnd"/>
            <w:r w:rsidRPr="00B74DB3">
              <w:rPr>
                <w:rFonts w:ascii="Public Sans" w:hAnsi="Public Sans" w:cs="Arial"/>
                <w:szCs w:val="22"/>
              </w:rPr>
              <w:t xml:space="preserve"> provisions of the Uniform Law. </w:t>
            </w:r>
          </w:p>
        </w:tc>
      </w:tr>
      <w:tr w:rsidR="000A68E3" w:rsidRPr="00B74DB3" w14:paraId="58CB3D86" w14:textId="77777777" w:rsidTr="00371DBD">
        <w:tc>
          <w:tcPr>
            <w:tcW w:w="3601" w:type="dxa"/>
            <w:tcBorders>
              <w:left w:val="nil"/>
              <w:right w:val="nil"/>
            </w:tcBorders>
          </w:tcPr>
          <w:p w14:paraId="614D826A" w14:textId="77777777" w:rsidR="000A68E3" w:rsidRPr="00B74DB3" w:rsidRDefault="000A68E3" w:rsidP="00371DBD">
            <w:pPr>
              <w:rPr>
                <w:rFonts w:ascii="Public Sans" w:hAnsi="Public Sans" w:cs="Arial"/>
                <w:szCs w:val="22"/>
              </w:rPr>
            </w:pPr>
            <w:r w:rsidRPr="00B74DB3">
              <w:rPr>
                <w:rFonts w:ascii="Public Sans" w:hAnsi="Public Sans" w:cs="Arial"/>
                <w:szCs w:val="22"/>
              </w:rPr>
              <w:t>Commonwealth regulatory bodies (</w:t>
            </w:r>
            <w:proofErr w:type="gramStart"/>
            <w:r w:rsidRPr="00B74DB3">
              <w:rPr>
                <w:rFonts w:ascii="Public Sans" w:hAnsi="Public Sans" w:cs="Arial"/>
                <w:szCs w:val="22"/>
              </w:rPr>
              <w:t>e.g.</w:t>
            </w:r>
            <w:proofErr w:type="gramEnd"/>
            <w:r w:rsidRPr="00B74DB3">
              <w:rPr>
                <w:rFonts w:ascii="Public Sans" w:hAnsi="Public Sans" w:cs="Arial"/>
                <w:szCs w:val="22"/>
              </w:rPr>
              <w:t xml:space="preserve"> Australian Securities and Investments Commission)</w:t>
            </w:r>
          </w:p>
        </w:tc>
        <w:tc>
          <w:tcPr>
            <w:tcW w:w="6946" w:type="dxa"/>
            <w:tcBorders>
              <w:left w:val="nil"/>
              <w:right w:val="nil"/>
            </w:tcBorders>
          </w:tcPr>
          <w:p w14:paraId="75910DCC" w14:textId="77777777" w:rsidR="000A68E3" w:rsidRPr="00B74DB3" w:rsidRDefault="000A68E3" w:rsidP="00371DBD">
            <w:pPr>
              <w:rPr>
                <w:rFonts w:ascii="Public Sans" w:hAnsi="Public Sans" w:cs="Arial"/>
                <w:szCs w:val="22"/>
              </w:rPr>
            </w:pPr>
            <w:r w:rsidRPr="00B74DB3">
              <w:rPr>
                <w:rFonts w:ascii="Public Sans" w:hAnsi="Public Sans" w:cs="Arial"/>
                <w:szCs w:val="22"/>
              </w:rPr>
              <w:t xml:space="preserve">Liaise and collaborate with Commonwealth regulatory bodies on issues involving regulatory overlap. </w:t>
            </w:r>
          </w:p>
        </w:tc>
      </w:tr>
    </w:tbl>
    <w:bookmarkEnd w:id="5"/>
    <w:p w14:paraId="0804259C" w14:textId="77777777" w:rsidR="000A68E3" w:rsidRPr="002D59C2" w:rsidRDefault="000A68E3" w:rsidP="000A68E3">
      <w:pPr>
        <w:pStyle w:val="Heading1"/>
        <w:rPr>
          <w:rFonts w:ascii="Public Sans" w:hAnsi="Public Sans"/>
          <w:sz w:val="24"/>
          <w:szCs w:val="24"/>
        </w:rPr>
      </w:pPr>
      <w:r w:rsidRPr="002D59C2">
        <w:rPr>
          <w:rFonts w:ascii="Public Sans" w:hAnsi="Public Sans"/>
          <w:sz w:val="24"/>
          <w:szCs w:val="24"/>
        </w:rPr>
        <w:t>Role dimensions</w:t>
      </w:r>
    </w:p>
    <w:p w14:paraId="3891CE4F" w14:textId="77777777" w:rsidR="00463736" w:rsidRPr="002D59C2" w:rsidRDefault="000A68E3" w:rsidP="000A68E3">
      <w:pPr>
        <w:spacing w:before="120"/>
        <w:jc w:val="both"/>
        <w:rPr>
          <w:rFonts w:ascii="Public Sans" w:hAnsi="Public Sans" w:cstheme="minorHAnsi"/>
          <w:iCs/>
        </w:rPr>
      </w:pPr>
      <w:r w:rsidRPr="002D59C2">
        <w:rPr>
          <w:rFonts w:ascii="Public Sans" w:hAnsi="Public Sans" w:cs="Arial"/>
        </w:rPr>
        <w:t>The Commissioner is an independent statutory office holder exercising critical regulatory functions under</w:t>
      </w:r>
      <w:r w:rsidR="00EA3D2E" w:rsidRPr="002D59C2">
        <w:rPr>
          <w:rFonts w:ascii="Public Sans" w:hAnsi="Public Sans" w:cstheme="minorHAnsi"/>
          <w:i/>
          <w:iCs/>
        </w:rPr>
        <w:t xml:space="preserve"> Legal Profession Uniform Law (NSW)</w:t>
      </w:r>
      <w:r w:rsidR="00EA3D2E" w:rsidRPr="002D59C2">
        <w:rPr>
          <w:rFonts w:ascii="Public Sans" w:hAnsi="Public Sans" w:cstheme="minorHAnsi"/>
          <w:iCs/>
        </w:rPr>
        <w:t xml:space="preserve"> and </w:t>
      </w:r>
      <w:r w:rsidR="00EA3D2E" w:rsidRPr="002D59C2">
        <w:rPr>
          <w:rFonts w:ascii="Public Sans" w:hAnsi="Public Sans" w:cstheme="minorHAnsi"/>
          <w:i/>
          <w:iCs/>
        </w:rPr>
        <w:t xml:space="preserve">Legal Profession Uniform Law Application Act 2014. </w:t>
      </w:r>
      <w:r w:rsidR="00EA3D2E" w:rsidRPr="002D59C2">
        <w:rPr>
          <w:rFonts w:ascii="Public Sans" w:hAnsi="Public Sans" w:cstheme="minorHAnsi"/>
          <w:iCs/>
        </w:rPr>
        <w:t xml:space="preserve"> </w:t>
      </w:r>
    </w:p>
    <w:p w14:paraId="5DE43826" w14:textId="4F02A4C6" w:rsidR="00463736" w:rsidRPr="002D59C2" w:rsidRDefault="000A68E3" w:rsidP="000A68E3">
      <w:pPr>
        <w:spacing w:before="120"/>
        <w:jc w:val="both"/>
        <w:rPr>
          <w:rFonts w:ascii="Public Sans" w:hAnsi="Public Sans" w:cs="Arial"/>
        </w:rPr>
      </w:pPr>
      <w:r w:rsidRPr="002D59C2">
        <w:rPr>
          <w:rFonts w:ascii="Public Sans" w:hAnsi="Public Sans" w:cs="Arial"/>
        </w:rPr>
        <w:t xml:space="preserve">The role involves daily management of the OLSC as well as supervision of the manner in which the Law Society and Bar Association perform their statutory complaints handling functions. </w:t>
      </w:r>
    </w:p>
    <w:p w14:paraId="222382AD" w14:textId="78BAE954" w:rsidR="000A68E3" w:rsidRPr="002D59C2" w:rsidRDefault="000A68E3" w:rsidP="000A68E3">
      <w:pPr>
        <w:spacing w:before="120"/>
        <w:jc w:val="both"/>
        <w:rPr>
          <w:rFonts w:ascii="Public Sans" w:hAnsi="Public Sans" w:cs="Arial"/>
        </w:rPr>
      </w:pPr>
      <w:r w:rsidRPr="002D59C2">
        <w:rPr>
          <w:rFonts w:ascii="Public Sans" w:hAnsi="Public Sans" w:cs="Arial"/>
        </w:rPr>
        <w:t>The role also involves regular high</w:t>
      </w:r>
      <w:r w:rsidR="00492161" w:rsidRPr="002D59C2">
        <w:rPr>
          <w:rFonts w:ascii="Public Sans" w:hAnsi="Public Sans" w:cs="Arial"/>
        </w:rPr>
        <w:t>-</w:t>
      </w:r>
      <w:r w:rsidRPr="002D59C2">
        <w:rPr>
          <w:rFonts w:ascii="Public Sans" w:hAnsi="Public Sans" w:cs="Arial"/>
        </w:rPr>
        <w:t xml:space="preserve">level liaison with the Attorney General, </w:t>
      </w:r>
      <w:r w:rsidR="00463736" w:rsidRPr="002D59C2">
        <w:rPr>
          <w:rFonts w:ascii="Public Sans" w:hAnsi="Public Sans" w:cs="Arial"/>
        </w:rPr>
        <w:t>Secretary</w:t>
      </w:r>
      <w:r w:rsidRPr="002D59C2">
        <w:rPr>
          <w:rFonts w:ascii="Public Sans" w:hAnsi="Public Sans" w:cs="Arial"/>
        </w:rPr>
        <w:t xml:space="preserve">, Presidents and Chief Executive Officers of the professional associations as well as other national and international complaints handling bodies.  </w:t>
      </w:r>
    </w:p>
    <w:p w14:paraId="4758F8BF" w14:textId="77777777" w:rsidR="000A68E3" w:rsidRPr="00860780" w:rsidRDefault="000A68E3" w:rsidP="000A68E3">
      <w:pPr>
        <w:pStyle w:val="Heading2"/>
        <w:rPr>
          <w:rFonts w:ascii="Public Sans" w:hAnsi="Public Sans"/>
          <w:sz w:val="22"/>
          <w:szCs w:val="22"/>
          <w:u w:val="single"/>
        </w:rPr>
      </w:pPr>
      <w:r w:rsidRPr="00860780">
        <w:rPr>
          <w:rFonts w:ascii="Public Sans" w:hAnsi="Public Sans"/>
          <w:sz w:val="22"/>
          <w:szCs w:val="22"/>
          <w:u w:val="single"/>
        </w:rPr>
        <w:t>Decision making</w:t>
      </w:r>
    </w:p>
    <w:p w14:paraId="3B4B7F52" w14:textId="77777777" w:rsidR="000A68E3" w:rsidRPr="002D59C2" w:rsidRDefault="000A68E3" w:rsidP="000A68E3">
      <w:pPr>
        <w:numPr>
          <w:ilvl w:val="0"/>
          <w:numId w:val="34"/>
        </w:numPr>
        <w:overflowPunct w:val="0"/>
        <w:autoSpaceDE w:val="0"/>
        <w:autoSpaceDN w:val="0"/>
        <w:adjustRightInd w:val="0"/>
        <w:spacing w:before="120" w:after="0" w:line="240" w:lineRule="auto"/>
        <w:jc w:val="both"/>
        <w:textAlignment w:val="baseline"/>
        <w:rPr>
          <w:rFonts w:ascii="Public Sans" w:hAnsi="Public Sans" w:cs="Arial"/>
        </w:rPr>
      </w:pPr>
      <w:bookmarkStart w:id="6" w:name="DecisionMaking"/>
      <w:bookmarkEnd w:id="6"/>
      <w:r w:rsidRPr="002D59C2">
        <w:rPr>
          <w:rFonts w:ascii="Public Sans" w:hAnsi="Public Sans" w:cs="Arial"/>
        </w:rPr>
        <w:t>The Legal Services Commissioner operates with considerable statutory autonomy and is fully accountable for the delivery of services provided to both clients and employees by the Office of the Legal Services Commissioner and the achievement of the overall objectives of the Office.</w:t>
      </w:r>
    </w:p>
    <w:p w14:paraId="5A602EA6" w14:textId="77777777" w:rsidR="000A68E3" w:rsidRPr="002D59C2" w:rsidRDefault="000A68E3" w:rsidP="000A68E3">
      <w:pPr>
        <w:numPr>
          <w:ilvl w:val="0"/>
          <w:numId w:val="34"/>
        </w:numPr>
        <w:overflowPunct w:val="0"/>
        <w:autoSpaceDE w:val="0"/>
        <w:autoSpaceDN w:val="0"/>
        <w:adjustRightInd w:val="0"/>
        <w:spacing w:before="120" w:after="0" w:line="240" w:lineRule="auto"/>
        <w:jc w:val="both"/>
        <w:textAlignment w:val="baseline"/>
        <w:rPr>
          <w:rFonts w:ascii="Public Sans" w:hAnsi="Public Sans" w:cs="Arial"/>
        </w:rPr>
      </w:pPr>
      <w:r w:rsidRPr="002D59C2">
        <w:rPr>
          <w:rFonts w:ascii="Public Sans" w:hAnsi="Public Sans" w:cs="Arial"/>
        </w:rPr>
        <w:t xml:space="preserve">The Commissioner exercises a high degree of independent decision making authority in making orders to summarily dismiss complaints or to caution or reprimand legal practitioners. In more serious cases, the Commissioner is responsible for prosecuting a practitioner in the NSW Civil and Administrative Tribunal. </w:t>
      </w:r>
    </w:p>
    <w:p w14:paraId="36EA898C" w14:textId="77777777" w:rsidR="000A68E3" w:rsidRPr="002D59C2" w:rsidRDefault="000A68E3" w:rsidP="000A68E3">
      <w:pPr>
        <w:numPr>
          <w:ilvl w:val="0"/>
          <w:numId w:val="34"/>
        </w:numPr>
        <w:overflowPunct w:val="0"/>
        <w:autoSpaceDE w:val="0"/>
        <w:autoSpaceDN w:val="0"/>
        <w:adjustRightInd w:val="0"/>
        <w:spacing w:before="120" w:after="0" w:line="240" w:lineRule="auto"/>
        <w:jc w:val="both"/>
        <w:textAlignment w:val="baseline"/>
        <w:rPr>
          <w:rFonts w:ascii="Public Sans" w:hAnsi="Public Sans" w:cs="Arial"/>
        </w:rPr>
      </w:pPr>
      <w:r w:rsidRPr="002D59C2">
        <w:rPr>
          <w:rFonts w:ascii="Public Sans" w:hAnsi="Public Sans" w:cs="Arial"/>
        </w:rPr>
        <w:t>The Commissioner is also empowered to review individual complaints that have been dealt with by the professional associations, and may substitute his or her own decision for the decision of the first instance decision maker. As such, the Commissioner acts as an independent merits review body.</w:t>
      </w:r>
    </w:p>
    <w:p w14:paraId="5EAB8145" w14:textId="77777777" w:rsidR="000A68E3" w:rsidRPr="002D59C2" w:rsidRDefault="000A68E3" w:rsidP="000A68E3">
      <w:pPr>
        <w:numPr>
          <w:ilvl w:val="0"/>
          <w:numId w:val="34"/>
        </w:numPr>
        <w:overflowPunct w:val="0"/>
        <w:autoSpaceDE w:val="0"/>
        <w:autoSpaceDN w:val="0"/>
        <w:adjustRightInd w:val="0"/>
        <w:spacing w:before="120" w:after="0" w:line="240" w:lineRule="auto"/>
        <w:jc w:val="both"/>
        <w:textAlignment w:val="baseline"/>
        <w:rPr>
          <w:rFonts w:ascii="Public Sans" w:hAnsi="Public Sans" w:cs="Arial"/>
        </w:rPr>
      </w:pPr>
      <w:r w:rsidRPr="002D59C2">
        <w:rPr>
          <w:rFonts w:ascii="Public Sans" w:hAnsi="Public Sans" w:cs="Arial"/>
        </w:rPr>
        <w:t xml:space="preserve">The position holder is a key source of advice regarding policy development for the Department. </w:t>
      </w:r>
    </w:p>
    <w:p w14:paraId="748B23DB" w14:textId="77777777" w:rsidR="000A68E3" w:rsidRPr="002D59C2" w:rsidRDefault="000A68E3" w:rsidP="000A68E3">
      <w:pPr>
        <w:numPr>
          <w:ilvl w:val="0"/>
          <w:numId w:val="34"/>
        </w:numPr>
        <w:overflowPunct w:val="0"/>
        <w:autoSpaceDE w:val="0"/>
        <w:autoSpaceDN w:val="0"/>
        <w:adjustRightInd w:val="0"/>
        <w:spacing w:before="120" w:after="0" w:line="240" w:lineRule="auto"/>
        <w:jc w:val="both"/>
        <w:textAlignment w:val="baseline"/>
        <w:rPr>
          <w:rFonts w:ascii="Public Sans" w:hAnsi="Public Sans" w:cs="Arial"/>
        </w:rPr>
      </w:pPr>
      <w:r w:rsidRPr="002D59C2">
        <w:rPr>
          <w:rFonts w:ascii="Public Sans" w:hAnsi="Public Sans" w:cs="Arial"/>
        </w:rPr>
        <w:t>The Legal Services Commissioner has broad managerial responsibilities, being fully accountable for the management of physical, human and financial resources, operations, client service delivery and policy development.</w:t>
      </w:r>
    </w:p>
    <w:p w14:paraId="18EB8910" w14:textId="77777777" w:rsidR="000A68E3" w:rsidRPr="002D59C2" w:rsidRDefault="000A68E3" w:rsidP="000A68E3">
      <w:pPr>
        <w:spacing w:after="0" w:line="240" w:lineRule="auto"/>
        <w:rPr>
          <w:rFonts w:ascii="Public Sans" w:hAnsi="Public Sans" w:cs="Arial"/>
        </w:rPr>
      </w:pPr>
    </w:p>
    <w:p w14:paraId="1EF5F212" w14:textId="77777777" w:rsidR="000A68E3" w:rsidRPr="00860780" w:rsidRDefault="000A68E3" w:rsidP="00860780">
      <w:pPr>
        <w:pStyle w:val="Heading2"/>
        <w:rPr>
          <w:rFonts w:ascii="Public Sans" w:hAnsi="Public Sans"/>
          <w:sz w:val="22"/>
          <w:szCs w:val="22"/>
          <w:u w:val="single"/>
        </w:rPr>
      </w:pPr>
      <w:r w:rsidRPr="00860780">
        <w:rPr>
          <w:rFonts w:ascii="Public Sans" w:hAnsi="Public Sans"/>
          <w:sz w:val="22"/>
          <w:szCs w:val="22"/>
          <w:u w:val="single"/>
        </w:rPr>
        <w:t>Reporting line</w:t>
      </w:r>
    </w:p>
    <w:p w14:paraId="1FFA16D1" w14:textId="0C36E864" w:rsidR="000A68E3" w:rsidRPr="002D59C2" w:rsidRDefault="000A68E3" w:rsidP="000A68E3">
      <w:pPr>
        <w:spacing w:after="0" w:line="240" w:lineRule="auto"/>
        <w:rPr>
          <w:rFonts w:ascii="Public Sans" w:hAnsi="Public Sans" w:cs="Arial"/>
        </w:rPr>
      </w:pPr>
      <w:bookmarkStart w:id="7" w:name="ReportingLine"/>
      <w:bookmarkEnd w:id="7"/>
    </w:p>
    <w:p w14:paraId="602E0ED2" w14:textId="668503D4" w:rsidR="00E37E9C" w:rsidRPr="002D59C2" w:rsidRDefault="00E37E9C" w:rsidP="000A68E3">
      <w:pPr>
        <w:spacing w:after="0" w:line="240" w:lineRule="auto"/>
        <w:rPr>
          <w:rFonts w:ascii="Public Sans" w:hAnsi="Public Sans" w:cs="Arial"/>
        </w:rPr>
      </w:pPr>
      <w:r w:rsidRPr="002D59C2">
        <w:rPr>
          <w:rFonts w:ascii="Public Sans" w:hAnsi="Public Sans" w:cs="Arial"/>
        </w:rPr>
        <w:t xml:space="preserve">Attorney General </w:t>
      </w:r>
    </w:p>
    <w:p w14:paraId="52C106AE" w14:textId="77777777" w:rsidR="00860780" w:rsidRDefault="00860780" w:rsidP="00860780">
      <w:pPr>
        <w:pStyle w:val="Heading2"/>
        <w:rPr>
          <w:rFonts w:ascii="Public Sans" w:hAnsi="Public Sans"/>
          <w:sz w:val="22"/>
          <w:szCs w:val="22"/>
          <w:u w:val="single"/>
        </w:rPr>
      </w:pPr>
    </w:p>
    <w:p w14:paraId="584A063F" w14:textId="34664710" w:rsidR="000A68E3" w:rsidRPr="00860780" w:rsidRDefault="000A68E3" w:rsidP="00860780">
      <w:pPr>
        <w:pStyle w:val="Heading2"/>
        <w:rPr>
          <w:rFonts w:ascii="Public Sans" w:hAnsi="Public Sans"/>
          <w:sz w:val="22"/>
          <w:szCs w:val="22"/>
          <w:u w:val="single"/>
        </w:rPr>
      </w:pPr>
      <w:r w:rsidRPr="00860780">
        <w:rPr>
          <w:rFonts w:ascii="Public Sans" w:hAnsi="Public Sans"/>
          <w:sz w:val="22"/>
          <w:szCs w:val="22"/>
          <w:u w:val="single"/>
        </w:rPr>
        <w:t>Direct reports</w:t>
      </w:r>
    </w:p>
    <w:p w14:paraId="2ADE932D" w14:textId="2E069CAB" w:rsidR="000A68E3" w:rsidRPr="002D59C2" w:rsidRDefault="00445AA4" w:rsidP="000A68E3">
      <w:pPr>
        <w:spacing w:before="120" w:after="0" w:line="240" w:lineRule="auto"/>
        <w:rPr>
          <w:rFonts w:ascii="Public Sans" w:hAnsi="Public Sans" w:cs="Arial"/>
        </w:rPr>
      </w:pPr>
      <w:bookmarkStart w:id="8" w:name="DirectReports"/>
      <w:bookmarkEnd w:id="8"/>
      <w:r w:rsidRPr="002D59C2">
        <w:rPr>
          <w:rFonts w:ascii="Public Sans" w:hAnsi="Public Sans" w:cs="Arial"/>
        </w:rPr>
        <w:t xml:space="preserve">Approx. 7 </w:t>
      </w:r>
    </w:p>
    <w:p w14:paraId="37C0FB97" w14:textId="77777777" w:rsidR="000A68E3" w:rsidRPr="002D59C2" w:rsidRDefault="000A68E3" w:rsidP="000A68E3">
      <w:pPr>
        <w:pStyle w:val="Heading2"/>
        <w:spacing w:after="0" w:line="240" w:lineRule="auto"/>
        <w:rPr>
          <w:rFonts w:ascii="Public Sans" w:hAnsi="Public Sans"/>
        </w:rPr>
      </w:pPr>
    </w:p>
    <w:p w14:paraId="0180AC52" w14:textId="77777777" w:rsidR="000A68E3" w:rsidRPr="00860780" w:rsidRDefault="000A68E3" w:rsidP="00860780">
      <w:pPr>
        <w:pStyle w:val="Heading2"/>
        <w:rPr>
          <w:rFonts w:ascii="Public Sans" w:hAnsi="Public Sans"/>
          <w:sz w:val="22"/>
          <w:szCs w:val="22"/>
          <w:u w:val="single"/>
        </w:rPr>
      </w:pPr>
      <w:r w:rsidRPr="00860780">
        <w:rPr>
          <w:rFonts w:ascii="Public Sans" w:hAnsi="Public Sans"/>
          <w:sz w:val="22"/>
          <w:szCs w:val="22"/>
          <w:u w:val="single"/>
        </w:rPr>
        <w:t>Budget/Expenditure</w:t>
      </w:r>
    </w:p>
    <w:p w14:paraId="0B689EA4" w14:textId="575E5724" w:rsidR="000A68E3" w:rsidRPr="002D59C2" w:rsidRDefault="00A672D2" w:rsidP="000A68E3">
      <w:pPr>
        <w:spacing w:before="120" w:after="0" w:line="240" w:lineRule="auto"/>
        <w:rPr>
          <w:rFonts w:ascii="Public Sans" w:hAnsi="Public Sans" w:cs="Arial"/>
          <w:noProof/>
        </w:rPr>
      </w:pPr>
      <w:bookmarkStart w:id="9" w:name="Budget"/>
      <w:bookmarkEnd w:id="9"/>
      <w:r w:rsidRPr="002D59C2">
        <w:rPr>
          <w:rFonts w:ascii="Public Sans" w:hAnsi="Public Sans" w:cs="Arial"/>
        </w:rPr>
        <w:t>Approx. 4.4M</w:t>
      </w:r>
    </w:p>
    <w:p w14:paraId="479AB525" w14:textId="77777777" w:rsidR="000A68E3" w:rsidRPr="002D59C2" w:rsidRDefault="000A68E3" w:rsidP="000A68E3">
      <w:pPr>
        <w:spacing w:after="0" w:line="240" w:lineRule="auto"/>
        <w:rPr>
          <w:rFonts w:ascii="Public Sans" w:hAnsi="Public Sans" w:cs="Arial"/>
          <w:noProof/>
        </w:rPr>
      </w:pPr>
    </w:p>
    <w:p w14:paraId="03AA7B09" w14:textId="7BAAC969" w:rsidR="00A0734A" w:rsidRPr="002D59C2" w:rsidRDefault="00A0734A" w:rsidP="00A0734A">
      <w:pPr>
        <w:pStyle w:val="Heading1"/>
        <w:rPr>
          <w:rFonts w:ascii="Public Sans" w:hAnsi="Public Sans" w:cstheme="minorHAnsi"/>
          <w:sz w:val="24"/>
          <w:szCs w:val="24"/>
        </w:rPr>
      </w:pPr>
      <w:bookmarkStart w:id="10" w:name="EssentialReqs"/>
      <w:bookmarkEnd w:id="10"/>
      <w:r w:rsidRPr="002D59C2">
        <w:rPr>
          <w:rFonts w:ascii="Public Sans" w:hAnsi="Public Sans" w:cstheme="minorHAnsi"/>
          <w:sz w:val="24"/>
          <w:szCs w:val="24"/>
        </w:rPr>
        <w:t>Key knowledge and experience</w:t>
      </w:r>
    </w:p>
    <w:p w14:paraId="0DBF6C3E" w14:textId="76541031" w:rsidR="004F7CF7" w:rsidRPr="002D59C2" w:rsidRDefault="004F7CF7" w:rsidP="004F7CF7">
      <w:pPr>
        <w:spacing w:before="120" w:after="0" w:line="240" w:lineRule="auto"/>
        <w:rPr>
          <w:rFonts w:ascii="Public Sans" w:hAnsi="Public Sans" w:cs="Arial"/>
        </w:rPr>
      </w:pPr>
      <w:r w:rsidRPr="002D59C2">
        <w:rPr>
          <w:rFonts w:ascii="Public Sans" w:hAnsi="Public Sans" w:cs="Arial"/>
          <w:bCs/>
          <w:kern w:val="32"/>
        </w:rPr>
        <w:t xml:space="preserve">The Commissioner must be </w:t>
      </w:r>
      <w:r w:rsidR="00C2275D" w:rsidRPr="002D59C2">
        <w:rPr>
          <w:rFonts w:ascii="Public Sans" w:hAnsi="Public Sans" w:cs="Arial"/>
          <w:bCs/>
          <w:kern w:val="32"/>
        </w:rPr>
        <w:t>familiar</w:t>
      </w:r>
      <w:r w:rsidRPr="002D59C2" w:rsidDel="001E49EF">
        <w:rPr>
          <w:rFonts w:ascii="Public Sans" w:hAnsi="Public Sans" w:cs="Arial"/>
          <w:bCs/>
          <w:kern w:val="32"/>
        </w:rPr>
        <w:t xml:space="preserve"> </w:t>
      </w:r>
      <w:r w:rsidRPr="002D59C2">
        <w:rPr>
          <w:rFonts w:ascii="Public Sans" w:hAnsi="Public Sans" w:cs="Arial"/>
          <w:bCs/>
          <w:kern w:val="32"/>
        </w:rPr>
        <w:t>with the nature of the legal system and legal practice (but need not be an Australian legal practitioner), and must demonstrate qualities of independence, fairness and integrity.</w:t>
      </w:r>
      <w:r w:rsidRPr="002D59C2">
        <w:rPr>
          <w:rFonts w:ascii="Public Sans" w:hAnsi="Public Sans" w:cs="Arial"/>
        </w:rPr>
        <w:t xml:space="preserve"> </w:t>
      </w:r>
    </w:p>
    <w:p w14:paraId="6F828A4C" w14:textId="77777777" w:rsidR="00EA2B15" w:rsidRPr="002D59C2" w:rsidRDefault="00EA2B15" w:rsidP="00EA2B15">
      <w:pPr>
        <w:rPr>
          <w:rFonts w:ascii="Public Sans" w:hAnsi="Public Sans"/>
        </w:rPr>
      </w:pPr>
    </w:p>
    <w:p w14:paraId="6311BA9D" w14:textId="77777777" w:rsidR="00EA2B15" w:rsidRPr="002D59C2" w:rsidRDefault="00EA2B15" w:rsidP="00EA2B15">
      <w:pPr>
        <w:pStyle w:val="Heading1"/>
        <w:spacing w:after="0" w:line="240" w:lineRule="auto"/>
        <w:rPr>
          <w:rFonts w:ascii="Public Sans" w:hAnsi="Public Sans"/>
          <w:sz w:val="24"/>
          <w:szCs w:val="24"/>
        </w:rPr>
      </w:pPr>
      <w:r w:rsidRPr="002D59C2">
        <w:rPr>
          <w:rFonts w:ascii="Public Sans" w:hAnsi="Public Sans"/>
          <w:sz w:val="24"/>
          <w:szCs w:val="24"/>
        </w:rPr>
        <w:t>Essential requirements</w:t>
      </w:r>
    </w:p>
    <w:p w14:paraId="497CB4A9" w14:textId="7201AF35" w:rsidR="004F7CF7" w:rsidRPr="002D59C2" w:rsidRDefault="004F7CF7" w:rsidP="004F7CF7">
      <w:pPr>
        <w:spacing w:before="120" w:line="240" w:lineRule="auto"/>
        <w:jc w:val="both"/>
        <w:rPr>
          <w:rFonts w:ascii="Public Sans" w:hAnsi="Public Sans" w:cs="Arial"/>
          <w:bCs/>
        </w:rPr>
      </w:pPr>
      <w:r w:rsidRPr="002D59C2">
        <w:rPr>
          <w:rFonts w:ascii="Public Sans" w:hAnsi="Public Sans" w:cs="Arial"/>
          <w:bCs/>
        </w:rPr>
        <w:t>Tertiary qualifications in a relevant field.</w:t>
      </w:r>
    </w:p>
    <w:p w14:paraId="60761CF8" w14:textId="77777777" w:rsidR="003F1151" w:rsidRPr="002D59C2" w:rsidRDefault="003F1151" w:rsidP="0042689D">
      <w:pPr>
        <w:rPr>
          <w:rFonts w:ascii="Public Sans" w:hAnsi="Public Sans" w:cstheme="minorHAnsi"/>
        </w:rPr>
      </w:pPr>
    </w:p>
    <w:p w14:paraId="0E5A28FC" w14:textId="77777777" w:rsidR="003F1151" w:rsidRPr="002D59C2" w:rsidRDefault="003F1151" w:rsidP="003F1151">
      <w:pPr>
        <w:jc w:val="both"/>
        <w:rPr>
          <w:rFonts w:ascii="Public Sans" w:hAnsi="Public Sans" w:cstheme="minorHAnsi"/>
        </w:rPr>
      </w:pPr>
      <w:r w:rsidRPr="002D59C2">
        <w:rPr>
          <w:rFonts w:ascii="Public Sans" w:hAnsi="Public Sans" w:cstheme="minorHAnsi"/>
        </w:rPr>
        <w:t>Appointments are subject to reference checks. Some roles may also require the following checks/ clearances:</w:t>
      </w:r>
    </w:p>
    <w:p w14:paraId="33E31474" w14:textId="77777777" w:rsidR="003F1151" w:rsidRPr="002D59C2" w:rsidRDefault="003F1151" w:rsidP="003F1151">
      <w:pPr>
        <w:numPr>
          <w:ilvl w:val="0"/>
          <w:numId w:val="29"/>
        </w:numPr>
        <w:spacing w:before="120" w:line="240" w:lineRule="auto"/>
        <w:jc w:val="both"/>
        <w:rPr>
          <w:rFonts w:ascii="Public Sans" w:hAnsi="Public Sans" w:cstheme="minorHAnsi"/>
          <w:bCs/>
        </w:rPr>
      </w:pPr>
      <w:r w:rsidRPr="002D59C2">
        <w:rPr>
          <w:rFonts w:ascii="Public Sans" w:hAnsi="Public Sans" w:cstheme="minorHAnsi"/>
          <w:bCs/>
        </w:rPr>
        <w:t>National Criminal History Record Check in accordance with the Disability Inclusion Act 2014</w:t>
      </w:r>
    </w:p>
    <w:p w14:paraId="299475DE" w14:textId="77777777" w:rsidR="003F1151" w:rsidRPr="002D59C2" w:rsidRDefault="003F1151" w:rsidP="003F1151">
      <w:pPr>
        <w:numPr>
          <w:ilvl w:val="0"/>
          <w:numId w:val="29"/>
        </w:numPr>
        <w:spacing w:before="120" w:line="240" w:lineRule="auto"/>
        <w:jc w:val="both"/>
        <w:rPr>
          <w:rFonts w:ascii="Public Sans" w:hAnsi="Public Sans" w:cstheme="minorHAnsi"/>
          <w:bCs/>
        </w:rPr>
      </w:pPr>
      <w:r w:rsidRPr="002D59C2">
        <w:rPr>
          <w:rFonts w:ascii="Public Sans" w:hAnsi="Public Sans" w:cstheme="minorHAnsi"/>
          <w:bCs/>
        </w:rPr>
        <w:t>Working with Children Check clearance in accordance with the Child Protection (Working with Children) Act 2012</w:t>
      </w:r>
    </w:p>
    <w:p w14:paraId="06432C81" w14:textId="77777777" w:rsidR="00353CB7" w:rsidRPr="002D59C2" w:rsidRDefault="00353CB7" w:rsidP="00353CB7">
      <w:pPr>
        <w:pStyle w:val="Heading1"/>
        <w:rPr>
          <w:rFonts w:ascii="Public Sans" w:hAnsi="Public Sans"/>
          <w:sz w:val="24"/>
          <w:szCs w:val="24"/>
        </w:rPr>
      </w:pPr>
      <w:r w:rsidRPr="002D59C2">
        <w:rPr>
          <w:rFonts w:ascii="Public Sans" w:hAnsi="Public Sans"/>
          <w:sz w:val="24"/>
          <w:szCs w:val="24"/>
        </w:rPr>
        <w:t>Capabilities for the role</w:t>
      </w:r>
    </w:p>
    <w:p w14:paraId="5A0F017E" w14:textId="77777777" w:rsidR="00353CB7" w:rsidRPr="002D59C2" w:rsidRDefault="00353CB7" w:rsidP="00353CB7">
      <w:pPr>
        <w:rPr>
          <w:rFonts w:ascii="Public Sans" w:hAnsi="Public Sans" w:cs="Arial"/>
        </w:rPr>
      </w:pPr>
      <w:r w:rsidRPr="002D59C2">
        <w:rPr>
          <w:rFonts w:ascii="Public Sans" w:hAnsi="Public Sans" w:cs="Arial"/>
        </w:rPr>
        <w:t xml:space="preserve">The NSW Public Sector Capability Framework applies to all NSW public sector employees. The Capability Framework is available at </w:t>
      </w:r>
      <w:hyperlink r:id="rId8" w:history="1">
        <w:r w:rsidRPr="002D59C2">
          <w:rPr>
            <w:rStyle w:val="Hyperlink"/>
            <w:rFonts w:ascii="Public Sans" w:hAnsi="Public Sans"/>
          </w:rPr>
          <w:t>www.psc.nsw.gov.au/capabilityframework</w:t>
        </w:r>
      </w:hyperlink>
    </w:p>
    <w:p w14:paraId="0CB91432" w14:textId="77777777" w:rsidR="00353CB7" w:rsidRPr="002D59C2" w:rsidRDefault="00353CB7" w:rsidP="00353CB7">
      <w:pPr>
        <w:pStyle w:val="Heading2"/>
        <w:rPr>
          <w:rFonts w:ascii="Public Sans" w:hAnsi="Public Sans"/>
        </w:rPr>
      </w:pPr>
      <w:r w:rsidRPr="002D59C2">
        <w:rPr>
          <w:rFonts w:ascii="Public Sans" w:hAnsi="Public Sans"/>
        </w:rPr>
        <w:t>Capability summary</w:t>
      </w:r>
    </w:p>
    <w:p w14:paraId="33487857" w14:textId="77777777" w:rsidR="00353CB7" w:rsidRPr="002D59C2" w:rsidRDefault="00353CB7" w:rsidP="00353CB7">
      <w:pPr>
        <w:rPr>
          <w:rFonts w:ascii="Public Sans" w:hAnsi="Public Sans" w:cs="Arial"/>
          <w:b/>
          <w:color w:val="FFFFFF"/>
          <w:sz w:val="24"/>
          <w:szCs w:val="24"/>
        </w:rPr>
      </w:pPr>
      <w:r w:rsidRPr="002D59C2">
        <w:rPr>
          <w:rFonts w:ascii="Public Sans" w:hAnsi="Public Sans" w:cs="Arial"/>
        </w:rPr>
        <w:t>Below is the full list of capabilities and the level required for this role.  The capabilities in bold are the focus capabilities for this role.  Refer to the next section for further information about the focus capabilities.</w:t>
      </w:r>
    </w:p>
    <w:p w14:paraId="3F7A8351" w14:textId="77777777" w:rsidR="004E4265" w:rsidRPr="002D59C2" w:rsidRDefault="004E4265">
      <w:pPr>
        <w:spacing w:after="0" w:line="240" w:lineRule="auto"/>
        <w:rPr>
          <w:rFonts w:ascii="Public Sans" w:hAnsi="Public Sans" w:cstheme="minorHAnsi"/>
          <w:sz w:val="24"/>
          <w:szCs w:val="24"/>
        </w:rPr>
      </w:pPr>
    </w:p>
    <w:p w14:paraId="5A0C80B5" w14:textId="676EC5F9" w:rsidR="001D133A" w:rsidRPr="002D59C2" w:rsidRDefault="001D133A" w:rsidP="001D133A">
      <w:pPr>
        <w:pStyle w:val="Heading1"/>
        <w:rPr>
          <w:rFonts w:ascii="Public Sans" w:hAnsi="Public Sans" w:cstheme="minorHAnsi"/>
          <w:sz w:val="24"/>
          <w:szCs w:val="24"/>
        </w:rPr>
      </w:pPr>
      <w:r w:rsidRPr="002D59C2">
        <w:rPr>
          <w:rFonts w:ascii="Public Sans" w:hAnsi="Public Sans" w:cstheme="minorHAnsi"/>
          <w:sz w:val="24"/>
          <w:szCs w:val="24"/>
        </w:rPr>
        <w:t>Capabilities for the role</w:t>
      </w:r>
    </w:p>
    <w:p w14:paraId="2CB28821" w14:textId="53500A8C" w:rsidR="00197F8F" w:rsidRPr="002D59C2" w:rsidRDefault="00513560" w:rsidP="00197F8F">
      <w:pPr>
        <w:rPr>
          <w:rFonts w:ascii="Public Sans" w:hAnsi="Public Sans" w:cstheme="minorHAnsi"/>
        </w:rPr>
      </w:pPr>
      <w:r w:rsidRPr="002D59C2">
        <w:rPr>
          <w:rFonts w:ascii="Public Sans" w:hAnsi="Public Sans" w:cstheme="minorHAnsi"/>
        </w:rPr>
        <w:t>T</w:t>
      </w:r>
      <w:r w:rsidR="00197F8F" w:rsidRPr="002D59C2">
        <w:rPr>
          <w:rFonts w:ascii="Public Sans" w:hAnsi="Public Sans" w:cstheme="minorHAnsi"/>
        </w:rPr>
        <w:t xml:space="preserve">he </w:t>
      </w:r>
      <w:hyperlink r:id="rId9" w:history="1">
        <w:r w:rsidR="00197F8F" w:rsidRPr="002D59C2">
          <w:rPr>
            <w:rStyle w:val="Hyperlink"/>
            <w:rFonts w:ascii="Public Sans" w:hAnsi="Public Sans" w:cstheme="minorHAnsi"/>
          </w:rPr>
          <w:t>NSW public sector capability framework</w:t>
        </w:r>
      </w:hyperlink>
      <w:r w:rsidR="00197F8F" w:rsidRPr="002D59C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81D34CD" w14:textId="56E42AA2" w:rsidR="00197F8F" w:rsidRPr="002D59C2" w:rsidRDefault="00197F8F" w:rsidP="00197F8F">
      <w:pPr>
        <w:rPr>
          <w:rFonts w:ascii="Public Sans" w:hAnsi="Public Sans" w:cstheme="minorHAnsi"/>
        </w:rPr>
      </w:pPr>
      <w:r w:rsidRPr="002D59C2">
        <w:rPr>
          <w:rFonts w:ascii="Public Sans" w:hAnsi="Public Sans" w:cstheme="minorHAnsi"/>
        </w:rPr>
        <w:t xml:space="preserve">The capabilities are separated into </w:t>
      </w:r>
      <w:r w:rsidRPr="002D59C2">
        <w:rPr>
          <w:rFonts w:ascii="Public Sans" w:hAnsi="Public Sans" w:cstheme="minorHAnsi"/>
          <w:b/>
        </w:rPr>
        <w:t>focus capabilities</w:t>
      </w:r>
      <w:r w:rsidRPr="002D59C2">
        <w:rPr>
          <w:rFonts w:ascii="Public Sans" w:hAnsi="Public Sans" w:cstheme="minorHAnsi"/>
        </w:rPr>
        <w:t xml:space="preserve"> and </w:t>
      </w:r>
      <w:r w:rsidRPr="002D59C2">
        <w:rPr>
          <w:rFonts w:ascii="Public Sans" w:hAnsi="Public Sans" w:cstheme="minorHAnsi"/>
          <w:b/>
        </w:rPr>
        <w:t>complementary capabilities</w:t>
      </w:r>
      <w:r w:rsidRPr="002D59C2">
        <w:rPr>
          <w:rFonts w:ascii="Public Sans" w:hAnsi="Public Sans" w:cstheme="minorHAnsi"/>
        </w:rPr>
        <w:t xml:space="preserve">. </w:t>
      </w:r>
    </w:p>
    <w:p w14:paraId="737F7C01" w14:textId="0A4473B4" w:rsidR="00197F8F" w:rsidRPr="002D59C2" w:rsidRDefault="00197F8F" w:rsidP="000308E0">
      <w:pPr>
        <w:pStyle w:val="Heading1"/>
        <w:spacing w:after="0" w:line="240" w:lineRule="auto"/>
        <w:rPr>
          <w:rFonts w:ascii="Public Sans" w:hAnsi="Public Sans" w:cstheme="minorHAnsi"/>
        </w:rPr>
      </w:pPr>
    </w:p>
    <w:p w14:paraId="7CC522E7" w14:textId="41E19C07" w:rsidR="00197F8F" w:rsidRPr="002D59C2" w:rsidRDefault="00197F8F" w:rsidP="000308E0">
      <w:pPr>
        <w:pStyle w:val="Heading2"/>
        <w:spacing w:after="0" w:line="240" w:lineRule="auto"/>
        <w:rPr>
          <w:rFonts w:ascii="Public Sans" w:hAnsi="Public Sans" w:cstheme="minorHAnsi"/>
        </w:rPr>
      </w:pPr>
      <w:r w:rsidRPr="002D59C2">
        <w:rPr>
          <w:rFonts w:ascii="Public Sans" w:hAnsi="Public Sans" w:cstheme="minorHAnsi"/>
        </w:rPr>
        <w:t>Focus capabilities</w:t>
      </w:r>
    </w:p>
    <w:p w14:paraId="31D8F187" w14:textId="320BDE98" w:rsidR="00197F8F" w:rsidRPr="002D59C2" w:rsidRDefault="00197F8F" w:rsidP="00197F8F">
      <w:pPr>
        <w:pStyle w:val="PlainText"/>
        <w:spacing w:before="62" w:line="276" w:lineRule="auto"/>
        <w:rPr>
          <w:rFonts w:ascii="Public Sans" w:eastAsiaTheme="minorEastAsia" w:hAnsi="Public Sans" w:cstheme="minorHAnsi"/>
          <w:szCs w:val="22"/>
          <w:lang w:val="en-US"/>
        </w:rPr>
      </w:pPr>
      <w:r w:rsidRPr="002D59C2">
        <w:rPr>
          <w:rFonts w:ascii="Public Sans" w:eastAsiaTheme="minorEastAsia" w:hAnsi="Public Sans" w:cstheme="minorHAnsi"/>
          <w:i/>
          <w:szCs w:val="22"/>
          <w:lang w:val="en-US"/>
        </w:rPr>
        <w:t>Focus capabilities</w:t>
      </w:r>
      <w:r w:rsidRPr="002D59C2">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6AB69A63" w14:textId="285344B3" w:rsidR="00FE274C" w:rsidRPr="002D59C2" w:rsidRDefault="00197F8F" w:rsidP="00513560">
      <w:pPr>
        <w:pStyle w:val="PlainText"/>
        <w:spacing w:before="62" w:line="276" w:lineRule="auto"/>
        <w:rPr>
          <w:rFonts w:ascii="Public Sans" w:eastAsiaTheme="minorEastAsia" w:hAnsi="Public Sans" w:cstheme="minorHAnsi"/>
          <w:szCs w:val="22"/>
          <w:lang w:val="en-US"/>
        </w:rPr>
      </w:pPr>
      <w:r w:rsidRPr="002D59C2">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2D59C2">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860780" w14:paraId="12DA2442" w14:textId="67A3BEB5" w:rsidTr="000A68E3">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A4DB9B4" w14:textId="53E73331" w:rsidR="00513560" w:rsidRPr="00860780" w:rsidRDefault="00513560" w:rsidP="000A561C">
            <w:pPr>
              <w:pStyle w:val="TableTextWhite0"/>
              <w:keepNext/>
              <w:jc w:val="both"/>
              <w:rPr>
                <w:rFonts w:ascii="Public Sans" w:hAnsi="Public Sans"/>
                <w:szCs w:val="22"/>
              </w:rPr>
            </w:pPr>
            <w:r w:rsidRPr="00860780">
              <w:rPr>
                <w:rFonts w:ascii="Public Sans" w:hAnsi="Public Sans"/>
                <w:szCs w:val="22"/>
              </w:rPr>
              <w:t>FOCUS CAPABILITIES</w:t>
            </w:r>
          </w:p>
        </w:tc>
      </w:tr>
      <w:tr w:rsidR="00513560" w:rsidRPr="00860780" w14:paraId="0EE38EE6" w14:textId="0F4FC357" w:rsidTr="000A68E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5ADA0D0" w14:textId="7BAC2D8C" w:rsidR="00513560" w:rsidRPr="00860780" w:rsidRDefault="00513560" w:rsidP="000A561C">
            <w:pPr>
              <w:pStyle w:val="TableText"/>
              <w:keepNext/>
              <w:rPr>
                <w:rFonts w:ascii="Public Sans" w:hAnsi="Public Sans"/>
                <w:b/>
                <w:sz w:val="22"/>
                <w:szCs w:val="22"/>
              </w:rPr>
            </w:pPr>
            <w:r w:rsidRPr="0086078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00FF252E" w14:textId="4DE086AA" w:rsidR="00513560" w:rsidRPr="00860780" w:rsidRDefault="00513560" w:rsidP="000A561C">
            <w:pPr>
              <w:pStyle w:val="TableText"/>
              <w:keepNext/>
              <w:rPr>
                <w:rFonts w:ascii="Public Sans" w:hAnsi="Public Sans"/>
                <w:b/>
                <w:sz w:val="22"/>
                <w:szCs w:val="22"/>
              </w:rPr>
            </w:pPr>
            <w:r w:rsidRPr="00860780">
              <w:rPr>
                <w:rFonts w:ascii="Public Sans" w:hAnsi="Public Sans"/>
                <w:b/>
                <w:sz w:val="22"/>
                <w:szCs w:val="22"/>
              </w:rPr>
              <w:t>Capability name</w:t>
            </w:r>
          </w:p>
        </w:tc>
        <w:tc>
          <w:tcPr>
            <w:tcW w:w="141" w:type="dxa"/>
            <w:tcBorders>
              <w:bottom w:val="single" w:sz="12" w:space="0" w:color="auto"/>
            </w:tcBorders>
            <w:shd w:val="clear" w:color="auto" w:fill="BCBEC0"/>
          </w:tcPr>
          <w:p w14:paraId="5742127A" w14:textId="399AF5D5" w:rsidR="00513560" w:rsidRPr="00860780"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CCBB814" w14:textId="0DAED22C" w:rsidR="00513560" w:rsidRPr="00860780" w:rsidRDefault="00513560" w:rsidP="000A561C">
            <w:pPr>
              <w:pStyle w:val="TableText"/>
              <w:keepNext/>
              <w:rPr>
                <w:rFonts w:ascii="Public Sans" w:hAnsi="Public Sans"/>
                <w:b/>
                <w:sz w:val="22"/>
                <w:szCs w:val="22"/>
              </w:rPr>
            </w:pPr>
            <w:r w:rsidRPr="00860780">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4E618978" w14:textId="4C8116AD" w:rsidR="00513560" w:rsidRPr="00860780" w:rsidRDefault="00513560" w:rsidP="000A561C">
            <w:pPr>
              <w:pStyle w:val="TableText"/>
              <w:keepNext/>
              <w:jc w:val="both"/>
              <w:rPr>
                <w:rFonts w:ascii="Public Sans" w:hAnsi="Public Sans"/>
                <w:b/>
                <w:sz w:val="22"/>
                <w:szCs w:val="22"/>
              </w:rPr>
            </w:pPr>
            <w:r w:rsidRPr="00860780">
              <w:rPr>
                <w:rFonts w:ascii="Public Sans" w:hAnsi="Public Sans"/>
                <w:b/>
                <w:sz w:val="22"/>
                <w:szCs w:val="22"/>
              </w:rPr>
              <w:t>Level</w:t>
            </w:r>
          </w:p>
        </w:tc>
      </w:tr>
      <w:tr w:rsidR="000A68E3" w:rsidRPr="00860780" w14:paraId="7CF7C819" w14:textId="303F4DBB" w:rsidTr="000A68E3">
        <w:trPr>
          <w:gridAfter w:val="1"/>
          <w:wAfter w:w="25" w:type="dxa"/>
        </w:trPr>
        <w:tc>
          <w:tcPr>
            <w:tcW w:w="1475" w:type="dxa"/>
            <w:tcBorders>
              <w:top w:val="single" w:sz="8" w:space="0" w:color="BCBEC0"/>
              <w:left w:val="nil"/>
              <w:bottom w:val="single" w:sz="8" w:space="0" w:color="BCBEC0"/>
              <w:right w:val="nil"/>
            </w:tcBorders>
          </w:tcPr>
          <w:p w14:paraId="2175C603" w14:textId="4AB41509" w:rsidR="000A68E3" w:rsidRPr="00860780" w:rsidRDefault="000A68E3" w:rsidP="00371DBD">
            <w:pPr>
              <w:keepNext/>
              <w:spacing w:after="0" w:line="240" w:lineRule="auto"/>
              <w:rPr>
                <w:rFonts w:ascii="Public Sans" w:hAnsi="Public Sans" w:cs="Arial"/>
                <w:szCs w:val="22"/>
              </w:rPr>
            </w:pPr>
            <w:r w:rsidRPr="00860780">
              <w:rPr>
                <w:rFonts w:ascii="Public Sans" w:hAnsi="Public Sans" w:cs="Arial"/>
                <w:noProof/>
                <w:szCs w:val="22"/>
                <w:lang w:eastAsia="en-AU"/>
              </w:rPr>
              <w:drawing>
                <wp:inline distT="0" distB="0" distL="0" distR="0" wp14:anchorId="48C460D7" wp14:editId="30C3F864">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3E3A35D6" w14:textId="4E8EE06A"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Act with Integrity</w:t>
            </w:r>
          </w:p>
          <w:p w14:paraId="5A3016ED" w14:textId="41BFE573" w:rsidR="000A68E3" w:rsidRPr="00860780" w:rsidRDefault="000A68E3" w:rsidP="00371DBD">
            <w:pPr>
              <w:spacing w:after="0" w:line="240" w:lineRule="auto"/>
              <w:rPr>
                <w:rFonts w:ascii="Public Sans" w:hAnsi="Public Sans" w:cs="Arial"/>
                <w:szCs w:val="22"/>
              </w:rPr>
            </w:pPr>
            <w:r w:rsidRPr="00860780">
              <w:rPr>
                <w:rFonts w:ascii="Public Sans" w:hAnsi="Public Sans" w:cs="Arial"/>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01EC672E" w14:textId="1122E1A3"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Champion and model the highest standards of ethical and professional behaviour</w:t>
            </w:r>
          </w:p>
          <w:p w14:paraId="653F0475" w14:textId="728A2DE9"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Drive a culture of integrity and professionalism within the organisation, and in dealings across government and with other jurisdictions and external organisations</w:t>
            </w:r>
          </w:p>
          <w:p w14:paraId="3D9AF7EA" w14:textId="1B0244DC"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Set, communicate and evaluate ethical practices, standards and systems and reinforce their use</w:t>
            </w:r>
          </w:p>
          <w:p w14:paraId="7D259CB4" w14:textId="61F91C3B"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Create and promote a culture in which staff feel able to report apparent breaches of legislation, policies and guidelines and act promptly and visibly in response to such reports</w:t>
            </w:r>
          </w:p>
          <w:p w14:paraId="26F99749" w14:textId="6575ED1B"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Act promptly and visibly to prevent and respond to unethical behaviour</w:t>
            </w:r>
          </w:p>
        </w:tc>
        <w:tc>
          <w:tcPr>
            <w:tcW w:w="1701" w:type="dxa"/>
            <w:gridSpan w:val="2"/>
            <w:tcBorders>
              <w:top w:val="single" w:sz="8" w:space="0" w:color="BCBEC0"/>
              <w:left w:val="nil"/>
              <w:bottom w:val="single" w:sz="8" w:space="0" w:color="BCBEC0"/>
              <w:right w:val="nil"/>
            </w:tcBorders>
          </w:tcPr>
          <w:p w14:paraId="502D8297" w14:textId="32B3A149"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Highly Advanced</w:t>
            </w:r>
          </w:p>
        </w:tc>
      </w:tr>
      <w:tr w:rsidR="000A68E3" w:rsidRPr="00860780" w14:paraId="45BE67FF" w14:textId="3F8C6B67" w:rsidTr="000A68E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3433B3" w14:textId="33E0921A"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cs="Arial"/>
                <w:noProof/>
                <w:szCs w:val="22"/>
                <w:lang w:eastAsia="en-AU"/>
              </w:rPr>
              <w:drawing>
                <wp:inline distT="0" distB="0" distL="0" distR="0" wp14:anchorId="34A88238" wp14:editId="3F987D5A">
                  <wp:extent cx="855980" cy="855980"/>
                  <wp:effectExtent l="0" t="0" r="1270" b="1270"/>
                  <wp:docPr id="37" name="Picture 3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1B026D4" w14:textId="5E007117"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Commit to Customer Service</w:t>
            </w:r>
          </w:p>
          <w:p w14:paraId="4DCE73D3" w14:textId="509CB054"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43E3335" w14:textId="4104CE55"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Create a culture that embraces high-quality customer service across the organisation, ensuring that management systems and processes drive service delivery outcomes</w:t>
            </w:r>
          </w:p>
          <w:p w14:paraId="613F2BA7" w14:textId="081E1CD7"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Engage and negotiate with stakeholders on strategic issues related to government policy, standards of customer service and accessibility, and provide expert, influential advice</w:t>
            </w:r>
          </w:p>
          <w:p w14:paraId="4F7A96BC" w14:textId="7E4544FE"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Ensure that responsiveness to customer needs is  central to the organisation’s strategic planning processes</w:t>
            </w:r>
          </w:p>
          <w:p w14:paraId="2CF587CF" w14:textId="16379BC3"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Set overall performance standards for service delivery across the organisation and monitor compliance</w:t>
            </w:r>
          </w:p>
        </w:tc>
        <w:tc>
          <w:tcPr>
            <w:tcW w:w="1701" w:type="dxa"/>
            <w:gridSpan w:val="2"/>
            <w:tcBorders>
              <w:top w:val="single" w:sz="8" w:space="0" w:color="BCBEC0"/>
              <w:left w:val="nil"/>
              <w:bottom w:val="single" w:sz="8" w:space="0" w:color="BCBEC0"/>
              <w:right w:val="nil"/>
            </w:tcBorders>
            <w:shd w:val="clear" w:color="auto" w:fill="FFFFFF" w:themeFill="background1"/>
          </w:tcPr>
          <w:p w14:paraId="6267DE0C" w14:textId="558A8E92"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Highly Advanced</w:t>
            </w:r>
          </w:p>
        </w:tc>
      </w:tr>
      <w:tr w:rsidR="000A68E3" w:rsidRPr="00860780" w14:paraId="352080A2" w14:textId="7CE1B1D2" w:rsidTr="000A68E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8ED49BF" w14:textId="5A828E90"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cs="Arial"/>
                <w:noProof/>
                <w:szCs w:val="22"/>
                <w:lang w:eastAsia="en-AU"/>
              </w:rPr>
              <w:drawing>
                <wp:inline distT="0" distB="0" distL="0" distR="0" wp14:anchorId="3AF3978D" wp14:editId="2E09C7C0">
                  <wp:extent cx="855980" cy="855980"/>
                  <wp:effectExtent l="0" t="0" r="1270" b="1270"/>
                  <wp:docPr id="42" name="Picture 4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2331142" w14:textId="77F56133"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Work Collaboratively</w:t>
            </w:r>
          </w:p>
          <w:p w14:paraId="0C29E7E6" w14:textId="24F463D1"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EB20AA4" w14:textId="53AAEC3D"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Establish a culture and supporting systems that facilitate information sharing, communication and learning across the sector</w:t>
            </w:r>
          </w:p>
          <w:p w14:paraId="4F4F163C" w14:textId="2F38351E"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Publicly celebrate the successful outcomes of collaboration</w:t>
            </w:r>
          </w:p>
          <w:p w14:paraId="2814E1C7" w14:textId="0B36058A"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Seek out and facilitate opportunities to engage and collaborate with stakeholders to develop solutions across the organisation, government and other jurisdictions</w:t>
            </w:r>
          </w:p>
          <w:p w14:paraId="44264AF0" w14:textId="566069D9" w:rsidR="000A68E3" w:rsidRPr="00860780" w:rsidRDefault="000A68E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cs="Arial"/>
                <w:color w:val="auto"/>
                <w:szCs w:val="22"/>
              </w:rPr>
              <w:t>Identify and overcome barriers to collaboration with internal and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C15A325" w14:textId="1067E5A5"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Highly Advanced</w:t>
            </w:r>
          </w:p>
        </w:tc>
      </w:tr>
      <w:tr w:rsidR="000A68E3" w:rsidRPr="00860780" w14:paraId="605DCA48" w14:textId="3596CB5C" w:rsidTr="000A68E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B9AB7DF" w14:textId="47442E6A"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cs="Arial"/>
                <w:noProof/>
                <w:szCs w:val="22"/>
                <w:lang w:eastAsia="en-AU"/>
              </w:rPr>
              <w:drawing>
                <wp:inline distT="0" distB="0" distL="0" distR="0" wp14:anchorId="09260B18" wp14:editId="13845084">
                  <wp:extent cx="855980" cy="855980"/>
                  <wp:effectExtent l="0" t="0" r="1270" b="1270"/>
                  <wp:docPr id="55" name="Picture 5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98CD2BC" w14:textId="57747509"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Deliver Results</w:t>
            </w:r>
          </w:p>
          <w:p w14:paraId="7A7D3F46" w14:textId="7A2F2CC1"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67C810E0" w14:textId="77777777" w:rsidR="002B079F"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Seek and apply the expertise of key individuals to achieve organisational outcomes </w:t>
            </w:r>
          </w:p>
          <w:p w14:paraId="01BDBBDE" w14:textId="77777777" w:rsidR="002B079F"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Drive a culture of achievement and acknowledge input from others </w:t>
            </w:r>
          </w:p>
          <w:p w14:paraId="4422ADB8" w14:textId="77777777" w:rsidR="002B079F"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Determine how outcomes will be measured and guide others on evaluation methods </w:t>
            </w:r>
          </w:p>
          <w:p w14:paraId="2338EE9D" w14:textId="77777777" w:rsidR="002B079F"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Investigate and create opportunities to enhance the achievement of organisational objectives </w:t>
            </w:r>
          </w:p>
          <w:p w14:paraId="1AB2DEBB" w14:textId="77777777" w:rsidR="002B079F"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Make sure others understand that on-time and on-budget results are required and how overall success is defined </w:t>
            </w:r>
          </w:p>
          <w:p w14:paraId="2AFBED96" w14:textId="77777777" w:rsidR="002B079F"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Control business unit output to ensure government outcomes are achieved within budgets </w:t>
            </w:r>
          </w:p>
          <w:p w14:paraId="52C22026" w14:textId="50398227" w:rsidR="000A68E3" w:rsidRPr="00860780" w:rsidRDefault="00C6323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Progress organisational priorities and ensure that resources are acquired and used effectively</w:t>
            </w:r>
          </w:p>
        </w:tc>
        <w:tc>
          <w:tcPr>
            <w:tcW w:w="1701" w:type="dxa"/>
            <w:gridSpan w:val="2"/>
            <w:tcBorders>
              <w:top w:val="single" w:sz="8" w:space="0" w:color="BCBEC0"/>
              <w:left w:val="nil"/>
              <w:bottom w:val="single" w:sz="8" w:space="0" w:color="BCBEC0"/>
              <w:right w:val="nil"/>
            </w:tcBorders>
            <w:shd w:val="clear" w:color="auto" w:fill="FFFFFF" w:themeFill="background1"/>
          </w:tcPr>
          <w:p w14:paraId="7C583E5F" w14:textId="49430016"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Advanced</w:t>
            </w:r>
          </w:p>
        </w:tc>
      </w:tr>
      <w:tr w:rsidR="000A68E3" w:rsidRPr="00860780" w14:paraId="049A149D" w14:textId="15A7B483" w:rsidTr="000A68E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E0C3AF" w14:textId="0CB45D2A"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cs="Arial"/>
                <w:noProof/>
                <w:szCs w:val="22"/>
                <w:lang w:eastAsia="en-AU"/>
              </w:rPr>
              <w:drawing>
                <wp:inline distT="0" distB="0" distL="0" distR="0" wp14:anchorId="26157752" wp14:editId="208F45AE">
                  <wp:extent cx="855980" cy="855980"/>
                  <wp:effectExtent l="0" t="0" r="1270" b="1270"/>
                  <wp:docPr id="70" name="Picture 7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9BFCDD3" w14:textId="486B0492"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Demonstrate Accountability</w:t>
            </w:r>
          </w:p>
          <w:p w14:paraId="7E481784" w14:textId="03769DBB"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sz w:val="22"/>
                <w:szCs w:val="22"/>
              </w:rPr>
              <w:t>Be proactive and responsible for own actions, and adhere to legislation, policy and guidelines</w:t>
            </w:r>
          </w:p>
          <w:p w14:paraId="2EBB0EDA" w14:textId="788DD0F1" w:rsidR="000A68E3" w:rsidRPr="00860780" w:rsidRDefault="000A68E3" w:rsidP="00371DBD">
            <w:pPr>
              <w:spacing w:after="0" w:line="240" w:lineRule="auto"/>
              <w:ind w:firstLine="720"/>
              <w:rPr>
                <w:rFonts w:ascii="Public Sans" w:hAnsi="Public Sans" w:cs="Arial"/>
                <w:szCs w:val="22"/>
              </w:rPr>
            </w:pPr>
          </w:p>
        </w:tc>
        <w:tc>
          <w:tcPr>
            <w:tcW w:w="4611" w:type="dxa"/>
            <w:gridSpan w:val="3"/>
            <w:tcBorders>
              <w:top w:val="single" w:sz="8" w:space="0" w:color="BCBEC0"/>
              <w:left w:val="nil"/>
              <w:bottom w:val="single" w:sz="8" w:space="0" w:color="BCBEC0"/>
              <w:right w:val="nil"/>
            </w:tcBorders>
            <w:shd w:val="clear" w:color="auto" w:fill="FFFFFF" w:themeFill="background1"/>
          </w:tcPr>
          <w:p w14:paraId="671195C2" w14:textId="77777777" w:rsidR="009A51B3" w:rsidRPr="00860780" w:rsidRDefault="009A51B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Design and develop systems to establish and measure accountabilities </w:t>
            </w:r>
          </w:p>
          <w:p w14:paraId="4AB3CE57" w14:textId="77777777" w:rsidR="009A51B3" w:rsidRPr="00860780" w:rsidRDefault="009A51B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Ensure accountabilities are exercised in line with government and business goals </w:t>
            </w:r>
          </w:p>
          <w:p w14:paraId="63A53A25" w14:textId="77777777" w:rsidR="009A51B3" w:rsidRPr="00860780" w:rsidRDefault="009A51B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Exercise due diligence to ensure work health and safety risks are addressed </w:t>
            </w:r>
          </w:p>
          <w:p w14:paraId="2C7E7DBE" w14:textId="77777777" w:rsidR="009A51B3" w:rsidRPr="00860780" w:rsidRDefault="009A51B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Oversee quality assurance practices Model the highest standards of financial probity, demonstrating respect for public monies and other resources </w:t>
            </w:r>
          </w:p>
          <w:p w14:paraId="2B109758" w14:textId="77777777" w:rsidR="009A51B3" w:rsidRPr="00860780" w:rsidRDefault="009A51B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Monitor and maintain business-unit knowledge of and compliance with legislative and regulatory frameworks </w:t>
            </w:r>
          </w:p>
          <w:p w14:paraId="0FC0F730" w14:textId="6F61D43E" w:rsidR="000A68E3" w:rsidRPr="00860780" w:rsidRDefault="009A51B3"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Incorporate sound risk management principles and strategies into business planning</w:t>
            </w:r>
          </w:p>
        </w:tc>
        <w:tc>
          <w:tcPr>
            <w:tcW w:w="1701" w:type="dxa"/>
            <w:gridSpan w:val="2"/>
            <w:tcBorders>
              <w:top w:val="single" w:sz="8" w:space="0" w:color="BCBEC0"/>
              <w:left w:val="nil"/>
              <w:bottom w:val="single" w:sz="8" w:space="0" w:color="BCBEC0"/>
              <w:right w:val="nil"/>
            </w:tcBorders>
            <w:shd w:val="clear" w:color="auto" w:fill="FFFFFF" w:themeFill="background1"/>
          </w:tcPr>
          <w:p w14:paraId="78D7A9CD" w14:textId="171843CA"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Advanced</w:t>
            </w:r>
          </w:p>
        </w:tc>
      </w:tr>
      <w:tr w:rsidR="000A68E3" w:rsidRPr="00860780" w14:paraId="2DFAC7FE" w14:textId="60EEE360" w:rsidTr="000A68E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14D40E2" w14:textId="1C7EF079"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noProof/>
                <w:szCs w:val="22"/>
                <w:lang w:eastAsia="en-AU"/>
              </w:rPr>
              <w:drawing>
                <wp:inline distT="0" distB="0" distL="0" distR="0" wp14:anchorId="08D72B27" wp14:editId="419F1C68">
                  <wp:extent cx="848360" cy="848360"/>
                  <wp:effectExtent l="0" t="0" r="8890" b="8890"/>
                  <wp:docPr id="75" name="Picture 7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BF15FD" w14:textId="2FC944FF"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Finance</w:t>
            </w:r>
          </w:p>
          <w:p w14:paraId="2CBB565D" w14:textId="69350EC4"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090E9B5E" w14:textId="77777777" w:rsidR="00393389" w:rsidRPr="00860780" w:rsidRDefault="00393389"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Apply a thorough understanding of recurrent and capital financial terminology, policies and processes to planning, forecasting and budget preparation and management </w:t>
            </w:r>
          </w:p>
          <w:p w14:paraId="77D04177" w14:textId="77777777" w:rsidR="00393389" w:rsidRPr="00860780" w:rsidRDefault="00393389"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Identify and analyse trends, review data and evaluate business options to ensure business cases are financially sound </w:t>
            </w:r>
          </w:p>
          <w:p w14:paraId="1181C984" w14:textId="77777777" w:rsidR="002B198D" w:rsidRPr="00860780" w:rsidRDefault="00393389"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Assess relative cost benefits of various purchasing options </w:t>
            </w:r>
          </w:p>
          <w:p w14:paraId="535D40C1" w14:textId="77777777" w:rsidR="002B198D" w:rsidRPr="00860780" w:rsidRDefault="00393389"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Promote the role of sound financial management and its impact on organisational effectiveness </w:t>
            </w:r>
          </w:p>
          <w:p w14:paraId="3D2C641C" w14:textId="77777777" w:rsidR="002B198D" w:rsidRPr="00860780" w:rsidRDefault="00393389"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Obtain specialist financial advice when reviewing and evaluating finance systems and processes </w:t>
            </w:r>
          </w:p>
          <w:p w14:paraId="2965B913" w14:textId="3B8A214D" w:rsidR="00393389" w:rsidRPr="00860780" w:rsidRDefault="00393389"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Respond to financial and risk management audit outcomes, addressing areas of noncompliance in a timely manner</w:t>
            </w:r>
          </w:p>
          <w:p w14:paraId="542BC157" w14:textId="5DD71C66" w:rsidR="000A68E3" w:rsidRPr="00860780" w:rsidRDefault="000A68E3" w:rsidP="00393389">
            <w:pPr>
              <w:pStyle w:val="BodyText"/>
              <w:spacing w:before="0" w:after="0" w:line="240" w:lineRule="auto"/>
              <w:ind w:left="360" w:right="702"/>
              <w:rPr>
                <w:rFonts w:ascii="Public Sans" w:hAnsi="Public Sans" w:cs="Arial"/>
                <w:szCs w:val="22"/>
              </w:rPr>
            </w:pPr>
          </w:p>
        </w:tc>
        <w:tc>
          <w:tcPr>
            <w:tcW w:w="1701" w:type="dxa"/>
            <w:gridSpan w:val="2"/>
            <w:tcBorders>
              <w:top w:val="single" w:sz="8" w:space="0" w:color="BCBEC0"/>
              <w:left w:val="nil"/>
              <w:bottom w:val="single" w:sz="8" w:space="0" w:color="BCBEC0"/>
              <w:right w:val="nil"/>
            </w:tcBorders>
            <w:shd w:val="clear" w:color="auto" w:fill="FFFFFF" w:themeFill="background1"/>
          </w:tcPr>
          <w:p w14:paraId="2DA4FFEC" w14:textId="6D7D2C9F"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Advanced</w:t>
            </w:r>
          </w:p>
        </w:tc>
      </w:tr>
      <w:tr w:rsidR="000A68E3" w:rsidRPr="00860780" w14:paraId="1B4CEDA5" w14:textId="38A111ED" w:rsidTr="000A68E3">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A526273" w14:textId="7F4A53BE"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noProof/>
                <w:szCs w:val="22"/>
                <w:lang w:eastAsia="en-AU"/>
              </w:rPr>
              <w:drawing>
                <wp:inline distT="0" distB="0" distL="0" distR="0" wp14:anchorId="71459780" wp14:editId="15D1EB0F">
                  <wp:extent cx="848360" cy="848360"/>
                  <wp:effectExtent l="0" t="0" r="8890" b="8890"/>
                  <wp:docPr id="95" name="Picture 9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5979BB0" w14:textId="5FFDB489"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Manage and Develop People</w:t>
            </w:r>
          </w:p>
          <w:p w14:paraId="743C7478" w14:textId="65364705"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737FC338" w14:textId="77777777" w:rsidR="002B7A60" w:rsidRPr="00860780" w:rsidRDefault="002B7A60"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Refine roles and responsibilities over time to achieve better business outcomes </w:t>
            </w:r>
          </w:p>
          <w:p w14:paraId="02627414" w14:textId="160BD432" w:rsidR="002B7A60" w:rsidRPr="00860780" w:rsidRDefault="002B7A60"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Recognise talent, develop team capability and undertake succession planning </w:t>
            </w:r>
          </w:p>
          <w:p w14:paraId="2B1274C7" w14:textId="77777777" w:rsidR="002B7A60" w:rsidRPr="00860780" w:rsidRDefault="002B7A60"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Coach and mentor staff and encourage professional development and continuous learning </w:t>
            </w:r>
          </w:p>
          <w:p w14:paraId="6339A3B7" w14:textId="77777777" w:rsidR="00B749B8" w:rsidRPr="00860780" w:rsidRDefault="002B7A60"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Prioritise addressing and resolving team and individual performance issues and ensure that this approach is cascaded throughout the organisation </w:t>
            </w:r>
          </w:p>
          <w:p w14:paraId="4B2BF59C" w14:textId="689F4035" w:rsidR="000A68E3" w:rsidRPr="00860780" w:rsidRDefault="002B7A60"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Implement performance development frameworks to align workforce capability with the organisation’s current and future priorities and objectives</w:t>
            </w:r>
          </w:p>
        </w:tc>
        <w:tc>
          <w:tcPr>
            <w:tcW w:w="1701" w:type="dxa"/>
            <w:gridSpan w:val="2"/>
            <w:tcBorders>
              <w:top w:val="single" w:sz="8" w:space="0" w:color="BCBEC0"/>
              <w:left w:val="nil"/>
              <w:bottom w:val="single" w:sz="8" w:space="0" w:color="BCBEC0"/>
              <w:right w:val="nil"/>
            </w:tcBorders>
            <w:shd w:val="clear" w:color="auto" w:fill="FFFFFF" w:themeFill="background1"/>
          </w:tcPr>
          <w:p w14:paraId="707A34EA" w14:textId="406F17FB"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Advanced</w:t>
            </w:r>
          </w:p>
        </w:tc>
      </w:tr>
      <w:tr w:rsidR="000A68E3" w:rsidRPr="00860780" w14:paraId="47121AAB" w14:textId="61BA7B68" w:rsidTr="000A68E3">
        <w:trPr>
          <w:gridAfter w:val="1"/>
          <w:wAfter w:w="25" w:type="dxa"/>
        </w:trPr>
        <w:tc>
          <w:tcPr>
            <w:tcW w:w="1475" w:type="dxa"/>
            <w:tcBorders>
              <w:top w:val="single" w:sz="8" w:space="0" w:color="BCBEC0"/>
              <w:left w:val="nil"/>
              <w:bottom w:val="single" w:sz="8" w:space="0" w:color="BCBEC0"/>
              <w:right w:val="nil"/>
            </w:tcBorders>
            <w:shd w:val="clear" w:color="auto" w:fill="auto"/>
          </w:tcPr>
          <w:p w14:paraId="33036475" w14:textId="258DD453" w:rsidR="000A68E3" w:rsidRPr="00860780" w:rsidRDefault="000A68E3" w:rsidP="00371DBD">
            <w:pPr>
              <w:keepNext/>
              <w:spacing w:after="0" w:line="240" w:lineRule="auto"/>
              <w:rPr>
                <w:rFonts w:ascii="Public Sans" w:hAnsi="Public Sans" w:cs="Arial"/>
                <w:noProof/>
                <w:szCs w:val="22"/>
                <w:lang w:eastAsia="en-AU"/>
              </w:rPr>
            </w:pPr>
            <w:r w:rsidRPr="00860780">
              <w:rPr>
                <w:rFonts w:ascii="Public Sans" w:hAnsi="Public Sans"/>
                <w:noProof/>
                <w:szCs w:val="22"/>
                <w:lang w:eastAsia="en-AU"/>
              </w:rPr>
              <w:drawing>
                <wp:inline distT="0" distB="0" distL="0" distR="0" wp14:anchorId="1C95DB7A" wp14:editId="3C11AA7E">
                  <wp:extent cx="848360" cy="848360"/>
                  <wp:effectExtent l="0" t="0" r="8890" b="8890"/>
                  <wp:docPr id="110" name="Picture 110"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2431AE67" w14:textId="1148E443" w:rsidR="000A68E3" w:rsidRPr="00860780" w:rsidRDefault="000A68E3" w:rsidP="00371DBD">
            <w:pPr>
              <w:pStyle w:val="TableText"/>
              <w:keepNext/>
              <w:spacing w:before="0" w:after="0" w:line="240" w:lineRule="auto"/>
              <w:rPr>
                <w:rFonts w:ascii="Public Sans" w:hAnsi="Public Sans" w:cs="Arial"/>
                <w:b/>
                <w:sz w:val="22"/>
                <w:szCs w:val="22"/>
              </w:rPr>
            </w:pPr>
            <w:r w:rsidRPr="00860780">
              <w:rPr>
                <w:rFonts w:ascii="Public Sans" w:hAnsi="Public Sans" w:cs="Arial"/>
                <w:b/>
                <w:sz w:val="22"/>
                <w:szCs w:val="22"/>
              </w:rPr>
              <w:t>Manage Reform and Change</w:t>
            </w:r>
          </w:p>
          <w:p w14:paraId="20FC6D5A" w14:textId="223F9A80"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Support, promote and champion change, and assist others to engage with change</w:t>
            </w:r>
          </w:p>
        </w:tc>
        <w:tc>
          <w:tcPr>
            <w:tcW w:w="4611" w:type="dxa"/>
            <w:gridSpan w:val="3"/>
            <w:tcBorders>
              <w:top w:val="single" w:sz="8" w:space="0" w:color="BCBEC0"/>
              <w:left w:val="nil"/>
              <w:bottom w:val="single" w:sz="8" w:space="0" w:color="BCBEC0"/>
              <w:right w:val="nil"/>
            </w:tcBorders>
            <w:shd w:val="clear" w:color="auto" w:fill="auto"/>
          </w:tcPr>
          <w:p w14:paraId="5A9EC49E" w14:textId="77777777" w:rsidR="00C750AC" w:rsidRPr="00860780" w:rsidRDefault="00C750A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Clarify the purpose and benefits of continuous improvement for staff and provide coaching and leadership in times of uncertainty </w:t>
            </w:r>
          </w:p>
          <w:p w14:paraId="00BD56ED" w14:textId="77777777" w:rsidR="00C750AC" w:rsidRPr="00860780" w:rsidRDefault="00C750A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Assist others to address emerging challenges and risks and generate support for change initiatives </w:t>
            </w:r>
          </w:p>
          <w:p w14:paraId="2A1FC3C7" w14:textId="77777777" w:rsidR="00C750AC" w:rsidRPr="00860780" w:rsidRDefault="00C750A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 xml:space="preserve">Translate change initiatives into practical strategies and explain these to staff, and their role in implementing them </w:t>
            </w:r>
          </w:p>
          <w:p w14:paraId="2EC2B078" w14:textId="55DD445E" w:rsidR="000A68E3" w:rsidRPr="00860780" w:rsidRDefault="00C750AC" w:rsidP="000A68E3">
            <w:pPr>
              <w:pStyle w:val="BodyText"/>
              <w:numPr>
                <w:ilvl w:val="0"/>
                <w:numId w:val="32"/>
              </w:numPr>
              <w:spacing w:before="0" w:after="0" w:line="240" w:lineRule="auto"/>
              <w:ind w:left="360" w:right="702"/>
              <w:rPr>
                <w:rFonts w:ascii="Public Sans" w:hAnsi="Public Sans" w:cs="Arial"/>
                <w:color w:val="auto"/>
                <w:szCs w:val="22"/>
              </w:rPr>
            </w:pPr>
            <w:r w:rsidRPr="00860780">
              <w:rPr>
                <w:rFonts w:ascii="Public Sans" w:hAnsi="Public Sans"/>
                <w:szCs w:val="22"/>
              </w:rPr>
              <w:t>Implement structured change management processes to identify and develop responses to cultural barriers</w:t>
            </w:r>
          </w:p>
        </w:tc>
        <w:tc>
          <w:tcPr>
            <w:tcW w:w="1701" w:type="dxa"/>
            <w:gridSpan w:val="2"/>
            <w:tcBorders>
              <w:top w:val="single" w:sz="8" w:space="0" w:color="BCBEC0"/>
              <w:left w:val="nil"/>
              <w:bottom w:val="single" w:sz="8" w:space="0" w:color="BCBEC0"/>
              <w:right w:val="nil"/>
            </w:tcBorders>
            <w:shd w:val="clear" w:color="auto" w:fill="auto"/>
          </w:tcPr>
          <w:p w14:paraId="7DF8A656" w14:textId="2494B1A0" w:rsidR="000A68E3" w:rsidRPr="00860780" w:rsidRDefault="000A68E3" w:rsidP="00371DBD">
            <w:pPr>
              <w:pStyle w:val="TableText"/>
              <w:keepNext/>
              <w:spacing w:before="0" w:after="0" w:line="240" w:lineRule="auto"/>
              <w:rPr>
                <w:rFonts w:ascii="Public Sans" w:hAnsi="Public Sans" w:cs="Arial"/>
                <w:sz w:val="22"/>
                <w:szCs w:val="22"/>
              </w:rPr>
            </w:pPr>
            <w:r w:rsidRPr="00860780">
              <w:rPr>
                <w:rFonts w:ascii="Public Sans" w:hAnsi="Public Sans" w:cs="Arial"/>
                <w:sz w:val="22"/>
                <w:szCs w:val="22"/>
              </w:rPr>
              <w:t>Advanced</w:t>
            </w:r>
          </w:p>
        </w:tc>
      </w:tr>
    </w:tbl>
    <w:p w14:paraId="4664951C" w14:textId="7D20314E" w:rsidR="00D7553E" w:rsidRPr="002D59C2" w:rsidRDefault="00D7553E">
      <w:pPr>
        <w:spacing w:after="0" w:line="240" w:lineRule="auto"/>
        <w:rPr>
          <w:rFonts w:ascii="Public Sans" w:hAnsi="Public Sans" w:cstheme="minorHAnsi"/>
        </w:rPr>
      </w:pPr>
    </w:p>
    <w:p w14:paraId="2FA16B4B" w14:textId="1AF06DD1" w:rsidR="00C2275D" w:rsidRPr="002D59C2" w:rsidRDefault="00860780" w:rsidP="00C2275D">
      <w:pPr>
        <w:pStyle w:val="Heading1"/>
        <w:rPr>
          <w:rFonts w:ascii="Public Sans" w:hAnsi="Public Sans"/>
        </w:rPr>
      </w:pPr>
      <w:r>
        <w:rPr>
          <w:rFonts w:ascii="Public Sans" w:hAnsi="Public Sans"/>
        </w:rPr>
        <w:t>C</w:t>
      </w:r>
      <w:r w:rsidR="00C2275D" w:rsidRPr="002D59C2">
        <w:rPr>
          <w:rFonts w:ascii="Public Sans" w:hAnsi="Public Sans"/>
        </w:rPr>
        <w:t>omplementary capabilities</w:t>
      </w:r>
    </w:p>
    <w:p w14:paraId="5E9DE440" w14:textId="77777777" w:rsidR="00C2275D" w:rsidRPr="00860780" w:rsidRDefault="00C2275D" w:rsidP="00C2275D">
      <w:pPr>
        <w:pStyle w:val="PlainText"/>
        <w:spacing w:before="62" w:line="276" w:lineRule="auto"/>
        <w:rPr>
          <w:rFonts w:ascii="Public Sans" w:eastAsiaTheme="minorEastAsia" w:hAnsi="Public Sans" w:cs="Arial"/>
          <w:sz w:val="22"/>
          <w:szCs w:val="22"/>
          <w:lang w:val="en-US"/>
        </w:rPr>
      </w:pPr>
      <w:r w:rsidRPr="00860780">
        <w:rPr>
          <w:rFonts w:ascii="Public Sans" w:eastAsiaTheme="minorEastAsia" w:hAnsi="Public Sans" w:cs="Arial"/>
          <w:i/>
          <w:sz w:val="22"/>
          <w:szCs w:val="22"/>
          <w:lang w:val="en-US"/>
        </w:rPr>
        <w:t>Complementary capabilities</w:t>
      </w:r>
      <w:r w:rsidRPr="00860780">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72F43E2" w14:textId="32D3E8DB" w:rsidR="00BD1817" w:rsidRPr="002D59C2" w:rsidRDefault="00C2275D" w:rsidP="00860780">
      <w:pPr>
        <w:pStyle w:val="PlainText"/>
        <w:spacing w:before="62" w:line="276" w:lineRule="auto"/>
        <w:rPr>
          <w:rFonts w:ascii="Public Sans" w:hAnsi="Public Sans" w:cstheme="minorHAnsi"/>
        </w:rPr>
      </w:pPr>
      <w:r w:rsidRPr="00860780">
        <w:rPr>
          <w:rFonts w:ascii="Public Sans" w:eastAsiaTheme="minorEastAsia" w:hAnsi="Public Sans" w:cs="Arial"/>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D59C2" w14:paraId="509E6D39" w14:textId="4016D084"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24DE031" w14:textId="1D1B6C4F" w:rsidR="006C5A71" w:rsidRPr="00860780" w:rsidRDefault="006C5A71" w:rsidP="006C5A71">
            <w:pPr>
              <w:pStyle w:val="TableTextWhite0"/>
              <w:keepNext/>
              <w:jc w:val="both"/>
              <w:rPr>
                <w:rFonts w:ascii="Public Sans" w:hAnsi="Public Sans" w:cstheme="minorHAnsi"/>
                <w:szCs w:val="22"/>
              </w:rPr>
            </w:pPr>
            <w:r w:rsidRPr="00860780">
              <w:rPr>
                <w:rFonts w:ascii="Public Sans" w:hAnsi="Public Sans" w:cstheme="minorHAnsi"/>
                <w:szCs w:val="22"/>
              </w:rPr>
              <w:t>COMPLEMENTARY CAPABILITIES</w:t>
            </w:r>
          </w:p>
        </w:tc>
      </w:tr>
      <w:tr w:rsidR="006C5A71" w:rsidRPr="002D59C2" w14:paraId="2272354E" w14:textId="4FD254B6"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8D1111A" w14:textId="437C4D5C" w:rsidR="006C5A71" w:rsidRPr="00860780" w:rsidRDefault="006C5A71" w:rsidP="006C5A71">
            <w:pPr>
              <w:pStyle w:val="TableText"/>
              <w:keepNext/>
              <w:rPr>
                <w:rFonts w:ascii="Public Sans" w:hAnsi="Public Sans" w:cstheme="minorHAnsi"/>
                <w:b/>
                <w:sz w:val="22"/>
                <w:szCs w:val="22"/>
              </w:rPr>
            </w:pPr>
            <w:r w:rsidRPr="00860780">
              <w:rPr>
                <w:rFonts w:ascii="Public Sans" w:hAnsi="Public Sans" w:cstheme="minorHAnsi"/>
                <w:b/>
                <w:sz w:val="22"/>
                <w:szCs w:val="22"/>
              </w:rPr>
              <w:t>Capability Group/Sets</w:t>
            </w:r>
          </w:p>
        </w:tc>
        <w:tc>
          <w:tcPr>
            <w:tcW w:w="2409" w:type="dxa"/>
            <w:tcBorders>
              <w:bottom w:val="nil"/>
            </w:tcBorders>
            <w:shd w:val="clear" w:color="auto" w:fill="BCBEC0"/>
          </w:tcPr>
          <w:p w14:paraId="3789F3C7" w14:textId="19A187F5" w:rsidR="006C5A71" w:rsidRPr="00860780" w:rsidRDefault="006C5A71" w:rsidP="006C5A71">
            <w:pPr>
              <w:pStyle w:val="TableText"/>
              <w:keepNext/>
              <w:rPr>
                <w:rFonts w:ascii="Public Sans" w:hAnsi="Public Sans" w:cstheme="minorHAnsi"/>
                <w:b/>
                <w:sz w:val="22"/>
                <w:szCs w:val="22"/>
              </w:rPr>
            </w:pPr>
            <w:r w:rsidRPr="00860780">
              <w:rPr>
                <w:rFonts w:ascii="Public Sans" w:hAnsi="Public Sans" w:cstheme="minorHAnsi"/>
                <w:b/>
                <w:sz w:val="22"/>
                <w:szCs w:val="22"/>
              </w:rPr>
              <w:t>Capability Name</w:t>
            </w:r>
          </w:p>
        </w:tc>
        <w:tc>
          <w:tcPr>
            <w:tcW w:w="4967" w:type="dxa"/>
            <w:tcBorders>
              <w:bottom w:val="nil"/>
            </w:tcBorders>
            <w:shd w:val="clear" w:color="auto" w:fill="BCBEC0"/>
          </w:tcPr>
          <w:p w14:paraId="4259F142" w14:textId="6E4C3ED3" w:rsidR="006C5A71" w:rsidRPr="00860780" w:rsidRDefault="006C5A71" w:rsidP="006C5A71">
            <w:pPr>
              <w:pStyle w:val="TableText"/>
              <w:keepNext/>
              <w:rPr>
                <w:rFonts w:ascii="Public Sans" w:hAnsi="Public Sans" w:cstheme="minorHAnsi"/>
                <w:b/>
                <w:sz w:val="22"/>
                <w:szCs w:val="22"/>
              </w:rPr>
            </w:pPr>
            <w:r w:rsidRPr="00860780">
              <w:rPr>
                <w:rFonts w:ascii="Public Sans" w:hAnsi="Public Sans" w:cstheme="minorHAnsi"/>
                <w:b/>
                <w:sz w:val="22"/>
                <w:szCs w:val="22"/>
              </w:rPr>
              <w:t>Description</w:t>
            </w:r>
          </w:p>
        </w:tc>
        <w:tc>
          <w:tcPr>
            <w:tcW w:w="1843" w:type="dxa"/>
            <w:tcBorders>
              <w:bottom w:val="nil"/>
            </w:tcBorders>
            <w:shd w:val="clear" w:color="auto" w:fill="BCBEC0"/>
          </w:tcPr>
          <w:p w14:paraId="0F895443" w14:textId="3B7D4524" w:rsidR="006C5A71" w:rsidRPr="00860780" w:rsidRDefault="006C5A71" w:rsidP="006C5A71">
            <w:pPr>
              <w:pStyle w:val="TableText"/>
              <w:keepNext/>
              <w:jc w:val="both"/>
              <w:rPr>
                <w:rFonts w:ascii="Public Sans" w:hAnsi="Public Sans" w:cstheme="minorHAnsi"/>
                <w:b/>
                <w:sz w:val="22"/>
                <w:szCs w:val="22"/>
              </w:rPr>
            </w:pPr>
            <w:r w:rsidRPr="00860780">
              <w:rPr>
                <w:rFonts w:ascii="Public Sans" w:hAnsi="Public Sans" w:cstheme="minorHAnsi"/>
                <w:b/>
                <w:sz w:val="22"/>
                <w:szCs w:val="22"/>
              </w:rPr>
              <w:t xml:space="preserve">Level </w:t>
            </w:r>
          </w:p>
        </w:tc>
      </w:tr>
      <w:tr w:rsidR="00EA36A0" w:rsidRPr="002D59C2" w14:paraId="3BD399FD" w14:textId="429F2AB4" w:rsidTr="00322B27">
        <w:trPr>
          <w:trHeight w:val="20"/>
        </w:trPr>
        <w:tc>
          <w:tcPr>
            <w:tcW w:w="1470" w:type="dxa"/>
            <w:vMerge w:val="restart"/>
            <w:tcBorders>
              <w:top w:val="nil"/>
            </w:tcBorders>
            <w:shd w:val="clear" w:color="auto" w:fill="F2F2F2" w:themeFill="background1" w:themeFillShade="F2"/>
          </w:tcPr>
          <w:p w14:paraId="1273B633" w14:textId="69A9C247" w:rsidR="00EA36A0" w:rsidRPr="00860780" w:rsidRDefault="00EA36A0" w:rsidP="006C5A71">
            <w:pPr>
              <w:keepNext/>
              <w:rPr>
                <w:rFonts w:ascii="Public Sans" w:hAnsi="Public Sans" w:cstheme="minorHAnsi"/>
                <w:szCs w:val="22"/>
              </w:rPr>
            </w:pPr>
            <w:r w:rsidRPr="00860780">
              <w:rPr>
                <w:rFonts w:ascii="Public Sans" w:hAnsi="Public Sans"/>
                <w:noProof/>
                <w:szCs w:val="22"/>
                <w:lang w:eastAsia="en-AU"/>
              </w:rPr>
              <w:drawing>
                <wp:inline distT="0" distB="0" distL="0" distR="0" wp14:anchorId="77A2E474" wp14:editId="3F233C9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C21733A" w14:textId="308F00D9" w:rsidR="00EA36A0" w:rsidRPr="00860780"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A4E7AD2" w14:textId="7920639D" w:rsidR="00EA36A0" w:rsidRPr="00860780"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FCAA2C8" w14:textId="6A9A759E" w:rsidR="00EA36A0" w:rsidRPr="00860780" w:rsidRDefault="00EA36A0" w:rsidP="006C5A71">
            <w:pPr>
              <w:pStyle w:val="TableText"/>
              <w:keepNext/>
              <w:rPr>
                <w:rFonts w:ascii="Public Sans" w:hAnsi="Public Sans" w:cstheme="minorHAnsi"/>
                <w:sz w:val="22"/>
                <w:szCs w:val="22"/>
              </w:rPr>
            </w:pPr>
          </w:p>
        </w:tc>
      </w:tr>
      <w:tr w:rsidR="00EA36A0" w:rsidRPr="002D59C2" w14:paraId="55A75CB0" w14:textId="499C8D5A" w:rsidTr="00322B27">
        <w:tc>
          <w:tcPr>
            <w:tcW w:w="1470" w:type="dxa"/>
            <w:vMerge/>
          </w:tcPr>
          <w:p w14:paraId="3FC755C1" w14:textId="751F2A23" w:rsidR="00EA36A0" w:rsidRPr="00860780"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D319498" w14:textId="71200454" w:rsidR="00EA36A0" w:rsidRPr="00860780" w:rsidRDefault="00EA36A0" w:rsidP="006C5A71">
            <w:pPr>
              <w:pStyle w:val="TableText"/>
              <w:keepNext/>
              <w:rPr>
                <w:rFonts w:ascii="Public Sans" w:hAnsi="Public Sans" w:cstheme="minorHAnsi"/>
                <w:sz w:val="22"/>
                <w:szCs w:val="22"/>
              </w:rPr>
            </w:pPr>
            <w:r w:rsidRPr="00860780">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521E6FFF" w14:textId="52905883" w:rsidR="00EA36A0" w:rsidRPr="00860780" w:rsidRDefault="00EA36A0" w:rsidP="006C5A71">
            <w:pPr>
              <w:rPr>
                <w:rFonts w:ascii="Public Sans" w:hAnsi="Public Sans" w:cstheme="minorHAnsi"/>
                <w:szCs w:val="22"/>
              </w:rPr>
            </w:pPr>
            <w:r w:rsidRPr="00860780">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4BB6F3D" w14:textId="10B34CF8" w:rsidR="00EA36A0" w:rsidRPr="00860780" w:rsidRDefault="000A68E3" w:rsidP="006C5A71">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EA36A0" w:rsidRPr="002D59C2" w14:paraId="6F4C8D44" w14:textId="7FD45B18" w:rsidTr="00322B27">
        <w:tc>
          <w:tcPr>
            <w:tcW w:w="1470" w:type="dxa"/>
            <w:vMerge/>
          </w:tcPr>
          <w:p w14:paraId="59054C3F" w14:textId="773E60FB" w:rsidR="00EA36A0" w:rsidRPr="0086078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B4AF291" w14:textId="4930B88B" w:rsidR="00EA36A0" w:rsidRPr="00860780" w:rsidRDefault="00EA36A0" w:rsidP="006C5A71">
            <w:pPr>
              <w:pStyle w:val="TableText"/>
              <w:keepNext/>
              <w:rPr>
                <w:rFonts w:ascii="Public Sans" w:hAnsi="Public Sans" w:cstheme="minorHAnsi"/>
                <w:sz w:val="22"/>
                <w:szCs w:val="22"/>
              </w:rPr>
            </w:pPr>
            <w:r w:rsidRPr="00860780">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5486ACF" w14:textId="2EBAF1F9" w:rsidR="00EA36A0" w:rsidRPr="00860780" w:rsidRDefault="00EA36A0" w:rsidP="006C5A71">
            <w:pPr>
              <w:rPr>
                <w:rFonts w:ascii="Public Sans" w:hAnsi="Public Sans" w:cstheme="minorHAnsi"/>
                <w:szCs w:val="22"/>
              </w:rPr>
            </w:pPr>
            <w:r w:rsidRPr="00860780">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3661A4" w14:textId="5C9FF705" w:rsidR="00EA36A0" w:rsidRPr="00860780" w:rsidRDefault="000A68E3" w:rsidP="006C5A71">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EA36A0" w:rsidRPr="002D59C2" w14:paraId="341EF3A9" w14:textId="1A0A1A4E" w:rsidTr="00322B27">
        <w:tc>
          <w:tcPr>
            <w:tcW w:w="1470" w:type="dxa"/>
            <w:vMerge/>
            <w:tcBorders>
              <w:bottom w:val="single" w:sz="4" w:space="0" w:color="auto"/>
            </w:tcBorders>
          </w:tcPr>
          <w:p w14:paraId="66D46ED9" w14:textId="79911451" w:rsidR="00EA36A0" w:rsidRPr="00860780"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EAD727D" w14:textId="27A9EE4F" w:rsidR="00EA36A0" w:rsidRPr="00860780" w:rsidRDefault="00EA36A0" w:rsidP="006C5A71">
            <w:pPr>
              <w:pStyle w:val="TableText"/>
              <w:rPr>
                <w:rFonts w:ascii="Public Sans" w:hAnsi="Public Sans" w:cstheme="minorHAnsi"/>
                <w:sz w:val="22"/>
                <w:szCs w:val="22"/>
              </w:rPr>
            </w:pPr>
            <w:r w:rsidRPr="0086078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F0E28AF" w14:textId="002CF3A4" w:rsidR="00EA36A0" w:rsidRPr="00860780" w:rsidRDefault="00EA36A0" w:rsidP="006C5A71">
            <w:pPr>
              <w:rPr>
                <w:rFonts w:ascii="Public Sans" w:hAnsi="Public Sans" w:cstheme="minorHAnsi"/>
                <w:szCs w:val="22"/>
              </w:rPr>
            </w:pPr>
            <w:r w:rsidRPr="0086078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D3BA468" w14:textId="65877E6D" w:rsidR="00EA36A0" w:rsidRPr="00860780" w:rsidRDefault="000A68E3" w:rsidP="006C5A71">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EA36A0" w:rsidRPr="002D59C2" w14:paraId="7CB76821" w14:textId="319ADA4A"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27677FB" w14:textId="1C86CF94" w:rsidR="00EA36A0" w:rsidRPr="00860780" w:rsidRDefault="00EA36A0" w:rsidP="006C5A71">
            <w:pPr>
              <w:keepNext/>
              <w:rPr>
                <w:rFonts w:ascii="Public Sans" w:hAnsi="Public Sans"/>
                <w:noProof/>
                <w:szCs w:val="22"/>
                <w:lang w:eastAsia="en-AU"/>
              </w:rPr>
            </w:pPr>
            <w:r w:rsidRPr="00860780">
              <w:rPr>
                <w:rFonts w:ascii="Public Sans" w:hAnsi="Public Sans"/>
                <w:noProof/>
                <w:szCs w:val="22"/>
                <w:lang w:eastAsia="en-AU"/>
              </w:rPr>
              <w:drawing>
                <wp:inline distT="0" distB="0" distL="0" distR="0" wp14:anchorId="45D7350E" wp14:editId="6C1B44A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E5AD01" w14:textId="7AD617D6" w:rsidR="00EA36A0" w:rsidRPr="00860780"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72ACA84" w14:textId="025D59FE" w:rsidR="00EA36A0" w:rsidRPr="00860780"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FA80AE9" w14:textId="52521274" w:rsidR="00EA36A0" w:rsidRPr="00860780" w:rsidRDefault="00EA36A0" w:rsidP="00513560">
            <w:pPr>
              <w:pStyle w:val="TableText"/>
              <w:keepNext/>
              <w:rPr>
                <w:rFonts w:ascii="Public Sans" w:hAnsi="Public Sans" w:cstheme="minorHAnsi"/>
                <w:sz w:val="22"/>
                <w:szCs w:val="22"/>
              </w:rPr>
            </w:pPr>
          </w:p>
        </w:tc>
      </w:tr>
      <w:tr w:rsidR="00EA36A0" w:rsidRPr="002D59C2" w14:paraId="5F7AA5BE" w14:textId="28B4CB9C" w:rsidTr="00322B27">
        <w:tblPrEx>
          <w:tblBorders>
            <w:top w:val="single" w:sz="8" w:space="0" w:color="auto"/>
            <w:bottom w:val="single" w:sz="8" w:space="0" w:color="BCBEC0"/>
          </w:tblBorders>
        </w:tblPrEx>
        <w:tc>
          <w:tcPr>
            <w:tcW w:w="1470" w:type="dxa"/>
            <w:vMerge/>
          </w:tcPr>
          <w:p w14:paraId="2322B1E0" w14:textId="66FA14E2" w:rsidR="00EA36A0" w:rsidRPr="00860780"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50EA9D5" w14:textId="55C6AC4D" w:rsidR="00EA36A0" w:rsidRPr="00860780" w:rsidRDefault="00EA36A0" w:rsidP="006C5A71">
            <w:pPr>
              <w:pStyle w:val="TableText"/>
              <w:keepNext/>
              <w:rPr>
                <w:rFonts w:ascii="Public Sans" w:hAnsi="Public Sans" w:cstheme="minorHAnsi"/>
                <w:sz w:val="22"/>
                <w:szCs w:val="22"/>
              </w:rPr>
            </w:pPr>
            <w:r w:rsidRPr="00860780">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E96007C" w14:textId="6EB55D93" w:rsidR="00EA36A0" w:rsidRPr="00860780" w:rsidRDefault="00EA36A0" w:rsidP="00513560">
            <w:pPr>
              <w:rPr>
                <w:rFonts w:ascii="Public Sans" w:hAnsi="Public Sans" w:cstheme="minorHAnsi"/>
                <w:szCs w:val="22"/>
              </w:rPr>
            </w:pPr>
            <w:r w:rsidRPr="00860780">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B9D600C" w14:textId="432CCCAC" w:rsidR="00EA36A0" w:rsidRPr="00860780" w:rsidRDefault="000A68E3" w:rsidP="00513560">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EA36A0" w:rsidRPr="002D59C2" w14:paraId="3239190D" w14:textId="3F00308C" w:rsidTr="00322B27">
        <w:tblPrEx>
          <w:tblBorders>
            <w:top w:val="single" w:sz="8" w:space="0" w:color="auto"/>
            <w:bottom w:val="single" w:sz="8" w:space="0" w:color="BCBEC0"/>
          </w:tblBorders>
        </w:tblPrEx>
        <w:tc>
          <w:tcPr>
            <w:tcW w:w="1470" w:type="dxa"/>
            <w:vMerge/>
            <w:tcBorders>
              <w:bottom w:val="single" w:sz="4" w:space="0" w:color="auto"/>
            </w:tcBorders>
          </w:tcPr>
          <w:p w14:paraId="0EB8DACC" w14:textId="120EAA97" w:rsidR="00EA36A0" w:rsidRPr="00860780"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4AE8046" w14:textId="0E24FBDD" w:rsidR="00EA36A0" w:rsidRPr="00860780" w:rsidRDefault="00EA36A0" w:rsidP="006C5A71">
            <w:pPr>
              <w:pStyle w:val="TableText"/>
              <w:rPr>
                <w:rFonts w:ascii="Public Sans" w:hAnsi="Public Sans" w:cstheme="minorHAnsi"/>
                <w:sz w:val="22"/>
                <w:szCs w:val="22"/>
              </w:rPr>
            </w:pPr>
            <w:r w:rsidRPr="0086078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57BF82A" w14:textId="767D5B61" w:rsidR="00EA36A0" w:rsidRPr="00860780" w:rsidRDefault="00EA36A0" w:rsidP="00513560">
            <w:pPr>
              <w:rPr>
                <w:rFonts w:ascii="Public Sans" w:hAnsi="Public Sans" w:cstheme="minorHAnsi"/>
                <w:szCs w:val="22"/>
              </w:rPr>
            </w:pPr>
            <w:r w:rsidRPr="0086078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FEC2AF7" w14:textId="0AA6E086" w:rsidR="00EA36A0" w:rsidRPr="00860780" w:rsidRDefault="000A68E3" w:rsidP="00513560">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3BE8AA4F" w14:textId="6B2B2575"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82E0F6" w14:textId="25952ECF" w:rsidR="00322B27" w:rsidRPr="00860780" w:rsidRDefault="00322B27" w:rsidP="006C5A71">
            <w:pPr>
              <w:keepNext/>
              <w:rPr>
                <w:rFonts w:ascii="Public Sans" w:hAnsi="Public Sans"/>
                <w:noProof/>
                <w:szCs w:val="22"/>
                <w:lang w:eastAsia="en-AU"/>
              </w:rPr>
            </w:pPr>
            <w:r w:rsidRPr="00860780">
              <w:rPr>
                <w:rFonts w:ascii="Public Sans" w:hAnsi="Public Sans"/>
                <w:noProof/>
                <w:szCs w:val="22"/>
                <w:lang w:eastAsia="en-AU"/>
              </w:rPr>
              <w:drawing>
                <wp:inline distT="0" distB="0" distL="0" distR="0" wp14:anchorId="6D24DFED" wp14:editId="3AAF88A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FD2404" w14:textId="67318F57" w:rsidR="00322B27" w:rsidRPr="00860780"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05BA7D0" w14:textId="7354FC21" w:rsidR="00322B27" w:rsidRPr="00860780"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741A1CA" w14:textId="1E59840A" w:rsidR="00322B27" w:rsidRPr="00860780" w:rsidRDefault="00322B27" w:rsidP="00513560">
            <w:pPr>
              <w:pStyle w:val="TableText"/>
              <w:keepNext/>
              <w:rPr>
                <w:rFonts w:ascii="Public Sans" w:hAnsi="Public Sans" w:cstheme="minorHAnsi"/>
                <w:sz w:val="22"/>
                <w:szCs w:val="22"/>
              </w:rPr>
            </w:pPr>
          </w:p>
        </w:tc>
      </w:tr>
      <w:tr w:rsidR="00322B27" w:rsidRPr="002D59C2" w14:paraId="04B73F35" w14:textId="50FD56C6" w:rsidTr="00322B27">
        <w:tblPrEx>
          <w:tblBorders>
            <w:top w:val="single" w:sz="8" w:space="0" w:color="auto"/>
            <w:bottom w:val="single" w:sz="8" w:space="0" w:color="BCBEC0"/>
          </w:tblBorders>
        </w:tblPrEx>
        <w:tc>
          <w:tcPr>
            <w:tcW w:w="1470" w:type="dxa"/>
            <w:vMerge/>
          </w:tcPr>
          <w:p w14:paraId="7D52B6FF" w14:textId="6817FAC2" w:rsidR="00322B27" w:rsidRPr="008607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9435270" w14:textId="2B8C63E1" w:rsidR="00322B27" w:rsidRPr="00860780" w:rsidRDefault="00322B27" w:rsidP="006C5A71">
            <w:pPr>
              <w:pStyle w:val="TableText"/>
              <w:keepNext/>
              <w:rPr>
                <w:rFonts w:ascii="Public Sans" w:hAnsi="Public Sans" w:cstheme="minorHAnsi"/>
                <w:sz w:val="22"/>
                <w:szCs w:val="22"/>
              </w:rPr>
            </w:pPr>
            <w:r w:rsidRPr="00860780">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6BE91FD" w14:textId="12D6E1A3" w:rsidR="00322B27" w:rsidRPr="00860780" w:rsidRDefault="00322B27" w:rsidP="00513560">
            <w:pPr>
              <w:rPr>
                <w:rFonts w:ascii="Public Sans" w:hAnsi="Public Sans" w:cstheme="minorHAnsi"/>
                <w:szCs w:val="22"/>
              </w:rPr>
            </w:pPr>
            <w:r w:rsidRPr="00860780">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F3880D" w14:textId="5CD77701" w:rsidR="00322B27" w:rsidRPr="00860780" w:rsidRDefault="00D72AA5" w:rsidP="00513560">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38303AD9" w14:textId="076514FD" w:rsidTr="00322B27">
        <w:tblPrEx>
          <w:tblBorders>
            <w:top w:val="single" w:sz="8" w:space="0" w:color="auto"/>
            <w:bottom w:val="single" w:sz="8" w:space="0" w:color="BCBEC0"/>
          </w:tblBorders>
        </w:tblPrEx>
        <w:tc>
          <w:tcPr>
            <w:tcW w:w="1470" w:type="dxa"/>
            <w:vMerge/>
          </w:tcPr>
          <w:p w14:paraId="050077A0" w14:textId="3AEF4E3C" w:rsidR="00322B27" w:rsidRPr="008607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DF9DE68" w14:textId="539E21B7" w:rsidR="00322B27" w:rsidRPr="00860780" w:rsidRDefault="00322B27" w:rsidP="006C5A71">
            <w:pPr>
              <w:pStyle w:val="TableText"/>
              <w:keepNext/>
              <w:rPr>
                <w:rFonts w:ascii="Public Sans" w:hAnsi="Public Sans" w:cstheme="minorHAnsi"/>
                <w:sz w:val="22"/>
                <w:szCs w:val="22"/>
              </w:rPr>
            </w:pPr>
            <w:r w:rsidRPr="00860780">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75D63F34" w14:textId="6DDF35BA" w:rsidR="00322B27" w:rsidRPr="00860780" w:rsidRDefault="00322B27" w:rsidP="00513560">
            <w:pPr>
              <w:rPr>
                <w:rFonts w:ascii="Public Sans" w:hAnsi="Public Sans" w:cstheme="minorHAnsi"/>
                <w:szCs w:val="22"/>
              </w:rPr>
            </w:pPr>
            <w:r w:rsidRPr="00860780">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439ECF" w14:textId="36EB994E" w:rsidR="00322B27" w:rsidRPr="00860780" w:rsidRDefault="00D72AA5" w:rsidP="00513560">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17E27FD8" w14:textId="61F6F84D"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CDD15D" w14:textId="3F3C4339" w:rsidR="00322B27" w:rsidRPr="00860780" w:rsidRDefault="00322B27" w:rsidP="006C5A71">
            <w:pPr>
              <w:keepNext/>
              <w:rPr>
                <w:rFonts w:ascii="Public Sans" w:hAnsi="Public Sans" w:cstheme="minorHAnsi"/>
                <w:szCs w:val="22"/>
              </w:rPr>
            </w:pPr>
            <w:r w:rsidRPr="00860780">
              <w:rPr>
                <w:rFonts w:ascii="Public Sans" w:hAnsi="Public Sans"/>
                <w:noProof/>
                <w:szCs w:val="22"/>
                <w:lang w:eastAsia="en-AU"/>
              </w:rPr>
              <w:drawing>
                <wp:inline distT="0" distB="0" distL="0" distR="0" wp14:anchorId="7B1A2463" wp14:editId="34F2F33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9E5CF6E" w14:textId="05EBA4FF" w:rsidR="00322B27" w:rsidRPr="00860780"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0535EFE" w14:textId="3C258275" w:rsidR="00322B27" w:rsidRPr="00860780"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96FFA4F" w14:textId="060AA8B6" w:rsidR="00322B27" w:rsidRPr="00860780" w:rsidRDefault="00322B27" w:rsidP="00BD1817">
            <w:pPr>
              <w:pStyle w:val="TableText"/>
              <w:keepNext/>
              <w:rPr>
                <w:rFonts w:ascii="Public Sans" w:hAnsi="Public Sans" w:cstheme="minorHAnsi"/>
                <w:sz w:val="22"/>
                <w:szCs w:val="22"/>
              </w:rPr>
            </w:pPr>
          </w:p>
        </w:tc>
      </w:tr>
      <w:tr w:rsidR="00322B27" w:rsidRPr="002D59C2" w14:paraId="4F2B4F37" w14:textId="459F8E5E" w:rsidTr="00322B27">
        <w:tblPrEx>
          <w:tblBorders>
            <w:top w:val="single" w:sz="8" w:space="0" w:color="auto"/>
            <w:bottom w:val="single" w:sz="8" w:space="0" w:color="BCBEC0"/>
          </w:tblBorders>
        </w:tblPrEx>
        <w:tc>
          <w:tcPr>
            <w:tcW w:w="1470" w:type="dxa"/>
            <w:vMerge/>
          </w:tcPr>
          <w:p w14:paraId="05C8E22A" w14:textId="10902A6E" w:rsidR="00322B27" w:rsidRPr="008607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6992780" w14:textId="0FFBA654" w:rsidR="00322B27" w:rsidRPr="00860780" w:rsidRDefault="00322B27" w:rsidP="006C5A71">
            <w:pPr>
              <w:pStyle w:val="TableText"/>
              <w:keepNext/>
              <w:rPr>
                <w:rFonts w:ascii="Public Sans" w:hAnsi="Public Sans" w:cstheme="minorHAnsi"/>
                <w:sz w:val="22"/>
                <w:szCs w:val="22"/>
              </w:rPr>
            </w:pPr>
            <w:r w:rsidRPr="00860780">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C8CFC7E" w14:textId="65197468" w:rsidR="00322B27" w:rsidRPr="00860780" w:rsidRDefault="00322B27" w:rsidP="00513560">
            <w:pPr>
              <w:rPr>
                <w:rFonts w:ascii="Public Sans" w:hAnsi="Public Sans" w:cstheme="minorHAnsi"/>
                <w:szCs w:val="22"/>
              </w:rPr>
            </w:pPr>
            <w:r w:rsidRPr="00860780">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7BF40F3" w14:textId="63441326" w:rsidR="00322B27" w:rsidRPr="00860780" w:rsidRDefault="00D72AA5" w:rsidP="00BD1817">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5E0AC8D4" w14:textId="0EC321E5" w:rsidTr="00322B27">
        <w:tblPrEx>
          <w:tblBorders>
            <w:top w:val="single" w:sz="8" w:space="0" w:color="auto"/>
            <w:bottom w:val="single" w:sz="8" w:space="0" w:color="BCBEC0"/>
          </w:tblBorders>
        </w:tblPrEx>
        <w:tc>
          <w:tcPr>
            <w:tcW w:w="1470" w:type="dxa"/>
            <w:vMerge/>
          </w:tcPr>
          <w:p w14:paraId="4B8ADFE0" w14:textId="42264BD9" w:rsidR="00322B27" w:rsidRPr="008607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9BB679F" w14:textId="5F1CF724" w:rsidR="00322B27" w:rsidRPr="00860780" w:rsidRDefault="00322B27" w:rsidP="006C5A71">
            <w:pPr>
              <w:pStyle w:val="TableText"/>
              <w:keepNext/>
              <w:rPr>
                <w:rFonts w:ascii="Public Sans" w:hAnsi="Public Sans" w:cstheme="minorHAnsi"/>
                <w:sz w:val="22"/>
                <w:szCs w:val="22"/>
              </w:rPr>
            </w:pPr>
            <w:r w:rsidRPr="0086078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5831109" w14:textId="4CAE378A" w:rsidR="00322B27" w:rsidRPr="00860780" w:rsidRDefault="00322B27" w:rsidP="00513560">
            <w:pPr>
              <w:rPr>
                <w:rFonts w:ascii="Public Sans" w:hAnsi="Public Sans" w:cstheme="minorHAnsi"/>
                <w:szCs w:val="22"/>
              </w:rPr>
            </w:pPr>
            <w:r w:rsidRPr="0086078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0314AAD" w14:textId="4F47C0FA" w:rsidR="00322B27" w:rsidRPr="00860780" w:rsidRDefault="00D72AA5" w:rsidP="00BD1817">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6C197ECE" w14:textId="49633823" w:rsidTr="00322B27">
        <w:tblPrEx>
          <w:tblBorders>
            <w:top w:val="single" w:sz="8" w:space="0" w:color="auto"/>
            <w:bottom w:val="single" w:sz="8" w:space="0" w:color="BCBEC0"/>
          </w:tblBorders>
        </w:tblPrEx>
        <w:tc>
          <w:tcPr>
            <w:tcW w:w="1470" w:type="dxa"/>
            <w:vMerge/>
            <w:tcBorders>
              <w:bottom w:val="single" w:sz="4" w:space="0" w:color="auto"/>
            </w:tcBorders>
          </w:tcPr>
          <w:p w14:paraId="5EC76221" w14:textId="22DBA59D" w:rsidR="00322B27" w:rsidRPr="00860780"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220C6228" w14:textId="7E3303D5" w:rsidR="00322B27" w:rsidRPr="00860780" w:rsidRDefault="00322B27" w:rsidP="006C5A71">
            <w:pPr>
              <w:pStyle w:val="TableText"/>
              <w:rPr>
                <w:rFonts w:ascii="Public Sans" w:hAnsi="Public Sans" w:cstheme="minorHAnsi"/>
                <w:sz w:val="22"/>
                <w:szCs w:val="22"/>
              </w:rPr>
            </w:pPr>
            <w:r w:rsidRPr="00860780">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01E6E06" w14:textId="1E4AE5F4" w:rsidR="00322B27" w:rsidRPr="00860780" w:rsidRDefault="00322B27" w:rsidP="00513560">
            <w:pPr>
              <w:rPr>
                <w:rFonts w:ascii="Public Sans" w:hAnsi="Public Sans" w:cstheme="minorHAnsi"/>
                <w:szCs w:val="22"/>
              </w:rPr>
            </w:pPr>
            <w:r w:rsidRPr="00860780">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3A6FBFAF" w14:textId="3F916F2F" w:rsidR="00322B27" w:rsidRPr="00860780" w:rsidRDefault="00D72AA5" w:rsidP="00BD1817">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3D465311" w14:textId="52F744DF"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92283B2" w14:textId="4A5859BE" w:rsidR="00322B27" w:rsidRPr="00860780" w:rsidRDefault="00322B27" w:rsidP="006C5A71">
            <w:pPr>
              <w:keepNext/>
              <w:rPr>
                <w:rFonts w:ascii="Public Sans" w:hAnsi="Public Sans"/>
                <w:noProof/>
                <w:szCs w:val="22"/>
                <w:lang w:eastAsia="en-AU"/>
              </w:rPr>
            </w:pPr>
            <w:r w:rsidRPr="00860780">
              <w:rPr>
                <w:rFonts w:ascii="Public Sans" w:hAnsi="Public Sans"/>
                <w:noProof/>
                <w:szCs w:val="22"/>
                <w:lang w:eastAsia="en-AU"/>
              </w:rPr>
              <w:drawing>
                <wp:inline distT="0" distB="0" distL="0" distR="0" wp14:anchorId="676A15A4" wp14:editId="6BCD346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231C02" w14:textId="3A77B174" w:rsidR="00322B27" w:rsidRPr="00860780"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9F6321F" w14:textId="1CDF8A68" w:rsidR="00322B27" w:rsidRPr="00860780"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4EDAE58" w14:textId="46CD7466" w:rsidR="00322B27" w:rsidRPr="00860780" w:rsidRDefault="00322B27" w:rsidP="00513560">
            <w:pPr>
              <w:pStyle w:val="TableText"/>
              <w:keepNext/>
              <w:rPr>
                <w:rFonts w:ascii="Public Sans" w:hAnsi="Public Sans" w:cstheme="minorHAnsi"/>
                <w:sz w:val="22"/>
                <w:szCs w:val="22"/>
              </w:rPr>
            </w:pPr>
          </w:p>
        </w:tc>
      </w:tr>
      <w:tr w:rsidR="00322B27" w:rsidRPr="002D59C2" w14:paraId="63794E64" w14:textId="23807248" w:rsidTr="00322B27">
        <w:tblPrEx>
          <w:tblBorders>
            <w:top w:val="single" w:sz="8" w:space="0" w:color="auto"/>
            <w:bottom w:val="single" w:sz="8" w:space="0" w:color="BCBEC0"/>
          </w:tblBorders>
        </w:tblPrEx>
        <w:trPr>
          <w:cantSplit/>
        </w:trPr>
        <w:tc>
          <w:tcPr>
            <w:tcW w:w="1470" w:type="dxa"/>
            <w:vMerge/>
          </w:tcPr>
          <w:p w14:paraId="65E75B27" w14:textId="761710BF" w:rsidR="00322B27" w:rsidRPr="008607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7A0E39F" w14:textId="52C28877" w:rsidR="00322B27" w:rsidRPr="00860780" w:rsidRDefault="00322B27" w:rsidP="006C5A71">
            <w:pPr>
              <w:pStyle w:val="TableText"/>
              <w:keepNext/>
              <w:rPr>
                <w:rFonts w:ascii="Public Sans" w:hAnsi="Public Sans" w:cstheme="minorHAnsi"/>
                <w:sz w:val="22"/>
                <w:szCs w:val="22"/>
              </w:rPr>
            </w:pPr>
            <w:r w:rsidRPr="00860780">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2493FA6" w14:textId="15C3CEA9" w:rsidR="00322B27" w:rsidRPr="00860780" w:rsidRDefault="00322B27" w:rsidP="00513560">
            <w:pPr>
              <w:rPr>
                <w:rFonts w:ascii="Public Sans" w:hAnsi="Public Sans" w:cstheme="minorHAnsi"/>
                <w:szCs w:val="22"/>
              </w:rPr>
            </w:pPr>
            <w:r w:rsidRPr="00860780">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F1BAAED" w14:textId="4A07ACE4" w:rsidR="00322B27" w:rsidRPr="00860780" w:rsidRDefault="00D72AA5" w:rsidP="00513560">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r w:rsidR="00322B27" w:rsidRPr="002D59C2" w14:paraId="6B60876C" w14:textId="3E45E28D" w:rsidTr="00322B27">
        <w:tblPrEx>
          <w:tblBorders>
            <w:top w:val="single" w:sz="8" w:space="0" w:color="auto"/>
            <w:bottom w:val="single" w:sz="8" w:space="0" w:color="BCBEC0"/>
          </w:tblBorders>
        </w:tblPrEx>
        <w:trPr>
          <w:cantSplit/>
        </w:trPr>
        <w:tc>
          <w:tcPr>
            <w:tcW w:w="1470" w:type="dxa"/>
            <w:vMerge/>
          </w:tcPr>
          <w:p w14:paraId="3FC13BC1" w14:textId="03EA3003" w:rsidR="00322B27" w:rsidRPr="00860780"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31E2464" w14:textId="2C587947" w:rsidR="00322B27" w:rsidRPr="00860780" w:rsidRDefault="00322B27" w:rsidP="006C5A71">
            <w:pPr>
              <w:pStyle w:val="TableText"/>
              <w:keepNext/>
              <w:rPr>
                <w:rFonts w:ascii="Public Sans" w:hAnsi="Public Sans" w:cstheme="minorHAnsi"/>
                <w:sz w:val="22"/>
                <w:szCs w:val="22"/>
              </w:rPr>
            </w:pPr>
            <w:r w:rsidRPr="00860780">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66702E4" w14:textId="57EDCF32" w:rsidR="00322B27" w:rsidRPr="00860780" w:rsidRDefault="00322B27" w:rsidP="00513560">
            <w:pPr>
              <w:rPr>
                <w:rFonts w:ascii="Public Sans" w:hAnsi="Public Sans" w:cstheme="minorHAnsi"/>
                <w:szCs w:val="22"/>
              </w:rPr>
            </w:pPr>
            <w:r w:rsidRPr="00860780">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18E6DAB1" w14:textId="55A53743" w:rsidR="00322B27" w:rsidRPr="00860780" w:rsidRDefault="00D72AA5" w:rsidP="00513560">
                <w:pPr>
                  <w:pStyle w:val="TableText"/>
                  <w:keepNext/>
                  <w:rPr>
                    <w:rFonts w:ascii="Public Sans" w:hAnsi="Public Sans" w:cstheme="minorHAnsi"/>
                    <w:sz w:val="22"/>
                    <w:szCs w:val="22"/>
                  </w:rPr>
                </w:pPr>
                <w:r w:rsidRPr="00860780">
                  <w:rPr>
                    <w:rFonts w:ascii="Public Sans" w:hAnsi="Public Sans" w:cstheme="minorHAnsi"/>
                    <w:sz w:val="22"/>
                    <w:szCs w:val="22"/>
                  </w:rPr>
                  <w:t>Advanced</w:t>
                </w:r>
              </w:p>
            </w:tc>
          </w:sdtContent>
        </w:sdt>
      </w:tr>
    </w:tbl>
    <w:p w14:paraId="05085F40" w14:textId="77777777" w:rsidR="00197F8F" w:rsidRPr="002D59C2" w:rsidRDefault="00197F8F" w:rsidP="00CB121B">
      <w:pPr>
        <w:rPr>
          <w:rFonts w:ascii="Public Sans" w:hAnsi="Public Sans" w:cstheme="minorHAnsi"/>
        </w:rPr>
      </w:pPr>
    </w:p>
    <w:sectPr w:rsidR="00197F8F" w:rsidRPr="002D59C2"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0662" w14:textId="77777777" w:rsidR="00E64340" w:rsidRDefault="00E64340" w:rsidP="00AC273D">
      <w:pPr>
        <w:spacing w:after="0" w:line="240" w:lineRule="auto"/>
      </w:pPr>
      <w:r>
        <w:separator/>
      </w:r>
    </w:p>
  </w:endnote>
  <w:endnote w:type="continuationSeparator" w:id="0">
    <w:p w14:paraId="47CBC9A2" w14:textId="77777777" w:rsidR="00E64340" w:rsidRDefault="00E6434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25F81E3" w14:textId="77777777" w:rsidTr="00CD6BA6">
      <w:tc>
        <w:tcPr>
          <w:tcW w:w="9709" w:type="dxa"/>
          <w:vAlign w:val="bottom"/>
        </w:tcPr>
        <w:p w14:paraId="230488E1" w14:textId="44F22343"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72AA5">
            <w:rPr>
              <w:noProof/>
              <w:lang w:eastAsia="en-AU"/>
            </w:rPr>
            <w:t>9</w:t>
          </w:r>
          <w:r>
            <w:rPr>
              <w:noProof/>
              <w:lang w:eastAsia="en-AU"/>
            </w:rPr>
            <w:fldChar w:fldCharType="end"/>
          </w:r>
        </w:p>
      </w:tc>
      <w:tc>
        <w:tcPr>
          <w:tcW w:w="851" w:type="dxa"/>
        </w:tcPr>
        <w:p w14:paraId="0003F1CA" w14:textId="77777777" w:rsidR="008C131B" w:rsidRDefault="008C131B" w:rsidP="00CD6BA6">
          <w:pPr>
            <w:pStyle w:val="Footer"/>
            <w:jc w:val="right"/>
          </w:pPr>
        </w:p>
      </w:tc>
    </w:tr>
  </w:tbl>
  <w:p w14:paraId="1506C174"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D8AA1D" w14:textId="77777777" w:rsidTr="00732229">
      <w:tc>
        <w:tcPr>
          <w:tcW w:w="9709" w:type="dxa"/>
          <w:vAlign w:val="bottom"/>
        </w:tcPr>
        <w:p w14:paraId="267C08C9" w14:textId="298CEE1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A68E3">
            <w:rPr>
              <w:noProof/>
              <w:lang w:eastAsia="en-AU"/>
            </w:rPr>
            <w:t>1</w:t>
          </w:r>
          <w:r>
            <w:rPr>
              <w:noProof/>
              <w:lang w:eastAsia="en-AU"/>
            </w:rPr>
            <w:fldChar w:fldCharType="end"/>
          </w:r>
        </w:p>
      </w:tc>
      <w:tc>
        <w:tcPr>
          <w:tcW w:w="851" w:type="dxa"/>
        </w:tcPr>
        <w:p w14:paraId="7F69E08E" w14:textId="77777777" w:rsidR="008C131B" w:rsidRDefault="008C131B" w:rsidP="00732229">
          <w:pPr>
            <w:pStyle w:val="Footer"/>
            <w:jc w:val="right"/>
          </w:pPr>
        </w:p>
      </w:tc>
    </w:tr>
  </w:tbl>
  <w:p w14:paraId="6202DE3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6D8A" w14:textId="77777777" w:rsidR="00E64340" w:rsidRDefault="00E64340" w:rsidP="00AC273D">
      <w:pPr>
        <w:spacing w:after="0" w:line="240" w:lineRule="auto"/>
      </w:pPr>
      <w:r>
        <w:separator/>
      </w:r>
    </w:p>
  </w:footnote>
  <w:footnote w:type="continuationSeparator" w:id="0">
    <w:p w14:paraId="580EC212" w14:textId="77777777" w:rsidR="00E64340" w:rsidRDefault="00E6434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764A" w14:textId="4D2A23C2" w:rsidR="008C131B" w:rsidRDefault="002D59C2"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64442D0" wp14:editId="24612D7A">
          <wp:simplePos x="0" y="0"/>
          <wp:positionH relativeFrom="page">
            <wp:posOffset>6203315</wp:posOffset>
          </wp:positionH>
          <wp:positionV relativeFrom="page">
            <wp:posOffset>353241</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131ED58B" w14:textId="65988C82"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448ED5D"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0F2F51D"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3B2152E"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8741151" w14:textId="2586803B" w:rsidR="008C131B" w:rsidRPr="005116AD" w:rsidRDefault="005116AD" w:rsidP="000C65EE">
          <w:pPr>
            <w:pStyle w:val="Title"/>
            <w:spacing w:line="240" w:lineRule="auto"/>
            <w:rPr>
              <w:rFonts w:asciiTheme="majorHAnsi" w:hAnsiTheme="majorHAnsi" w:cstheme="majorHAnsi"/>
              <w:sz w:val="36"/>
              <w:szCs w:val="36"/>
            </w:rPr>
          </w:pPr>
          <w:r w:rsidRPr="005116AD">
            <w:rPr>
              <w:rFonts w:asciiTheme="majorHAnsi" w:hAnsiTheme="majorHAnsi" w:cstheme="majorHAnsi"/>
              <w:sz w:val="36"/>
              <w:szCs w:val="36"/>
            </w:rPr>
            <w:t>Legal Services Commissioner</w:t>
          </w:r>
        </w:p>
        <w:permStart w:id="703749704" w:edGrp="everyone"/>
        <w:p w14:paraId="67C8FAC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703749704"/>
        </w:p>
      </w:tc>
    </w:tr>
  </w:tbl>
  <w:p w14:paraId="1CC6CDDF"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CB2E4B"/>
    <w:multiLevelType w:val="hybridMultilevel"/>
    <w:tmpl w:val="61C89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B1A094F"/>
    <w:multiLevelType w:val="hybridMultilevel"/>
    <w:tmpl w:val="842AC038"/>
    <w:lvl w:ilvl="0" w:tplc="4482BCF4">
      <w:start w:val="1"/>
      <w:numFmt w:val="bullet"/>
      <w:lvlText w:val=""/>
      <w:lvlJc w:val="left"/>
      <w:pPr>
        <w:tabs>
          <w:tab w:val="num" w:pos="360"/>
        </w:tabs>
        <w:ind w:left="357" w:hanging="357"/>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D527B9"/>
    <w:multiLevelType w:val="hybridMultilevel"/>
    <w:tmpl w:val="17325FB4"/>
    <w:lvl w:ilvl="0" w:tplc="F650F9D4">
      <w:start w:val="1"/>
      <w:numFmt w:val="bullet"/>
      <w:lvlText w:val="•"/>
      <w:lvlJc w:val="left"/>
      <w:pPr>
        <w:tabs>
          <w:tab w:val="num" w:pos="720"/>
        </w:tabs>
        <w:ind w:left="720" w:hanging="360"/>
      </w:pPr>
      <w:rPr>
        <w:rFonts w:ascii="Times New Roman" w:hAnsi="Times New Roman" w:hint="default"/>
      </w:rPr>
    </w:lvl>
    <w:lvl w:ilvl="1" w:tplc="C7CC7B3E" w:tentative="1">
      <w:start w:val="1"/>
      <w:numFmt w:val="bullet"/>
      <w:lvlText w:val="•"/>
      <w:lvlJc w:val="left"/>
      <w:pPr>
        <w:tabs>
          <w:tab w:val="num" w:pos="1440"/>
        </w:tabs>
        <w:ind w:left="1440" w:hanging="360"/>
      </w:pPr>
      <w:rPr>
        <w:rFonts w:ascii="Times New Roman" w:hAnsi="Times New Roman" w:hint="default"/>
      </w:rPr>
    </w:lvl>
    <w:lvl w:ilvl="2" w:tplc="9D206E24" w:tentative="1">
      <w:start w:val="1"/>
      <w:numFmt w:val="bullet"/>
      <w:lvlText w:val="•"/>
      <w:lvlJc w:val="left"/>
      <w:pPr>
        <w:tabs>
          <w:tab w:val="num" w:pos="2160"/>
        </w:tabs>
        <w:ind w:left="2160" w:hanging="360"/>
      </w:pPr>
      <w:rPr>
        <w:rFonts w:ascii="Times New Roman" w:hAnsi="Times New Roman" w:hint="default"/>
      </w:rPr>
    </w:lvl>
    <w:lvl w:ilvl="3" w:tplc="DA24149C" w:tentative="1">
      <w:start w:val="1"/>
      <w:numFmt w:val="bullet"/>
      <w:lvlText w:val="•"/>
      <w:lvlJc w:val="left"/>
      <w:pPr>
        <w:tabs>
          <w:tab w:val="num" w:pos="2880"/>
        </w:tabs>
        <w:ind w:left="2880" w:hanging="360"/>
      </w:pPr>
      <w:rPr>
        <w:rFonts w:ascii="Times New Roman" w:hAnsi="Times New Roman" w:hint="default"/>
      </w:rPr>
    </w:lvl>
    <w:lvl w:ilvl="4" w:tplc="18F839DC" w:tentative="1">
      <w:start w:val="1"/>
      <w:numFmt w:val="bullet"/>
      <w:lvlText w:val="•"/>
      <w:lvlJc w:val="left"/>
      <w:pPr>
        <w:tabs>
          <w:tab w:val="num" w:pos="3600"/>
        </w:tabs>
        <w:ind w:left="3600" w:hanging="360"/>
      </w:pPr>
      <w:rPr>
        <w:rFonts w:ascii="Times New Roman" w:hAnsi="Times New Roman" w:hint="default"/>
      </w:rPr>
    </w:lvl>
    <w:lvl w:ilvl="5" w:tplc="1940F202" w:tentative="1">
      <w:start w:val="1"/>
      <w:numFmt w:val="bullet"/>
      <w:lvlText w:val="•"/>
      <w:lvlJc w:val="left"/>
      <w:pPr>
        <w:tabs>
          <w:tab w:val="num" w:pos="4320"/>
        </w:tabs>
        <w:ind w:left="4320" w:hanging="360"/>
      </w:pPr>
      <w:rPr>
        <w:rFonts w:ascii="Times New Roman" w:hAnsi="Times New Roman" w:hint="default"/>
      </w:rPr>
    </w:lvl>
    <w:lvl w:ilvl="6" w:tplc="D6784D0A" w:tentative="1">
      <w:start w:val="1"/>
      <w:numFmt w:val="bullet"/>
      <w:lvlText w:val="•"/>
      <w:lvlJc w:val="left"/>
      <w:pPr>
        <w:tabs>
          <w:tab w:val="num" w:pos="5040"/>
        </w:tabs>
        <w:ind w:left="5040" w:hanging="360"/>
      </w:pPr>
      <w:rPr>
        <w:rFonts w:ascii="Times New Roman" w:hAnsi="Times New Roman" w:hint="default"/>
      </w:rPr>
    </w:lvl>
    <w:lvl w:ilvl="7" w:tplc="DD1E4154" w:tentative="1">
      <w:start w:val="1"/>
      <w:numFmt w:val="bullet"/>
      <w:lvlText w:val="•"/>
      <w:lvlJc w:val="left"/>
      <w:pPr>
        <w:tabs>
          <w:tab w:val="num" w:pos="5760"/>
        </w:tabs>
        <w:ind w:left="5760" w:hanging="360"/>
      </w:pPr>
      <w:rPr>
        <w:rFonts w:ascii="Times New Roman" w:hAnsi="Times New Roman" w:hint="default"/>
      </w:rPr>
    </w:lvl>
    <w:lvl w:ilvl="8" w:tplc="ABE6228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4"/>
  </w:num>
  <w:num w:numId="13">
    <w:abstractNumId w:val="24"/>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5"/>
  </w:num>
  <w:num w:numId="21">
    <w:abstractNumId w:val="22"/>
  </w:num>
  <w:num w:numId="22">
    <w:abstractNumId w:val="19"/>
  </w:num>
  <w:num w:numId="23">
    <w:abstractNumId w:val="20"/>
  </w:num>
  <w:num w:numId="24">
    <w:abstractNumId w:val="15"/>
  </w:num>
  <w:num w:numId="25">
    <w:abstractNumId w:val="26"/>
  </w:num>
  <w:num w:numId="26">
    <w:abstractNumId w:val="9"/>
  </w:num>
  <w:num w:numId="27">
    <w:abstractNumId w:val="23"/>
  </w:num>
  <w:num w:numId="28">
    <w:abstractNumId w:val="16"/>
  </w:num>
  <w:num w:numId="29">
    <w:abstractNumId w:val="13"/>
  </w:num>
  <w:num w:numId="30">
    <w:abstractNumId w:val="11"/>
  </w:num>
  <w:num w:numId="31">
    <w:abstractNumId w:val="9"/>
  </w:num>
  <w:num w:numId="32">
    <w:abstractNumId w:val="17"/>
  </w:num>
  <w:num w:numId="33">
    <w:abstractNumId w:val="14"/>
  </w:num>
  <w:num w:numId="34">
    <w:abstractNumId w:val="18"/>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69wTzvpCIHSMFpHQsMj/4WzJO3y9UPR+YzLYTpH1M+FkrAx/UuWc/WxJgLUSZBQZT/jXY54tnUUPCXouBUHXew==" w:salt="A6Tw1X0exSBali/itlgkKg=="/>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08E0"/>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6D05"/>
    <w:rsid w:val="00077B45"/>
    <w:rsid w:val="00077DFF"/>
    <w:rsid w:val="000814A7"/>
    <w:rsid w:val="0008547B"/>
    <w:rsid w:val="000867ED"/>
    <w:rsid w:val="00086B43"/>
    <w:rsid w:val="0009116E"/>
    <w:rsid w:val="000915AA"/>
    <w:rsid w:val="00092A99"/>
    <w:rsid w:val="00094538"/>
    <w:rsid w:val="000967EB"/>
    <w:rsid w:val="000975C1"/>
    <w:rsid w:val="00097C7F"/>
    <w:rsid w:val="00097CC6"/>
    <w:rsid w:val="000A078C"/>
    <w:rsid w:val="000A16AF"/>
    <w:rsid w:val="000A417B"/>
    <w:rsid w:val="000A4A4F"/>
    <w:rsid w:val="000A4E9E"/>
    <w:rsid w:val="000A561C"/>
    <w:rsid w:val="000A68E3"/>
    <w:rsid w:val="000A75A4"/>
    <w:rsid w:val="000B127E"/>
    <w:rsid w:val="000B1FDB"/>
    <w:rsid w:val="000B370C"/>
    <w:rsid w:val="000B6008"/>
    <w:rsid w:val="000C2AB2"/>
    <w:rsid w:val="000C2CC4"/>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4C41"/>
    <w:rsid w:val="00106A75"/>
    <w:rsid w:val="0011338E"/>
    <w:rsid w:val="001142DA"/>
    <w:rsid w:val="001147A2"/>
    <w:rsid w:val="0011627F"/>
    <w:rsid w:val="00116B0F"/>
    <w:rsid w:val="00116F0D"/>
    <w:rsid w:val="00120A45"/>
    <w:rsid w:val="0012232D"/>
    <w:rsid w:val="00122685"/>
    <w:rsid w:val="00123E52"/>
    <w:rsid w:val="00126219"/>
    <w:rsid w:val="0012683A"/>
    <w:rsid w:val="00130BC5"/>
    <w:rsid w:val="00142BAB"/>
    <w:rsid w:val="0014452C"/>
    <w:rsid w:val="0015040C"/>
    <w:rsid w:val="0015260B"/>
    <w:rsid w:val="001612BF"/>
    <w:rsid w:val="00162154"/>
    <w:rsid w:val="00162275"/>
    <w:rsid w:val="001640D3"/>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49EF"/>
    <w:rsid w:val="001E7CA4"/>
    <w:rsid w:val="001F0E79"/>
    <w:rsid w:val="001F3B8E"/>
    <w:rsid w:val="001F57B6"/>
    <w:rsid w:val="001F5938"/>
    <w:rsid w:val="001F618B"/>
    <w:rsid w:val="00202CD4"/>
    <w:rsid w:val="00203E4E"/>
    <w:rsid w:val="002060CD"/>
    <w:rsid w:val="00206F8D"/>
    <w:rsid w:val="00213ED7"/>
    <w:rsid w:val="0021606E"/>
    <w:rsid w:val="00222CC4"/>
    <w:rsid w:val="002256A0"/>
    <w:rsid w:val="002347AA"/>
    <w:rsid w:val="00237136"/>
    <w:rsid w:val="00237CFF"/>
    <w:rsid w:val="00243914"/>
    <w:rsid w:val="00252BF9"/>
    <w:rsid w:val="00262D97"/>
    <w:rsid w:val="00265BEF"/>
    <w:rsid w:val="00271FAE"/>
    <w:rsid w:val="002735A9"/>
    <w:rsid w:val="0028049D"/>
    <w:rsid w:val="00280676"/>
    <w:rsid w:val="00284FE6"/>
    <w:rsid w:val="00285EA6"/>
    <w:rsid w:val="002863B5"/>
    <w:rsid w:val="00286B47"/>
    <w:rsid w:val="002872F7"/>
    <w:rsid w:val="002901B8"/>
    <w:rsid w:val="00294E56"/>
    <w:rsid w:val="002976DF"/>
    <w:rsid w:val="00297CDF"/>
    <w:rsid w:val="002A18A8"/>
    <w:rsid w:val="002A4149"/>
    <w:rsid w:val="002A41AA"/>
    <w:rsid w:val="002A60C2"/>
    <w:rsid w:val="002B079F"/>
    <w:rsid w:val="002B198D"/>
    <w:rsid w:val="002B27D4"/>
    <w:rsid w:val="002B2C5E"/>
    <w:rsid w:val="002B7A60"/>
    <w:rsid w:val="002C2936"/>
    <w:rsid w:val="002C39EE"/>
    <w:rsid w:val="002C458A"/>
    <w:rsid w:val="002D0251"/>
    <w:rsid w:val="002D4902"/>
    <w:rsid w:val="002D4927"/>
    <w:rsid w:val="002D4DE0"/>
    <w:rsid w:val="002D59C2"/>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7CD"/>
    <w:rsid w:val="00324F2D"/>
    <w:rsid w:val="00326B2D"/>
    <w:rsid w:val="00327C35"/>
    <w:rsid w:val="00330331"/>
    <w:rsid w:val="00334ED9"/>
    <w:rsid w:val="0033590A"/>
    <w:rsid w:val="0034373A"/>
    <w:rsid w:val="003452C0"/>
    <w:rsid w:val="00347F09"/>
    <w:rsid w:val="00351878"/>
    <w:rsid w:val="00353CB7"/>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1123"/>
    <w:rsid w:val="00385104"/>
    <w:rsid w:val="00385EAF"/>
    <w:rsid w:val="003904D7"/>
    <w:rsid w:val="00393389"/>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16CCA"/>
    <w:rsid w:val="00420C6F"/>
    <w:rsid w:val="004219E2"/>
    <w:rsid w:val="0042535F"/>
    <w:rsid w:val="0042689D"/>
    <w:rsid w:val="0042783B"/>
    <w:rsid w:val="004344E3"/>
    <w:rsid w:val="00440C1F"/>
    <w:rsid w:val="004418E9"/>
    <w:rsid w:val="00442916"/>
    <w:rsid w:val="004442C4"/>
    <w:rsid w:val="00444CE9"/>
    <w:rsid w:val="00444E4D"/>
    <w:rsid w:val="00444EC5"/>
    <w:rsid w:val="00445AA4"/>
    <w:rsid w:val="00446CCE"/>
    <w:rsid w:val="00451821"/>
    <w:rsid w:val="004522D0"/>
    <w:rsid w:val="004536A3"/>
    <w:rsid w:val="00453AA6"/>
    <w:rsid w:val="00454B08"/>
    <w:rsid w:val="004562EC"/>
    <w:rsid w:val="0045640E"/>
    <w:rsid w:val="00456937"/>
    <w:rsid w:val="00460C8B"/>
    <w:rsid w:val="004629AB"/>
    <w:rsid w:val="00463736"/>
    <w:rsid w:val="00465572"/>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161"/>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2E7F"/>
    <w:rsid w:val="004D3800"/>
    <w:rsid w:val="004D751F"/>
    <w:rsid w:val="004E0CEE"/>
    <w:rsid w:val="004E3295"/>
    <w:rsid w:val="004E4265"/>
    <w:rsid w:val="004E4642"/>
    <w:rsid w:val="004E5FCD"/>
    <w:rsid w:val="004E7C6C"/>
    <w:rsid w:val="004F1DB4"/>
    <w:rsid w:val="004F1FB5"/>
    <w:rsid w:val="004F4AB0"/>
    <w:rsid w:val="004F6193"/>
    <w:rsid w:val="004F7410"/>
    <w:rsid w:val="004F7CF7"/>
    <w:rsid w:val="005030FB"/>
    <w:rsid w:val="005037F1"/>
    <w:rsid w:val="00505E60"/>
    <w:rsid w:val="00506C0E"/>
    <w:rsid w:val="00506CB5"/>
    <w:rsid w:val="00506DED"/>
    <w:rsid w:val="00507F16"/>
    <w:rsid w:val="005116AD"/>
    <w:rsid w:val="005122CD"/>
    <w:rsid w:val="005132CB"/>
    <w:rsid w:val="00513560"/>
    <w:rsid w:val="00516C0A"/>
    <w:rsid w:val="00520935"/>
    <w:rsid w:val="00521585"/>
    <w:rsid w:val="00524886"/>
    <w:rsid w:val="00526D8B"/>
    <w:rsid w:val="00530754"/>
    <w:rsid w:val="00531385"/>
    <w:rsid w:val="0053264A"/>
    <w:rsid w:val="005331DB"/>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7A3E"/>
    <w:rsid w:val="005B06A8"/>
    <w:rsid w:val="005B4A86"/>
    <w:rsid w:val="005B4FC3"/>
    <w:rsid w:val="005B5229"/>
    <w:rsid w:val="005B740B"/>
    <w:rsid w:val="005C08E4"/>
    <w:rsid w:val="005C0EBF"/>
    <w:rsid w:val="005C191D"/>
    <w:rsid w:val="005C538C"/>
    <w:rsid w:val="005D2B6B"/>
    <w:rsid w:val="005D3386"/>
    <w:rsid w:val="005D5DC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0108"/>
    <w:rsid w:val="00601353"/>
    <w:rsid w:val="00602728"/>
    <w:rsid w:val="00604DCB"/>
    <w:rsid w:val="00611740"/>
    <w:rsid w:val="00611A2E"/>
    <w:rsid w:val="00620CA4"/>
    <w:rsid w:val="00624400"/>
    <w:rsid w:val="00631266"/>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BB1"/>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6CE9"/>
    <w:rsid w:val="0079771E"/>
    <w:rsid w:val="007A3E74"/>
    <w:rsid w:val="007B05B2"/>
    <w:rsid w:val="007B3114"/>
    <w:rsid w:val="007C1E46"/>
    <w:rsid w:val="007C3B48"/>
    <w:rsid w:val="007C47A9"/>
    <w:rsid w:val="007C5680"/>
    <w:rsid w:val="007C76D0"/>
    <w:rsid w:val="007C7AE1"/>
    <w:rsid w:val="007D0E9F"/>
    <w:rsid w:val="007D6D30"/>
    <w:rsid w:val="007E3E39"/>
    <w:rsid w:val="007F1AE2"/>
    <w:rsid w:val="007F366D"/>
    <w:rsid w:val="007F3905"/>
    <w:rsid w:val="007F5884"/>
    <w:rsid w:val="007F58CC"/>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0780"/>
    <w:rsid w:val="008634A3"/>
    <w:rsid w:val="00863AF9"/>
    <w:rsid w:val="00865372"/>
    <w:rsid w:val="00866A99"/>
    <w:rsid w:val="00867136"/>
    <w:rsid w:val="00867E89"/>
    <w:rsid w:val="0087247B"/>
    <w:rsid w:val="00873E3D"/>
    <w:rsid w:val="008744CA"/>
    <w:rsid w:val="00874DE9"/>
    <w:rsid w:val="008757FE"/>
    <w:rsid w:val="00876FF3"/>
    <w:rsid w:val="00883378"/>
    <w:rsid w:val="00884050"/>
    <w:rsid w:val="00887775"/>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4477"/>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4204"/>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7742E"/>
    <w:rsid w:val="009846D4"/>
    <w:rsid w:val="009847B4"/>
    <w:rsid w:val="009868FD"/>
    <w:rsid w:val="009906A6"/>
    <w:rsid w:val="00990974"/>
    <w:rsid w:val="009933C0"/>
    <w:rsid w:val="00993AC0"/>
    <w:rsid w:val="00994854"/>
    <w:rsid w:val="009A0A5E"/>
    <w:rsid w:val="009A3B8F"/>
    <w:rsid w:val="009A51B3"/>
    <w:rsid w:val="009A6996"/>
    <w:rsid w:val="009A7ABD"/>
    <w:rsid w:val="009B3B93"/>
    <w:rsid w:val="009C0731"/>
    <w:rsid w:val="009C10F5"/>
    <w:rsid w:val="009C182B"/>
    <w:rsid w:val="009C2A70"/>
    <w:rsid w:val="009C2D0D"/>
    <w:rsid w:val="009C726E"/>
    <w:rsid w:val="009D14A9"/>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38D2"/>
    <w:rsid w:val="00A14552"/>
    <w:rsid w:val="00A15CDB"/>
    <w:rsid w:val="00A21E67"/>
    <w:rsid w:val="00A24571"/>
    <w:rsid w:val="00A266ED"/>
    <w:rsid w:val="00A34E17"/>
    <w:rsid w:val="00A359F9"/>
    <w:rsid w:val="00A35AA5"/>
    <w:rsid w:val="00A362D2"/>
    <w:rsid w:val="00A37C23"/>
    <w:rsid w:val="00A43CE0"/>
    <w:rsid w:val="00A45F50"/>
    <w:rsid w:val="00A5077C"/>
    <w:rsid w:val="00A51871"/>
    <w:rsid w:val="00A51ECE"/>
    <w:rsid w:val="00A522D3"/>
    <w:rsid w:val="00A525E0"/>
    <w:rsid w:val="00A527FC"/>
    <w:rsid w:val="00A56978"/>
    <w:rsid w:val="00A61EA7"/>
    <w:rsid w:val="00A64134"/>
    <w:rsid w:val="00A672D2"/>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0EBB"/>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329D"/>
    <w:rsid w:val="00B545C7"/>
    <w:rsid w:val="00B547F2"/>
    <w:rsid w:val="00B55B6C"/>
    <w:rsid w:val="00B56682"/>
    <w:rsid w:val="00B566F3"/>
    <w:rsid w:val="00B6308A"/>
    <w:rsid w:val="00B6379C"/>
    <w:rsid w:val="00B65238"/>
    <w:rsid w:val="00B65548"/>
    <w:rsid w:val="00B67CEE"/>
    <w:rsid w:val="00B72341"/>
    <w:rsid w:val="00B749B8"/>
    <w:rsid w:val="00B74DB3"/>
    <w:rsid w:val="00B75918"/>
    <w:rsid w:val="00B80BAB"/>
    <w:rsid w:val="00B81F30"/>
    <w:rsid w:val="00B92BA2"/>
    <w:rsid w:val="00B92D96"/>
    <w:rsid w:val="00B93AF5"/>
    <w:rsid w:val="00BA04C3"/>
    <w:rsid w:val="00BA2CF1"/>
    <w:rsid w:val="00BA2FCB"/>
    <w:rsid w:val="00BA36ED"/>
    <w:rsid w:val="00BA3815"/>
    <w:rsid w:val="00BA5174"/>
    <w:rsid w:val="00BB2D3E"/>
    <w:rsid w:val="00BB4A35"/>
    <w:rsid w:val="00BC3F78"/>
    <w:rsid w:val="00BC4AAE"/>
    <w:rsid w:val="00BC543C"/>
    <w:rsid w:val="00BC78A9"/>
    <w:rsid w:val="00BD1219"/>
    <w:rsid w:val="00BD1817"/>
    <w:rsid w:val="00BD4313"/>
    <w:rsid w:val="00BD79F4"/>
    <w:rsid w:val="00BE57E8"/>
    <w:rsid w:val="00BF3DFD"/>
    <w:rsid w:val="00BF4FD9"/>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75D"/>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323C"/>
    <w:rsid w:val="00C64392"/>
    <w:rsid w:val="00C64BAF"/>
    <w:rsid w:val="00C67638"/>
    <w:rsid w:val="00C677C0"/>
    <w:rsid w:val="00C74EE5"/>
    <w:rsid w:val="00C750AC"/>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D76E5"/>
    <w:rsid w:val="00CE17D7"/>
    <w:rsid w:val="00CE5915"/>
    <w:rsid w:val="00CE5B1D"/>
    <w:rsid w:val="00CF008C"/>
    <w:rsid w:val="00CF0299"/>
    <w:rsid w:val="00CF1512"/>
    <w:rsid w:val="00CF15AA"/>
    <w:rsid w:val="00CF4997"/>
    <w:rsid w:val="00D009F6"/>
    <w:rsid w:val="00D01DE9"/>
    <w:rsid w:val="00D03021"/>
    <w:rsid w:val="00D0595E"/>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A5"/>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04EF"/>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4897"/>
    <w:rsid w:val="00E158C8"/>
    <w:rsid w:val="00E22488"/>
    <w:rsid w:val="00E23F6C"/>
    <w:rsid w:val="00E2410D"/>
    <w:rsid w:val="00E24161"/>
    <w:rsid w:val="00E25BBE"/>
    <w:rsid w:val="00E2699A"/>
    <w:rsid w:val="00E27324"/>
    <w:rsid w:val="00E30E47"/>
    <w:rsid w:val="00E30F38"/>
    <w:rsid w:val="00E31B30"/>
    <w:rsid w:val="00E31CD3"/>
    <w:rsid w:val="00E334D8"/>
    <w:rsid w:val="00E36116"/>
    <w:rsid w:val="00E37E9C"/>
    <w:rsid w:val="00E37F8A"/>
    <w:rsid w:val="00E42376"/>
    <w:rsid w:val="00E4329E"/>
    <w:rsid w:val="00E43C5B"/>
    <w:rsid w:val="00E47997"/>
    <w:rsid w:val="00E5168D"/>
    <w:rsid w:val="00E531A9"/>
    <w:rsid w:val="00E565D0"/>
    <w:rsid w:val="00E62C1F"/>
    <w:rsid w:val="00E62FC0"/>
    <w:rsid w:val="00E6434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B15"/>
    <w:rsid w:val="00EA2DF3"/>
    <w:rsid w:val="00EA36A0"/>
    <w:rsid w:val="00EA3D2E"/>
    <w:rsid w:val="00EA5D0F"/>
    <w:rsid w:val="00EA78BF"/>
    <w:rsid w:val="00EB0DFC"/>
    <w:rsid w:val="00EB277F"/>
    <w:rsid w:val="00EB431F"/>
    <w:rsid w:val="00EB64B8"/>
    <w:rsid w:val="00EB65E5"/>
    <w:rsid w:val="00EB76CB"/>
    <w:rsid w:val="00EB7F9D"/>
    <w:rsid w:val="00EC034A"/>
    <w:rsid w:val="00EC20DC"/>
    <w:rsid w:val="00EC237B"/>
    <w:rsid w:val="00ED00C2"/>
    <w:rsid w:val="00ED118C"/>
    <w:rsid w:val="00ED368F"/>
    <w:rsid w:val="00ED472C"/>
    <w:rsid w:val="00ED649D"/>
    <w:rsid w:val="00ED787F"/>
    <w:rsid w:val="00EE2AFC"/>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2232"/>
    <w:rsid w:val="00F444BA"/>
    <w:rsid w:val="00F4708C"/>
    <w:rsid w:val="00F47559"/>
    <w:rsid w:val="00F47AAD"/>
    <w:rsid w:val="00F53A24"/>
    <w:rsid w:val="00F555D8"/>
    <w:rsid w:val="00F617C7"/>
    <w:rsid w:val="00F63E26"/>
    <w:rsid w:val="00F66266"/>
    <w:rsid w:val="00F66D56"/>
    <w:rsid w:val="00F67852"/>
    <w:rsid w:val="00F72BA5"/>
    <w:rsid w:val="00F749A4"/>
    <w:rsid w:val="00F74BFF"/>
    <w:rsid w:val="00F75EF9"/>
    <w:rsid w:val="00F82237"/>
    <w:rsid w:val="00F824AD"/>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1C65"/>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CA43AD3"/>
  <w15:docId w15:val="{FC405767-E688-4139-B4D4-9F70AD3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75D"/>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styleId="UnresolvedMention">
    <w:name w:val="Unresolved Mention"/>
    <w:basedOn w:val="DefaultParagraphFont"/>
    <w:uiPriority w:val="99"/>
    <w:unhideWhenUsed/>
    <w:rsid w:val="008D4477"/>
    <w:rPr>
      <w:color w:val="605E5C"/>
      <w:shd w:val="clear" w:color="auto" w:fill="E1DFDD"/>
    </w:rPr>
  </w:style>
  <w:style w:type="character" w:customStyle="1" w:styleId="Heading1Char">
    <w:name w:val="Heading 1 Char"/>
    <w:basedOn w:val="DefaultParagraphFont"/>
    <w:link w:val="Heading1"/>
    <w:uiPriority w:val="1"/>
    <w:rsid w:val="00EA2B15"/>
    <w:rPr>
      <w:rFonts w:ascii="Georgia" w:hAnsi="Georgia" w:cs="Arial"/>
      <w:b/>
      <w:bCs/>
      <w:kern w:val="32"/>
      <w:sz w:val="26"/>
      <w:szCs w:val="32"/>
    </w:rPr>
  </w:style>
  <w:style w:type="character" w:customStyle="1" w:styleId="Heading2Char">
    <w:name w:val="Heading 2 Char"/>
    <w:basedOn w:val="DefaultParagraphFont"/>
    <w:link w:val="Heading2"/>
    <w:uiPriority w:val="1"/>
    <w:rsid w:val="00C2275D"/>
    <w:rPr>
      <w:rFonts w:ascii="Georgia" w:hAnsi="Georgia" w:cs="Arial"/>
      <w:b/>
      <w:bCs/>
      <w:iCs/>
      <w:color w:val="6D6E7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07273464">
      <w:bodyDiv w:val="1"/>
      <w:marLeft w:val="0"/>
      <w:marRight w:val="0"/>
      <w:marTop w:val="0"/>
      <w:marBottom w:val="0"/>
      <w:divBdr>
        <w:top w:val="none" w:sz="0" w:space="0" w:color="auto"/>
        <w:left w:val="none" w:sz="0" w:space="0" w:color="auto"/>
        <w:bottom w:val="none" w:sz="0" w:space="0" w:color="auto"/>
        <w:right w:val="none" w:sz="0" w:space="0" w:color="auto"/>
      </w:divBdr>
      <w:divsChild>
        <w:div w:id="800076805">
          <w:marLeft w:val="547"/>
          <w:marRight w:val="0"/>
          <w:marTop w:val="0"/>
          <w:marBottom w:val="0"/>
          <w:divBdr>
            <w:top w:val="none" w:sz="0" w:space="0" w:color="auto"/>
            <w:left w:val="none" w:sz="0" w:space="0" w:color="auto"/>
            <w:bottom w:val="none" w:sz="0" w:space="0" w:color="auto"/>
            <w:right w:val="none" w:sz="0" w:space="0" w:color="auto"/>
          </w:divBdr>
        </w:div>
      </w:divsChild>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694391">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76093465">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45012453">
      <w:bodyDiv w:val="1"/>
      <w:marLeft w:val="0"/>
      <w:marRight w:val="0"/>
      <w:marTop w:val="0"/>
      <w:marBottom w:val="0"/>
      <w:divBdr>
        <w:top w:val="none" w:sz="0" w:space="0" w:color="auto"/>
        <w:left w:val="none" w:sz="0" w:space="0" w:color="auto"/>
        <w:bottom w:val="none" w:sz="0" w:space="0" w:color="auto"/>
        <w:right w:val="none" w:sz="0" w:space="0" w:color="auto"/>
      </w:divBdr>
    </w:div>
    <w:div w:id="21198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nsw.gov.au/capabilityframework"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607AC"/>
    <w:rsid w:val="003F7D1F"/>
    <w:rsid w:val="004A4EF2"/>
    <w:rsid w:val="0059691E"/>
    <w:rsid w:val="005A37C6"/>
    <w:rsid w:val="00681C26"/>
    <w:rsid w:val="007E5283"/>
    <w:rsid w:val="00A11993"/>
    <w:rsid w:val="00A32830"/>
    <w:rsid w:val="00CC43E2"/>
    <w:rsid w:val="00E8448A"/>
    <w:rsid w:val="00F428C5"/>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D1F"/>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B983F-AEE9-4112-A032-7C92E9B6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26</TotalTime>
  <Pages>10</Pages>
  <Words>2594</Words>
  <Characters>16735</Characters>
  <Application>Microsoft Office Word</Application>
  <DocSecurity>8</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10</cp:revision>
  <dcterms:created xsi:type="dcterms:W3CDTF">2022-10-12T22:07:00Z</dcterms:created>
  <dcterms:modified xsi:type="dcterms:W3CDTF">2023-01-15T23:12:00Z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