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r>
              <w:rPr>
                <w:b/>
              </w:rPr>
              <w:t>Cluster</w:t>
            </w:r>
          </w:p>
        </w:tc>
        <w:tc>
          <w:tcPr>
            <w:tcW w:w="6561" w:type="dxa"/>
          </w:tcPr>
          <w:p w:rsidR="009077E2" w:rsidRPr="00DC0173" w:rsidRDefault="00E95F38" w:rsidP="00DC0173">
            <w:pPr>
              <w:pStyle w:val="TableTextWhite"/>
            </w:pPr>
            <w:r>
              <w:t>Planning and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Environment Protection Authority</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Finance Risk and Governance</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76342E" w:rsidP="00DC0173">
            <w:pPr>
              <w:pStyle w:val="TableTextWhite"/>
            </w:pPr>
            <w:r>
              <w:t>NSW</w:t>
            </w:r>
            <w:bookmarkStart w:id="0" w:name="_GoBack"/>
            <w:bookmarkEnd w:id="0"/>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Environment Officer Class 8</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E95F38"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224412</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1221392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E95F38" w:rsidP="00DC0173">
            <w:pPr>
              <w:pStyle w:val="TableTextWhite"/>
            </w:pPr>
            <w:r>
              <w:t>July 2018</w:t>
            </w:r>
            <w:r w:rsidR="0076342E">
              <w:t xml:space="preserve"> (updated April 2022)</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76342E" w:rsidP="00DC0173">
            <w:pPr>
              <w:pStyle w:val="TableTextWhite"/>
            </w:pPr>
            <w:hyperlink r:id="rId8" w:history="1">
              <w:r w:rsidR="00DA330B" w:rsidRPr="00713E3F">
                <w:rPr>
                  <w:rStyle w:val="Hyperlink"/>
                </w:rPr>
                <w:t>www.epa.nsw.gov.au</w:t>
              </w:r>
            </w:hyperlink>
            <w:r w:rsidR="00DA330B">
              <w:t xml:space="preserve"> </w:t>
            </w:r>
          </w:p>
        </w:tc>
        <w:bookmarkStart w:id="1" w:name="Cluster"/>
        <w:bookmarkEnd w:id="1"/>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C70842" w:rsidRPr="00F47143" w:rsidRDefault="00F47143" w:rsidP="00DA330B">
      <w:pPr>
        <w:tabs>
          <w:tab w:val="left" w:pos="2925"/>
        </w:tabs>
        <w:spacing w:after="0" w:line="240" w:lineRule="auto"/>
        <w:rPr>
          <w:rFonts w:ascii="Georgia" w:hAnsi="Georgia"/>
        </w:rPr>
      </w:pPr>
      <w:r w:rsidRPr="00614552">
        <w:rPr>
          <w:rFonts w:cs="Arial"/>
        </w:rPr>
        <w:t>The NSW Environment Protection Authority (EPA) is the state‘s primary environmental regulator. We work to protect our community and the environment as a leader, partner and protector. Our vision is for New South Wales to have a healthy environment, healthy community and healthy business. We believe healthy ecosystems are the foundation for healthy communities, a healthy economy and for enhancing Iiveability.</w:t>
      </w:r>
    </w:p>
    <w:p w:rsidR="00C70842" w:rsidRPr="00F47143" w:rsidRDefault="00C70842" w:rsidP="00DA330B">
      <w:pPr>
        <w:tabs>
          <w:tab w:val="left" w:pos="2925"/>
        </w:tabs>
        <w:spacing w:after="0" w:line="240" w:lineRule="auto"/>
        <w:rPr>
          <w:rFonts w:ascii="Georgia" w:hAnsi="Georgia"/>
        </w:rPr>
      </w:pPr>
    </w:p>
    <w:p w:rsidR="00C70842" w:rsidRPr="00F47143" w:rsidRDefault="00F47143" w:rsidP="00DA330B">
      <w:pPr>
        <w:tabs>
          <w:tab w:val="left" w:pos="2925"/>
        </w:tabs>
        <w:spacing w:after="0" w:line="240" w:lineRule="auto"/>
        <w:rPr>
          <w:rFonts w:ascii="Georgia" w:hAnsi="Georgia"/>
        </w:rPr>
      </w:pPr>
      <w:r w:rsidRPr="00614552">
        <w:rPr>
          <w:rFonts w:cs="Arial"/>
        </w:rPr>
        <w:t>We lead in protecting our air, waterways, land and the health of the community for the future.</w:t>
      </w:r>
    </w:p>
    <w:p w:rsidR="00C70842" w:rsidRPr="00F47143" w:rsidRDefault="00C70842" w:rsidP="00DA330B">
      <w:pPr>
        <w:tabs>
          <w:tab w:val="left" w:pos="2925"/>
        </w:tabs>
        <w:spacing w:after="0" w:line="240" w:lineRule="auto"/>
        <w:rPr>
          <w:rFonts w:ascii="Georgia" w:hAnsi="Georgia"/>
        </w:rPr>
      </w:pPr>
    </w:p>
    <w:p w:rsidR="00C70842" w:rsidRPr="00F47143" w:rsidRDefault="00F47143" w:rsidP="00DA330B">
      <w:pPr>
        <w:tabs>
          <w:tab w:val="left" w:pos="2925"/>
        </w:tabs>
        <w:spacing w:after="0" w:line="240" w:lineRule="auto"/>
        <w:rPr>
          <w:rFonts w:ascii="Georgia" w:hAnsi="Georgia"/>
        </w:rPr>
      </w:pPr>
      <w:r w:rsidRPr="00614552">
        <w:rPr>
          <w:rFonts w:cs="Arial"/>
        </w:rPr>
        <w:t>We work with communities, government and business to reduce our impact on the environment.</w:t>
      </w:r>
    </w:p>
    <w:p w:rsidR="00C70842" w:rsidRPr="00F47143" w:rsidRDefault="00C70842" w:rsidP="00DA330B">
      <w:pPr>
        <w:tabs>
          <w:tab w:val="left" w:pos="2925"/>
        </w:tabs>
        <w:spacing w:after="0" w:line="240" w:lineRule="auto"/>
        <w:rPr>
          <w:rFonts w:ascii="Georgia" w:hAnsi="Georgia"/>
        </w:rPr>
      </w:pPr>
    </w:p>
    <w:p w:rsidR="00C70842" w:rsidRDefault="00F47143" w:rsidP="00DA330B">
      <w:pPr>
        <w:tabs>
          <w:tab w:val="left" w:pos="2925"/>
        </w:tabs>
        <w:spacing w:after="0" w:line="240" w:lineRule="auto"/>
        <w:rPr>
          <w:rFonts w:cs="Arial"/>
        </w:rPr>
      </w:pPr>
      <w:r w:rsidRPr="00614552">
        <w:rPr>
          <w:rFonts w:cs="Arial"/>
        </w:rPr>
        <w:t>We hold people and organisations to account through licensing, monitoring, regulation and enforcement.</w:t>
      </w:r>
    </w:p>
    <w:p w:rsidR="00DA330B" w:rsidRPr="00F47143" w:rsidRDefault="00DA330B" w:rsidP="00DA330B">
      <w:pPr>
        <w:tabs>
          <w:tab w:val="left" w:pos="2925"/>
        </w:tabs>
        <w:spacing w:after="0" w:line="240" w:lineRule="auto"/>
        <w:rPr>
          <w:rFonts w:ascii="Georgia" w:hAnsi="Georgia"/>
        </w:rPr>
      </w:pP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94967" w:rsidP="006A2280">
      <w:pPr>
        <w:tabs>
          <w:tab w:val="left" w:pos="2925"/>
        </w:tabs>
        <w:rPr>
          <w:rFonts w:ascii="Georgia" w:hAnsi="Georgia"/>
        </w:rPr>
      </w:pPr>
      <w:r>
        <w:rPr>
          <w:rFonts w:cs="Arial"/>
        </w:rPr>
        <w:t xml:space="preserve">To support the implementation </w:t>
      </w:r>
      <w:r w:rsidR="00037FD5" w:rsidRPr="00614552">
        <w:rPr>
          <w:rFonts w:cs="Arial"/>
        </w:rPr>
        <w:t>and application of governance policies, strategies and processes for the EPA; the application of ap</w:t>
      </w:r>
      <w:r w:rsidR="002E1332">
        <w:rPr>
          <w:rFonts w:cs="Arial"/>
        </w:rPr>
        <w:t xml:space="preserve">propriate workplace behaviour </w:t>
      </w:r>
      <w:r w:rsidR="00037FD5" w:rsidRPr="00614552">
        <w:rPr>
          <w:rFonts w:cs="Arial"/>
        </w:rPr>
        <w:t>through detection, prevention, and early intervention; and promote a culture of quality governance, accountability and transparency.</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Maintaining diverse governance processes for the EPA relating to audit, risk management, assurance, privacy, compliance, information access, ethics, conduct and probity, including the development of related briefings, formal advice and publications.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Ensuring the delivery of planned internal audits throughout the EPA by coordinating auditors and auditees, arranging procurement and implementing relevant internal audit procedures and manuals.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Implementing protocols, processes and systems </w:t>
      </w:r>
      <w:r w:rsidR="00594B0C">
        <w:rPr>
          <w:rFonts w:cs="Arial"/>
        </w:rPr>
        <w:t xml:space="preserve">for data collection, reporting </w:t>
      </w:r>
      <w:r w:rsidRPr="00614552">
        <w:rPr>
          <w:rFonts w:cs="Arial"/>
        </w:rPr>
        <w:t>on key assurance processes, including r</w:t>
      </w:r>
      <w:r w:rsidR="00594B0C">
        <w:rPr>
          <w:rFonts w:cs="Arial"/>
        </w:rPr>
        <w:t xml:space="preserve">isk mitigation </w:t>
      </w:r>
      <w:r w:rsidRPr="00614552">
        <w:rPr>
          <w:rFonts w:cs="Arial"/>
        </w:rPr>
        <w:t>an</w:t>
      </w:r>
      <w:r w:rsidR="00594B0C">
        <w:rPr>
          <w:rFonts w:cs="Arial"/>
        </w:rPr>
        <w:t>d EPA’s legislative compliance</w:t>
      </w:r>
      <w:r w:rsidRPr="00614552">
        <w:rPr>
          <w:rFonts w:cs="Arial"/>
        </w:rPr>
        <w: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Maintaining knowledge about the risk management and internal audit requirements outlined in Treasury Policy Internal Audit and Risk Management for the NSW Public Sector; information access and privacy </w:t>
      </w:r>
      <w:r w:rsidRPr="00614552">
        <w:rPr>
          <w:rFonts w:cs="Arial"/>
        </w:rPr>
        <w:lastRenderedPageBreak/>
        <w:t>legislation (EPA and Government policies and procedures); and maintaining knowledge about probity related disclosures and processes for low-risk/routine investigations into complaints and allegations of serious misconduct.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Implementing project coordination, business planning, reporting, financial management, education, and procurement activities for all governance processes.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Providing </w:t>
      </w:r>
      <w:r w:rsidR="00594B0C" w:rsidRPr="00614552">
        <w:rPr>
          <w:rFonts w:cs="Arial"/>
        </w:rPr>
        <w:t>assistance to</w:t>
      </w:r>
      <w:r w:rsidRPr="00614552">
        <w:rPr>
          <w:rFonts w:cs="Arial"/>
        </w:rPr>
        <w:t xml:space="preserve"> support the implementation of the enterprise risk management framework;  assessments and reviews of probity and related disclosures, low risk/routine investigations into complaints and allegations of serious misconduct; and the release of information under information access and privacy legislation and Parliamentary orders for papers.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Providing advice on diverse corporate governance issues including the application of relevant statutory requirements, Government policy, ethics, conduct, and governance best practice.</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Influencing staff and third parties who you are dependent upon for timely delivery of key operational processes, including secretariat services, internal audits, probity and information access cases.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Communicating effectively with a range of stakeholders, including EPA staff, </w:t>
      </w:r>
      <w:r w:rsidR="00594B0C">
        <w:rPr>
          <w:rFonts w:cs="Arial"/>
        </w:rPr>
        <w:t>persons making probity reports</w:t>
      </w:r>
      <w:r w:rsidRPr="00614552">
        <w:rPr>
          <w:rFonts w:cs="Arial"/>
        </w:rPr>
        <w:t>, independent committees and central agencies, to manage expectations and matters that are sensitive or highly confidential.</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Maintaining an up-to-date knowledge of ‘best practice’ and contemporary developments in a range of information access and governance approaches and methodologies, including case law, the development and application of project management, corporate effectiveness and benefits realisation techniques.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Manager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Escalate issues, keep the manager informed, make suggestions, propose solutions, advise and receive guidance and direction.</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Executive Director Legal Services &amp; legal team</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Assist in briefing EPA legal staff on GIPA issues, working with them to resolve legal aspects of GIPA applications.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Operational and corporate work team(s)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Support and work collaboratively across the Section and Corporate Services Branch.</w:t>
            </w:r>
          </w:p>
          <w:p w:rsidR="00BB532F" w:rsidRPr="00A15CDB" w:rsidRDefault="001336E8" w:rsidP="00022223">
            <w:pPr>
              <w:pStyle w:val="TableText"/>
              <w:numPr>
                <w:ilvl w:val="0"/>
                <w:numId w:val="3"/>
              </w:numPr>
            </w:pPr>
            <w:r>
              <w:t>Support other EPA staff in understanding and complying with legislation, EPA policies and procedures dealing with governance, risk management, government information access and privacy</w:t>
            </w:r>
          </w:p>
          <w:p w:rsidR="00BB532F" w:rsidRPr="00A15CDB" w:rsidRDefault="001336E8" w:rsidP="00022223">
            <w:pPr>
              <w:pStyle w:val="TableText"/>
              <w:numPr>
                <w:ilvl w:val="0"/>
                <w:numId w:val="3"/>
              </w:numPr>
            </w:pPr>
            <w:r>
              <w:t>Develop and maintain effective working relationships and open channels of communication</w:t>
            </w:r>
          </w:p>
          <w:p w:rsidR="00BB532F" w:rsidRPr="00A15CDB" w:rsidRDefault="001336E8" w:rsidP="00022223">
            <w:pPr>
              <w:pStyle w:val="TableText"/>
              <w:numPr>
                <w:ilvl w:val="0"/>
                <w:numId w:val="3"/>
              </w:numPr>
            </w:pPr>
            <w:r>
              <w:t>Provide sound and reliable advice; manage expectations, resolve and provide solutions to issues; negotiate outcomes and timeframes.</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Central agencies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Remain up to date with governance and information access processes and related legislation, best practice and contemporary developments across the NSW government sector.</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Clients/customers/stakeholders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Provide sound and reliable advice and services; manage expectations, resolve and provide solutions to issues; negotiate outcomes and timeframes.</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350C2C" w:rsidRDefault="00603D53">
      <w:pPr>
        <w:rPr>
          <w:rFonts w:cs="Arial"/>
          <w:szCs w:val="26"/>
        </w:rPr>
      </w:pPr>
      <w:r w:rsidRPr="00603D53">
        <w:rPr>
          <w:rFonts w:cs="Arial"/>
          <w:szCs w:val="26"/>
        </w:rPr>
        <w:t xml:space="preserve">The role operates with some level of autonomy in the context of the agreed work plan and determines day to day work priorities. The role will process and decide formal applications under the Government Information (Public Access) Act 2009. The role is also fully accountable for the quality, integrity and accuracy of advice provided. The role will also work on projects/assignments to resolve issues or complaints, as such this will involve a choice of potential solutions or actions for submission and approval by the manager.  </w:t>
      </w:r>
    </w:p>
    <w:p w:rsidR="00603D53" w:rsidRPr="00603D53" w:rsidRDefault="00350C2C">
      <w:pPr>
        <w:rPr>
          <w:rFonts w:cs="Arial"/>
          <w:szCs w:val="26"/>
        </w:rPr>
      </w:pPr>
      <w:r>
        <w:rPr>
          <w:rFonts w:cs="Arial"/>
          <w:szCs w:val="26"/>
        </w:rPr>
        <w:t>The role work</w:t>
      </w:r>
      <w:r w:rsidR="00603D53" w:rsidRPr="00603D53">
        <w:rPr>
          <w:rFonts w:cs="Arial"/>
          <w:szCs w:val="26"/>
        </w:rPr>
        <w:t>s in a team with two other senior governance officers providing services to the EPA.</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The role reports to the Manager, Finance, Risk and Governance, Corporate Services Branch.</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Nil</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Nil</w:t>
      </w:r>
    </w:p>
    <w:p w:rsidR="00205A8A" w:rsidRPr="00614552" w:rsidRDefault="00205A8A" w:rsidP="00205A8A">
      <w:pPr>
        <w:tabs>
          <w:tab w:val="left" w:pos="2925"/>
        </w:tabs>
        <w:rPr>
          <w:rStyle w:val="Heading1Char"/>
        </w:rPr>
      </w:pPr>
      <w:r w:rsidRPr="00614552">
        <w:rPr>
          <w:rStyle w:val="Heading1Char"/>
        </w:rPr>
        <w:t>Essential requirements</w:t>
      </w:r>
    </w:p>
    <w:p w:rsidR="00D060C7" w:rsidRDefault="00D060C7" w:rsidP="000A4216">
      <w:r>
        <w:t>Experience in at least one of the following:</w:t>
      </w:r>
    </w:p>
    <w:p w:rsidR="00D060C7" w:rsidRPr="000A4216" w:rsidRDefault="00D060C7" w:rsidP="00D060C7">
      <w:pPr>
        <w:numPr>
          <w:ilvl w:val="0"/>
          <w:numId w:val="4"/>
        </w:numPr>
        <w:spacing w:after="0" w:line="240" w:lineRule="auto"/>
        <w:rPr>
          <w:rFonts w:ascii="Georgia" w:hAnsi="Georgia"/>
        </w:rPr>
      </w:pPr>
      <w:r>
        <w:t>Internal audit, governance, enterprise risk management, or the application of government information public access legislation.</w:t>
      </w:r>
    </w:p>
    <w:p w:rsidR="000A4216" w:rsidRDefault="000A4216" w:rsidP="000A4216">
      <w:pPr>
        <w:spacing w:after="0" w:line="240" w:lineRule="auto"/>
        <w:ind w:left="360"/>
        <w:rPr>
          <w:rFonts w:ascii="Georgia" w:hAnsi="Georgia"/>
        </w:rPr>
      </w:pPr>
    </w:p>
    <w:p w:rsidR="00994DCE" w:rsidRPr="00C978B9" w:rsidRDefault="00D060C7" w:rsidP="00994DCE">
      <w:pPr>
        <w:pStyle w:val="Heading1"/>
      </w:pPr>
      <w:r w:rsidRPr="00614552" w:rsidDel="00D060C7">
        <w:t xml:space="preserve"> </w:t>
      </w:r>
      <w:r w:rsidR="00994DCE"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3DBD7ABB" wp14:editId="291A2809">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b/>
                <w:sz w:val="24"/>
                <w:szCs w:val="24"/>
              </w:rPr>
            </w:pPr>
            <w:r>
              <w:rPr>
                <w:b/>
              </w:rP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rPr>
                <w:b/>
              </w:rPr>
            </w:pPr>
            <w:r>
              <w:rPr>
                <w:b/>
              </w:rP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Act with Integrity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Self</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6B7E9B69" wp14:editId="731D098C">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Influence and Negotiate</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3C042A2F" wp14:editId="06D31D54">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Think and Solve Problems</w:t>
            </w:r>
          </w:p>
        </w:tc>
        <w:tc>
          <w:tcPr>
            <w:tcW w:w="3357" w:type="dxa"/>
            <w:tcBorders>
              <w:bottom w:val="single" w:sz="4" w:space="0" w:color="BCBEC0"/>
            </w:tcBorders>
          </w:tcPr>
          <w:p w:rsidR="00373737" w:rsidRPr="00610758" w:rsidRDefault="0001016C" w:rsidP="0001016C">
            <w:pPr>
              <w:pStyle w:val="TableText"/>
              <w:keepNext/>
              <w:rPr>
                <w:b/>
              </w:rPr>
            </w:pPr>
            <w:r>
              <w:rPr>
                <w:b/>
              </w:rP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Demonstrate Accountability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6C18C13B" wp14:editId="0CB9EA99">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Technology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bl>
    <w:p w:rsidR="002D36BB" w:rsidRDefault="002D36BB" w:rsidP="008E08E3"/>
    <w:p w:rsidR="002D36BB" w:rsidRDefault="002D36BB" w:rsidP="00325E9D"/>
    <w:p w:rsidR="00545AC6" w:rsidRDefault="00545AC6" w:rsidP="00325E9D">
      <w:pPr>
        <w:pStyle w:val="Heading2"/>
      </w:pPr>
    </w:p>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7"/>
        <w:gridCol w:w="5761"/>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Display Resilience and Courage</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Be flexible, show initiative and respond quickly when situations change</w:t>
            </w:r>
          </w:p>
          <w:p w:rsidR="001F2503" w:rsidRPr="00C978B9" w:rsidRDefault="0039395B" w:rsidP="0039395B">
            <w:pPr>
              <w:pStyle w:val="TableBullet"/>
            </w:pPr>
            <w:r>
              <w:t>Give frank and honest feedback/advice</w:t>
            </w:r>
          </w:p>
          <w:p w:rsidR="001F2503" w:rsidRPr="00C978B9" w:rsidRDefault="0039395B" w:rsidP="0039395B">
            <w:pPr>
              <w:pStyle w:val="TableBullet"/>
            </w:pPr>
            <w:r>
              <w:t>Listen when ideas are challenged, seek to understand the nature of the criticism and respond constructively</w:t>
            </w:r>
          </w:p>
          <w:p w:rsidR="001F2503" w:rsidRPr="00C978B9" w:rsidRDefault="0039395B" w:rsidP="0039395B">
            <w:pPr>
              <w:pStyle w:val="TableBullet"/>
            </w:pPr>
            <w:r>
              <w:t>Raise and work through challenging issues and seek alternatives</w:t>
            </w:r>
          </w:p>
          <w:p w:rsidR="001F2503" w:rsidRPr="00C978B9" w:rsidRDefault="0039395B" w:rsidP="0039395B">
            <w:pPr>
              <w:pStyle w:val="TableBullet"/>
            </w:pPr>
            <w:r>
              <w:t>Keep control of own emotions and stay calm under pressure and in challenging situations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Act with Integrity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Represent the organisation in an honest, ethical and professional way and encourage others to do so</w:t>
            </w:r>
          </w:p>
          <w:p w:rsidR="001F2503" w:rsidRPr="00C978B9" w:rsidRDefault="0039395B" w:rsidP="0039395B">
            <w:pPr>
              <w:pStyle w:val="TableBullet"/>
            </w:pPr>
            <w:r>
              <w:t>Demonstrate professionalism to support a culture of integrity within the team/unit</w:t>
            </w:r>
          </w:p>
          <w:p w:rsidR="001F2503" w:rsidRPr="00C978B9" w:rsidRDefault="0039395B" w:rsidP="0039395B">
            <w:pPr>
              <w:pStyle w:val="TableBullet"/>
            </w:pPr>
            <w:r>
              <w:t>Set an example for others to follow and identify and explain ethical issues</w:t>
            </w:r>
          </w:p>
          <w:p w:rsidR="001F2503" w:rsidRPr="00C978B9" w:rsidRDefault="0039395B" w:rsidP="0039395B">
            <w:pPr>
              <w:pStyle w:val="TableBullet"/>
            </w:pPr>
            <w:r>
              <w:t>Ensure that others understand the legislation and policy framework within which they operate</w:t>
            </w:r>
          </w:p>
          <w:p w:rsidR="001F2503" w:rsidRPr="00C978B9" w:rsidRDefault="0039395B" w:rsidP="0039395B">
            <w:pPr>
              <w:pStyle w:val="TableBullet"/>
            </w:pPr>
            <w:r>
              <w:t>Act to prevent and report misconduct, illegal and inappropriate behaviour</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Communicate Effectively</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Focus on key points and speak in ‘Plain English’</w:t>
            </w:r>
          </w:p>
          <w:p w:rsidR="001F2503" w:rsidRPr="00C978B9" w:rsidRDefault="0039395B" w:rsidP="0039395B">
            <w:pPr>
              <w:pStyle w:val="TableBullet"/>
            </w:pPr>
            <w:r>
              <w:t>Clearly explain and present ideas and arguments</w:t>
            </w:r>
          </w:p>
          <w:p w:rsidR="001F2503" w:rsidRPr="00C978B9" w:rsidRDefault="0039395B" w:rsidP="0039395B">
            <w:pPr>
              <w:pStyle w:val="TableBullet"/>
            </w:pPr>
            <w:r>
              <w:t>Listen to others when they are speaking and ask appropriate, respectful questions</w:t>
            </w:r>
          </w:p>
          <w:p w:rsidR="001F2503" w:rsidRPr="00C978B9" w:rsidRDefault="0039395B" w:rsidP="0039395B">
            <w:pPr>
              <w:pStyle w:val="TableBullet"/>
            </w:pPr>
            <w:r>
              <w:t>Monitor own and others’ non-verbal cues and adapt where necessary</w:t>
            </w:r>
          </w:p>
          <w:p w:rsidR="001F2503" w:rsidRPr="00C978B9" w:rsidRDefault="0039395B" w:rsidP="0039395B">
            <w:pPr>
              <w:pStyle w:val="TableBullet"/>
            </w:pPr>
            <w:r>
              <w:t>Prepare written material that is well structured and easy to follow by the intended audience</w:t>
            </w:r>
          </w:p>
          <w:p w:rsidR="001F2503" w:rsidRPr="00C978B9" w:rsidRDefault="0039395B" w:rsidP="0039395B">
            <w:pPr>
              <w:pStyle w:val="TableBullet"/>
            </w:pPr>
            <w:r>
              <w:t>Communicate routine technical information clearly</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Influence and Negotiate</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Negotiate from an informed and credible position</w:t>
            </w:r>
          </w:p>
          <w:p w:rsidR="001F2503" w:rsidRPr="00C978B9" w:rsidRDefault="0039395B" w:rsidP="0039395B">
            <w:pPr>
              <w:pStyle w:val="TableBullet"/>
            </w:pPr>
            <w:r>
              <w:t>Lead and facilitate productive discussions with staff and stakeholders</w:t>
            </w:r>
          </w:p>
          <w:p w:rsidR="001F2503" w:rsidRPr="00C978B9" w:rsidRDefault="0039395B" w:rsidP="0039395B">
            <w:pPr>
              <w:pStyle w:val="TableBullet"/>
            </w:pPr>
            <w:r>
              <w:t>Encourage others to talk, share and debate ideas to achieve a consensus</w:t>
            </w:r>
          </w:p>
          <w:p w:rsidR="001F2503" w:rsidRPr="00C978B9" w:rsidRDefault="0039395B" w:rsidP="0039395B">
            <w:pPr>
              <w:pStyle w:val="TableBullet"/>
            </w:pPr>
            <w:r>
              <w:t>Recognise and explain the need for compromise</w:t>
            </w:r>
          </w:p>
          <w:p w:rsidR="001F2503" w:rsidRPr="00C978B9" w:rsidRDefault="0039395B" w:rsidP="0039395B">
            <w:pPr>
              <w:pStyle w:val="TableBullet"/>
            </w:pPr>
            <w:r>
              <w:t>Influence others with a fair and considered approach and sound arguments</w:t>
            </w:r>
          </w:p>
          <w:p w:rsidR="001F2503" w:rsidRPr="00C978B9" w:rsidRDefault="0039395B" w:rsidP="0039395B">
            <w:pPr>
              <w:pStyle w:val="TableBullet"/>
            </w:pPr>
            <w:r>
              <w:t>Show sensitivity and understanding in resolving conflicts and differences</w:t>
            </w:r>
          </w:p>
          <w:p w:rsidR="001F2503" w:rsidRPr="00C978B9" w:rsidRDefault="0039395B" w:rsidP="0039395B">
            <w:pPr>
              <w:pStyle w:val="TableBullet"/>
            </w:pPr>
            <w:r>
              <w:t>Manage challenging relations with internal and external stakeholders</w:t>
            </w:r>
          </w:p>
          <w:p w:rsidR="001F2503" w:rsidRPr="00C978B9" w:rsidRDefault="0039395B" w:rsidP="0039395B">
            <w:pPr>
              <w:pStyle w:val="TableBullet"/>
            </w:pPr>
            <w:r>
              <w:t>Pre-empt and minimise conflict</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Deliver Results</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Take responsibility for delivering on intended outcomes</w:t>
            </w:r>
          </w:p>
          <w:p w:rsidR="001F2503" w:rsidRPr="00C978B9" w:rsidRDefault="0039395B" w:rsidP="0039395B">
            <w:pPr>
              <w:pStyle w:val="TableBullet"/>
            </w:pPr>
            <w:r>
              <w:t>Make sure team/unit staff understand expected goals and acknowledge success</w:t>
            </w:r>
          </w:p>
          <w:p w:rsidR="001F2503" w:rsidRPr="00C978B9" w:rsidRDefault="0039395B" w:rsidP="0039395B">
            <w:pPr>
              <w:pStyle w:val="TableBullet"/>
            </w:pPr>
            <w:r>
              <w:t>Identify resource needs and ensure goals are achieved within budget and deadlines</w:t>
            </w:r>
          </w:p>
          <w:p w:rsidR="001F2503" w:rsidRPr="00C978B9" w:rsidRDefault="0039395B" w:rsidP="0039395B">
            <w:pPr>
              <w:pStyle w:val="TableBullet"/>
            </w:pPr>
            <w:r>
              <w:t>Identify changed priorities and ensure allocation of resources meets new business needs</w:t>
            </w:r>
          </w:p>
          <w:p w:rsidR="001F2503" w:rsidRPr="00C978B9" w:rsidRDefault="0039395B" w:rsidP="0039395B">
            <w:pPr>
              <w:pStyle w:val="TableBullet"/>
            </w:pPr>
            <w:r>
              <w:t>Ensure financial implications of changed priorities are explicit and budgeted for</w:t>
            </w:r>
          </w:p>
          <w:p w:rsidR="001F2503" w:rsidRPr="00C978B9" w:rsidRDefault="0039395B" w:rsidP="0039395B">
            <w:pPr>
              <w:pStyle w:val="TableBullet"/>
            </w:pPr>
            <w:r>
              <w:t>Use own expertise and seek others’ expertise to achieve work outcomes</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Think and Solve Problems</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Research and analyse information and make recommendations based on relevant evidence</w:t>
            </w:r>
          </w:p>
          <w:p w:rsidR="001F2503" w:rsidRPr="00C978B9" w:rsidRDefault="0039395B" w:rsidP="0039395B">
            <w:pPr>
              <w:pStyle w:val="TableBullet"/>
            </w:pPr>
            <w:r>
              <w:t>Identify issues that may hinder completion of tasks and find appropriate solutions</w:t>
            </w:r>
          </w:p>
          <w:p w:rsidR="001F2503" w:rsidRPr="00C978B9" w:rsidRDefault="0039395B" w:rsidP="0039395B">
            <w:pPr>
              <w:pStyle w:val="TableBullet"/>
            </w:pPr>
            <w:r>
              <w:t>Be willing to seek out input from others and share own ideas to achieve best outcomes</w:t>
            </w:r>
          </w:p>
          <w:p w:rsidR="001F2503" w:rsidRPr="00C978B9" w:rsidRDefault="0039395B" w:rsidP="0039395B">
            <w:pPr>
              <w:pStyle w:val="TableBullet"/>
            </w:pPr>
            <w:r>
              <w:t>Identify ways to improve systems or processes which are used by the team/unit</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Demonstrate Accountability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Assess work outcomes and identify and share learnings to inform future actions</w:t>
            </w:r>
          </w:p>
          <w:p w:rsidR="001F2503" w:rsidRPr="00C978B9" w:rsidRDefault="0039395B" w:rsidP="0039395B">
            <w:pPr>
              <w:pStyle w:val="TableBullet"/>
            </w:pPr>
            <w:r>
              <w:t>Ensure that actions of self and others are focused on achieving organisational outcomes</w:t>
            </w:r>
          </w:p>
          <w:p w:rsidR="001F2503" w:rsidRPr="00C978B9" w:rsidRDefault="0039395B" w:rsidP="0039395B">
            <w:pPr>
              <w:pStyle w:val="TableBullet"/>
            </w:pPr>
            <w:r>
              <w:t>Exercise delegations responsibly</w:t>
            </w:r>
          </w:p>
          <w:p w:rsidR="001F2503" w:rsidRPr="00C978B9" w:rsidRDefault="0039395B" w:rsidP="0039395B">
            <w:pPr>
              <w:pStyle w:val="TableBullet"/>
            </w:pPr>
            <w:r>
              <w:t>Understand and apply high standards of financial probity with public monies and other resources</w:t>
            </w:r>
          </w:p>
          <w:p w:rsidR="001F2503" w:rsidRPr="00C978B9" w:rsidRDefault="0039395B" w:rsidP="0039395B">
            <w:pPr>
              <w:pStyle w:val="TableBullet"/>
            </w:pPr>
            <w:r>
              <w:t>Identify and implement safe work practices, taking a systematic risk management approach to ensure health and safety of self and others</w:t>
            </w:r>
          </w:p>
          <w:p w:rsidR="001F2503" w:rsidRPr="00C978B9" w:rsidRDefault="0039395B" w:rsidP="0039395B">
            <w:pPr>
              <w:pStyle w:val="TableBullet"/>
            </w:pPr>
            <w:r>
              <w:t>Conduct and report on quality control audits</w:t>
            </w:r>
          </w:p>
          <w:p w:rsidR="001F2503" w:rsidRPr="00C978B9" w:rsidRDefault="0039395B" w:rsidP="0039395B">
            <w:pPr>
              <w:pStyle w:val="TableBullet"/>
            </w:pPr>
            <w:r>
              <w:t>Identify risks to successful achievement of goals, and take appropriate steps to mitigate those risks</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Project Management</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Prepare clear project proposals and define scope and goals in measurable terms</w:t>
            </w:r>
          </w:p>
          <w:p w:rsidR="001F2503" w:rsidRPr="00C978B9" w:rsidRDefault="0039395B" w:rsidP="0039395B">
            <w:pPr>
              <w:pStyle w:val="TableBullet"/>
            </w:pPr>
            <w:r>
              <w:t>Establish performance outcomes and measures for key project goals, and define monitoring, reporting and communication requirements</w:t>
            </w:r>
          </w:p>
          <w:p w:rsidR="001F2503" w:rsidRPr="00C978B9" w:rsidRDefault="0039395B" w:rsidP="0039395B">
            <w:pPr>
              <w:pStyle w:val="TableBullet"/>
            </w:pPr>
            <w:r>
              <w:t>Prepare accurate estimates of costs and resources required for more complex projects</w:t>
            </w:r>
          </w:p>
          <w:p w:rsidR="001F2503" w:rsidRPr="00C978B9" w:rsidRDefault="0039395B" w:rsidP="0039395B">
            <w:pPr>
              <w:pStyle w:val="TableBullet"/>
            </w:pPr>
            <w:r>
              <w:t>Communicate the project strategy and its expected benefits to others</w:t>
            </w:r>
          </w:p>
          <w:p w:rsidR="001F2503" w:rsidRPr="00C978B9" w:rsidRDefault="0039395B" w:rsidP="0039395B">
            <w:pPr>
              <w:pStyle w:val="TableBullet"/>
            </w:pPr>
            <w:r>
              <w:t>Monitor the completion of project milestones against goals and initiate amendments where necessary</w:t>
            </w:r>
          </w:p>
          <w:p w:rsidR="001F2503" w:rsidRPr="00C978B9" w:rsidRDefault="0039395B" w:rsidP="0039395B">
            <w:pPr>
              <w:pStyle w:val="TableBullet"/>
            </w:pPr>
            <w:r>
              <w:t>Evaluate progress and identify improvements to inform future projects</w:t>
            </w:r>
          </w:p>
        </w:tc>
      </w:tr>
    </w:tbl>
    <w:p w:rsidR="00B0574B" w:rsidRDefault="00B0574B" w:rsidP="002B1F76">
      <w:pPr>
        <w:pStyle w:val="ListBullet"/>
        <w:numPr>
          <w:ilvl w:val="0"/>
          <w:numId w:val="0"/>
        </w:numPr>
      </w:pPr>
    </w:p>
    <w:sectPr w:rsidR="00B0574B"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B" w:rsidRDefault="00A5171B" w:rsidP="00BB532F">
      <w:pPr>
        <w:spacing w:after="0" w:line="240" w:lineRule="auto"/>
      </w:pPr>
      <w:r>
        <w:separator/>
      </w:r>
    </w:p>
  </w:endnote>
  <w:endnote w:type="continuationSeparator" w:id="0">
    <w:p w:rsidR="00A5171B" w:rsidRDefault="00A5171B"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Governance 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76342E">
            <w:rPr>
              <w:noProof/>
              <w:color w:val="928B81"/>
              <w:sz w:val="18"/>
              <w:lang w:eastAsia="en-AU"/>
            </w:rPr>
            <w:t>6</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210735F1" wp14:editId="2CAD2CED">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76342E">
            <w:rPr>
              <w:noProof/>
              <w:lang w:eastAsia="en-AU"/>
            </w:rPr>
            <w:t>1</w:t>
          </w:r>
          <w:r>
            <w:rPr>
              <w:noProof/>
              <w:lang w:eastAsia="en-AU"/>
            </w:rPr>
            <w:fldChar w:fldCharType="end"/>
          </w:r>
        </w:p>
      </w:tc>
      <w:tc>
        <w:tcPr>
          <w:tcW w:w="875" w:type="dxa"/>
        </w:tcPr>
        <w:p w:rsidR="00BB532F" w:rsidRDefault="003A1185" w:rsidP="00BD7BA7">
          <w:pPr>
            <w:pStyle w:val="Footer"/>
            <w:jc w:val="right"/>
          </w:pPr>
          <w:r>
            <w:rPr>
              <w:noProof/>
              <w:lang w:val="en-AU" w:eastAsia="en-AU"/>
            </w:rPr>
            <w:drawing>
              <wp:inline distT="0" distB="0" distL="0" distR="0" wp14:anchorId="3B6D8688" wp14:editId="73CEDCF4">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B" w:rsidRDefault="00A5171B" w:rsidP="00BB532F">
      <w:pPr>
        <w:spacing w:after="0" w:line="240" w:lineRule="auto"/>
      </w:pPr>
      <w:r>
        <w:separator/>
      </w:r>
    </w:p>
  </w:footnote>
  <w:footnote w:type="continuationSeparator" w:id="0">
    <w:p w:rsidR="00A5171B" w:rsidRDefault="00A5171B"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Governance Officer</w:t>
          </w:r>
        </w:p>
      </w:tc>
      <w:tc>
        <w:tcPr>
          <w:tcW w:w="3665" w:type="dxa"/>
        </w:tcPr>
        <w:p w:rsidR="000477E1" w:rsidRPr="000477E1" w:rsidRDefault="0076342E" w:rsidP="00030565">
          <w:pPr>
            <w:jc w:val="right"/>
          </w:pPr>
          <w:r>
            <w:rPr>
              <w:rFonts w:asciiTheme="minorHAnsi" w:eastAsia="Times New Roman" w:hAnsiTheme="minorHAnsi" w:cs="Times New Roman"/>
              <w:noProof/>
              <w:lang w:val="en-AU" w:eastAsia="en-AU"/>
            </w:rPr>
            <w:drawing>
              <wp:anchor distT="0" distB="0" distL="114300" distR="114300" simplePos="0" relativeHeight="251659264" behindDoc="0" locked="0" layoutInCell="1" allowOverlap="1" wp14:anchorId="514B4A40" wp14:editId="506C6871">
                <wp:simplePos x="0" y="0"/>
                <wp:positionH relativeFrom="column">
                  <wp:posOffset>1270</wp:posOffset>
                </wp:positionH>
                <wp:positionV relativeFrom="paragraph">
                  <wp:posOffset>3175</wp:posOffset>
                </wp:positionV>
                <wp:extent cx="1915160" cy="688340"/>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568DC"/>
    <w:multiLevelType w:val="hybridMultilevel"/>
    <w:tmpl w:val="2646D59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94967"/>
    <w:rsid w:val="000A2621"/>
    <w:rsid w:val="000A4216"/>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157FC"/>
    <w:rsid w:val="00237421"/>
    <w:rsid w:val="00240A8E"/>
    <w:rsid w:val="00263ACB"/>
    <w:rsid w:val="0028314F"/>
    <w:rsid w:val="00287C54"/>
    <w:rsid w:val="002A648F"/>
    <w:rsid w:val="002B0B83"/>
    <w:rsid w:val="002B1F76"/>
    <w:rsid w:val="002C2823"/>
    <w:rsid w:val="002D36BB"/>
    <w:rsid w:val="002E1332"/>
    <w:rsid w:val="00301747"/>
    <w:rsid w:val="00325E9D"/>
    <w:rsid w:val="00327F5C"/>
    <w:rsid w:val="00340ADC"/>
    <w:rsid w:val="00343491"/>
    <w:rsid w:val="00345199"/>
    <w:rsid w:val="00346D51"/>
    <w:rsid w:val="00350C2C"/>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94B0C"/>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342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5171B"/>
    <w:rsid w:val="00A6675F"/>
    <w:rsid w:val="00A67C25"/>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060C7"/>
    <w:rsid w:val="00D45461"/>
    <w:rsid w:val="00D55E55"/>
    <w:rsid w:val="00D663ED"/>
    <w:rsid w:val="00D67A17"/>
    <w:rsid w:val="00D74882"/>
    <w:rsid w:val="00D759EE"/>
    <w:rsid w:val="00D956AA"/>
    <w:rsid w:val="00DA330B"/>
    <w:rsid w:val="00DA45C4"/>
    <w:rsid w:val="00DA543F"/>
    <w:rsid w:val="00DC0173"/>
    <w:rsid w:val="00DC11EA"/>
    <w:rsid w:val="00DC4056"/>
    <w:rsid w:val="00DE2472"/>
    <w:rsid w:val="00DE32FD"/>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91398"/>
  <w15:docId w15:val="{1CE1F7AF-50A3-4AE9-A3A5-3A614432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UnresolvedMention">
    <w:name w:val="Unresolved Mention"/>
    <w:basedOn w:val="DefaultParagraphFont"/>
    <w:uiPriority w:val="99"/>
    <w:semiHidden/>
    <w:unhideWhenUsed/>
    <w:rsid w:val="00DA330B"/>
    <w:rPr>
      <w:color w:val="808080"/>
      <w:shd w:val="clear" w:color="auto" w:fill="E6E6E6"/>
    </w:rPr>
  </w:style>
  <w:style w:type="character" w:styleId="CommentReference">
    <w:name w:val="annotation reference"/>
    <w:basedOn w:val="DefaultParagraphFont"/>
    <w:uiPriority w:val="99"/>
    <w:semiHidden/>
    <w:unhideWhenUsed/>
    <w:rsid w:val="00594B0C"/>
    <w:rPr>
      <w:sz w:val="16"/>
      <w:szCs w:val="16"/>
    </w:rPr>
  </w:style>
  <w:style w:type="paragraph" w:styleId="CommentText">
    <w:name w:val="annotation text"/>
    <w:basedOn w:val="Normal"/>
    <w:link w:val="CommentTextChar"/>
    <w:uiPriority w:val="99"/>
    <w:semiHidden/>
    <w:unhideWhenUsed/>
    <w:rsid w:val="00594B0C"/>
    <w:pPr>
      <w:spacing w:line="240" w:lineRule="auto"/>
    </w:pPr>
    <w:rPr>
      <w:sz w:val="20"/>
      <w:szCs w:val="20"/>
    </w:rPr>
  </w:style>
  <w:style w:type="character" w:customStyle="1" w:styleId="CommentTextChar">
    <w:name w:val="Comment Text Char"/>
    <w:basedOn w:val="DefaultParagraphFont"/>
    <w:link w:val="CommentText"/>
    <w:uiPriority w:val="99"/>
    <w:semiHidden/>
    <w:rsid w:val="00594B0C"/>
    <w:rPr>
      <w:sz w:val="20"/>
      <w:szCs w:val="20"/>
    </w:rPr>
  </w:style>
  <w:style w:type="paragraph" w:styleId="CommentSubject">
    <w:name w:val="annotation subject"/>
    <w:basedOn w:val="CommentText"/>
    <w:next w:val="CommentText"/>
    <w:link w:val="CommentSubjectChar"/>
    <w:uiPriority w:val="99"/>
    <w:semiHidden/>
    <w:unhideWhenUsed/>
    <w:rsid w:val="00594B0C"/>
    <w:rPr>
      <w:b/>
      <w:bCs/>
    </w:rPr>
  </w:style>
  <w:style w:type="character" w:customStyle="1" w:styleId="CommentSubjectChar">
    <w:name w:val="Comment Subject Char"/>
    <w:basedOn w:val="CommentTextChar"/>
    <w:link w:val="CommentSubject"/>
    <w:uiPriority w:val="99"/>
    <w:semiHidden/>
    <w:rsid w:val="00594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142650055">
      <w:bodyDiv w:val="1"/>
      <w:marLeft w:val="0"/>
      <w:marRight w:val="0"/>
      <w:marTop w:val="0"/>
      <w:marBottom w:val="0"/>
      <w:divBdr>
        <w:top w:val="none" w:sz="0" w:space="0" w:color="auto"/>
        <w:left w:val="none" w:sz="0" w:space="0" w:color="auto"/>
        <w:bottom w:val="none" w:sz="0" w:space="0" w:color="auto"/>
        <w:right w:val="none" w:sz="0" w:space="0" w:color="auto"/>
      </w:divBdr>
    </w:div>
    <w:div w:id="206105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nsw.gov.au"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F865-26BD-4325-A568-9FDD0A5C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3</TotalTime>
  <Pages>6</Pages>
  <Words>1736</Words>
  <Characters>9901</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Key accountabilities</vt:lpstr>
      <vt:lpstr>Role dimensions</vt:lpstr>
      <vt:lpstr>    Decision making</vt:lpstr>
      <vt:lpstr>    Reporting line</vt:lpstr>
      <vt:lpstr>    Direct reports</vt:lpstr>
      <vt:lpstr>    Budget/Expenditure</vt:lpstr>
      <vt:lpstr>Capabilities for the role</vt:lpstr>
      <vt:lpstr>    Capability summary</vt:lpstr>
      <vt:lpstr>    </vt:lpstr>
      <vt:lpstr>    Focus capabilities</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Jennifer Cwyk</cp:lastModifiedBy>
  <cp:revision>3</cp:revision>
  <dcterms:created xsi:type="dcterms:W3CDTF">2022-03-31T22:24:00Z</dcterms:created>
  <dcterms:modified xsi:type="dcterms:W3CDTF">2022-03-31T22:26:00Z</dcterms:modified>
</cp:coreProperties>
</file>