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9077E2" w:rsidRPr="00DC0173" w:rsidRDefault="00E95F38" w:rsidP="00DC0173">
            <w:pPr>
              <w:pStyle w:val="TableTextWhite"/>
              <w:rPr>
                <w:b/>
              </w:rPr>
            </w:pPr>
            <w:r>
              <w:rPr>
                <w:b/>
              </w:rPr>
              <w:t>Cluster</w:t>
            </w:r>
          </w:p>
        </w:tc>
        <w:tc>
          <w:tcPr>
            <w:tcW w:w="6561" w:type="dxa"/>
          </w:tcPr>
          <w:p w:rsidR="009077E2" w:rsidRPr="00DC0173" w:rsidRDefault="004F0D7D" w:rsidP="00DC0173">
            <w:pPr>
              <w:pStyle w:val="TableTextWhite"/>
            </w:pPr>
            <w:r>
              <w:t>Stronger Communities</w:t>
            </w:r>
          </w:p>
        </w:tc>
      </w:tr>
      <w:tr w:rsidR="009077E2" w:rsidRPr="00DC0173" w:rsidTr="008476E6">
        <w:tc>
          <w:tcPr>
            <w:tcW w:w="4026" w:type="dxa"/>
            <w:vAlign w:val="center"/>
          </w:tcPr>
          <w:p w:rsidR="009077E2" w:rsidRPr="00DC0173" w:rsidRDefault="00E95F38" w:rsidP="00DC0173">
            <w:pPr>
              <w:pStyle w:val="TableTextWhite"/>
              <w:rPr>
                <w:b/>
              </w:rPr>
            </w:pPr>
            <w:r>
              <w:rPr>
                <w:b/>
              </w:rPr>
              <w:t>Agency</w:t>
            </w:r>
          </w:p>
        </w:tc>
        <w:tc>
          <w:tcPr>
            <w:tcW w:w="6561" w:type="dxa"/>
          </w:tcPr>
          <w:p w:rsidR="009077E2" w:rsidRPr="00DC0173" w:rsidRDefault="00E95F38" w:rsidP="00DC0173">
            <w:pPr>
              <w:pStyle w:val="TableTextWhite"/>
            </w:pPr>
            <w:r>
              <w:t>NSW Rural Fire Service</w:t>
            </w:r>
          </w:p>
        </w:tc>
      </w:tr>
      <w:tr w:rsidR="009077E2" w:rsidRPr="00DC0173" w:rsidTr="008476E6">
        <w:tc>
          <w:tcPr>
            <w:tcW w:w="4026" w:type="dxa"/>
            <w:vAlign w:val="center"/>
          </w:tcPr>
          <w:p w:rsidR="009077E2" w:rsidRPr="00DC0173" w:rsidRDefault="00DC33E1" w:rsidP="00DC0173">
            <w:pPr>
              <w:pStyle w:val="TableTextWhite"/>
              <w:rPr>
                <w:b/>
              </w:rPr>
            </w:pPr>
            <w:r>
              <w:rPr>
                <w:b/>
              </w:rPr>
              <w:t>Directorate</w:t>
            </w:r>
          </w:p>
        </w:tc>
        <w:tc>
          <w:tcPr>
            <w:tcW w:w="6561" w:type="dxa"/>
          </w:tcPr>
          <w:p w:rsidR="009077E2" w:rsidRPr="00DC0173" w:rsidRDefault="00E95F38" w:rsidP="00DC0173">
            <w:pPr>
              <w:pStyle w:val="TableTextWhite"/>
            </w:pPr>
            <w:r>
              <w:t>Infrastructure Services / ICT</w:t>
            </w:r>
          </w:p>
        </w:tc>
      </w:tr>
      <w:tr w:rsidR="009077E2" w:rsidRPr="00DC0173" w:rsidTr="008476E6">
        <w:tc>
          <w:tcPr>
            <w:tcW w:w="4026" w:type="dxa"/>
            <w:vAlign w:val="center"/>
          </w:tcPr>
          <w:p w:rsidR="009077E2" w:rsidRPr="00DC0173" w:rsidRDefault="00E95F38" w:rsidP="00DC0173">
            <w:pPr>
              <w:pStyle w:val="TableTextWhite"/>
              <w:rPr>
                <w:b/>
              </w:rPr>
            </w:pPr>
            <w:r>
              <w:rPr>
                <w:b/>
              </w:rPr>
              <w:t>Location</w:t>
            </w:r>
          </w:p>
        </w:tc>
        <w:tc>
          <w:tcPr>
            <w:tcW w:w="6561" w:type="dxa"/>
          </w:tcPr>
          <w:p w:rsidR="009077E2" w:rsidRPr="00DC0173" w:rsidRDefault="00E95F38" w:rsidP="00DC0173">
            <w:pPr>
              <w:pStyle w:val="TableTextWhite"/>
            </w:pPr>
            <w:r>
              <w:t>Sydney Olympic Park</w:t>
            </w:r>
          </w:p>
        </w:tc>
      </w:tr>
      <w:tr w:rsidR="009077E2" w:rsidRPr="00DC0173" w:rsidTr="008476E6">
        <w:tc>
          <w:tcPr>
            <w:tcW w:w="4026" w:type="dxa"/>
            <w:vAlign w:val="center"/>
          </w:tcPr>
          <w:p w:rsidR="009077E2" w:rsidRPr="00DC0173" w:rsidRDefault="00DC33E1" w:rsidP="00DC0173">
            <w:pPr>
              <w:pStyle w:val="TableTextWhite"/>
              <w:rPr>
                <w:b/>
              </w:rPr>
            </w:pPr>
            <w:r>
              <w:rPr>
                <w:b/>
              </w:rPr>
              <w:t>Grade</w:t>
            </w:r>
          </w:p>
        </w:tc>
        <w:tc>
          <w:tcPr>
            <w:tcW w:w="6561" w:type="dxa"/>
          </w:tcPr>
          <w:p w:rsidR="009077E2" w:rsidRPr="00DC0173" w:rsidRDefault="000A4162" w:rsidP="00DC0173">
            <w:pPr>
              <w:pStyle w:val="TableTextWhite"/>
            </w:pPr>
            <w:r w:rsidRPr="000A4162">
              <w:rPr>
                <w:color w:val="FFFFFF" w:themeColor="background1"/>
              </w:rPr>
              <w:t>RFS 12/13</w:t>
            </w:r>
          </w:p>
        </w:tc>
      </w:tr>
      <w:tr w:rsidR="00DC33E1" w:rsidRPr="00DC0173" w:rsidTr="008476E6">
        <w:tc>
          <w:tcPr>
            <w:tcW w:w="4026" w:type="dxa"/>
            <w:vAlign w:val="center"/>
          </w:tcPr>
          <w:p w:rsidR="00DC33E1" w:rsidRDefault="00DC33E1" w:rsidP="00DC0173">
            <w:pPr>
              <w:pStyle w:val="TableTextWhite"/>
              <w:rPr>
                <w:b/>
              </w:rPr>
            </w:pPr>
            <w:r>
              <w:rPr>
                <w:b/>
              </w:rPr>
              <w:t>Role number</w:t>
            </w:r>
          </w:p>
        </w:tc>
        <w:tc>
          <w:tcPr>
            <w:tcW w:w="6561" w:type="dxa"/>
          </w:tcPr>
          <w:p w:rsidR="00DC33E1" w:rsidRDefault="00BD311D" w:rsidP="00DC0173">
            <w:pPr>
              <w:pStyle w:val="TableTextWhite"/>
            </w:pPr>
            <w:r>
              <w:t>52008542</w:t>
            </w:r>
          </w:p>
        </w:tc>
      </w:tr>
      <w:tr w:rsidR="009077E2" w:rsidRPr="00DC0173" w:rsidTr="008476E6">
        <w:tc>
          <w:tcPr>
            <w:tcW w:w="4026" w:type="dxa"/>
            <w:vAlign w:val="center"/>
          </w:tcPr>
          <w:p w:rsidR="009077E2" w:rsidRPr="00DC0173" w:rsidRDefault="00E95F38" w:rsidP="00DC0173">
            <w:pPr>
              <w:pStyle w:val="TableTextWhite"/>
              <w:rPr>
                <w:b/>
              </w:rPr>
            </w:pPr>
            <w:r>
              <w:rPr>
                <w:b/>
              </w:rPr>
              <w:t>ANZSCO Code</w:t>
            </w:r>
          </w:p>
        </w:tc>
        <w:tc>
          <w:tcPr>
            <w:tcW w:w="6561" w:type="dxa"/>
          </w:tcPr>
          <w:p w:rsidR="009077E2" w:rsidRPr="00DC0173" w:rsidRDefault="00E95F38" w:rsidP="00DC0173">
            <w:pPr>
              <w:pStyle w:val="TableTextWhite"/>
            </w:pPr>
            <w:r>
              <w:t>135199</w:t>
            </w:r>
          </w:p>
        </w:tc>
      </w:tr>
      <w:tr w:rsidR="009077E2" w:rsidRPr="00DC0173" w:rsidTr="008476E6">
        <w:tc>
          <w:tcPr>
            <w:tcW w:w="4026" w:type="dxa"/>
            <w:vAlign w:val="center"/>
          </w:tcPr>
          <w:p w:rsidR="009077E2" w:rsidRPr="00DC0173" w:rsidRDefault="00E95F38" w:rsidP="00DC0173">
            <w:pPr>
              <w:pStyle w:val="TableTextWhite"/>
              <w:rPr>
                <w:b/>
              </w:rPr>
            </w:pPr>
            <w:r>
              <w:rPr>
                <w:b/>
              </w:rPr>
              <w:t>PCAT Code</w:t>
            </w:r>
          </w:p>
        </w:tc>
        <w:tc>
          <w:tcPr>
            <w:tcW w:w="6561" w:type="dxa"/>
          </w:tcPr>
          <w:p w:rsidR="009077E2" w:rsidRPr="00DC0173" w:rsidRDefault="00401FB8" w:rsidP="00DC0173">
            <w:pPr>
              <w:pStyle w:val="TableTextWhite"/>
            </w:pPr>
            <w:r>
              <w:t>1119192</w:t>
            </w:r>
          </w:p>
        </w:tc>
      </w:tr>
      <w:tr w:rsidR="009077E2" w:rsidRPr="00DC0173" w:rsidTr="008476E6">
        <w:tc>
          <w:tcPr>
            <w:tcW w:w="4026" w:type="dxa"/>
            <w:vAlign w:val="center"/>
          </w:tcPr>
          <w:p w:rsidR="009077E2" w:rsidRPr="00DC0173" w:rsidRDefault="00E95F38" w:rsidP="00DC0173">
            <w:pPr>
              <w:pStyle w:val="TableTextWhite"/>
              <w:rPr>
                <w:b/>
              </w:rPr>
            </w:pPr>
            <w:r>
              <w:rPr>
                <w:b/>
              </w:rPr>
              <w:t>Date of Approval</w:t>
            </w:r>
          </w:p>
        </w:tc>
        <w:tc>
          <w:tcPr>
            <w:tcW w:w="6561" w:type="dxa"/>
          </w:tcPr>
          <w:p w:rsidR="009077E2" w:rsidRPr="00DC0173" w:rsidRDefault="004F0D7D" w:rsidP="00DC0173">
            <w:pPr>
              <w:pStyle w:val="TableTextWhite"/>
            </w:pPr>
            <w:r>
              <w:t>16</w:t>
            </w:r>
            <w:r w:rsidR="00E95F38">
              <w:t xml:space="preserve"> July 2019</w:t>
            </w:r>
          </w:p>
        </w:tc>
      </w:tr>
      <w:tr w:rsidR="009077E2" w:rsidRPr="00DC0173" w:rsidTr="008476E6">
        <w:tc>
          <w:tcPr>
            <w:tcW w:w="4026" w:type="dxa"/>
            <w:vAlign w:val="center"/>
          </w:tcPr>
          <w:p w:rsidR="009077E2" w:rsidRPr="00DC0173" w:rsidRDefault="00E95F38" w:rsidP="00DC0173">
            <w:pPr>
              <w:pStyle w:val="TableTextWhite"/>
              <w:rPr>
                <w:b/>
              </w:rPr>
            </w:pPr>
            <w:r>
              <w:rPr>
                <w:b/>
              </w:rPr>
              <w:t>Agency Website</w:t>
            </w:r>
          </w:p>
        </w:tc>
        <w:tc>
          <w:tcPr>
            <w:tcW w:w="6561" w:type="dxa"/>
          </w:tcPr>
          <w:p w:rsidR="009077E2" w:rsidRPr="00DC0173" w:rsidRDefault="00DC33E1" w:rsidP="00DC0173">
            <w:pPr>
              <w:pStyle w:val="TableTextWhite"/>
            </w:pPr>
            <w:r w:rsidRPr="00DC33E1">
              <w:rPr>
                <w:rStyle w:val="Hyperlink"/>
              </w:rPr>
              <w:t>https://www.rfs.nsw.gov.au/</w:t>
            </w:r>
          </w:p>
        </w:tc>
        <w:bookmarkStart w:id="0" w:name="Cluster"/>
        <w:bookmarkEnd w:id="0"/>
      </w:tr>
    </w:tbl>
    <w:p w:rsidR="006A2280" w:rsidRDefault="006A2280" w:rsidP="006A2280">
      <w:pPr>
        <w:tabs>
          <w:tab w:val="left" w:pos="2925"/>
        </w:tabs>
      </w:pPr>
    </w:p>
    <w:p w:rsidR="00F47143" w:rsidRPr="00614552" w:rsidRDefault="00F47143" w:rsidP="006A2280">
      <w:pPr>
        <w:tabs>
          <w:tab w:val="left" w:pos="2925"/>
        </w:tabs>
        <w:rPr>
          <w:rStyle w:val="Heading1Char"/>
        </w:rPr>
      </w:pPr>
      <w:r w:rsidRPr="00614552">
        <w:rPr>
          <w:rStyle w:val="Heading1Char"/>
        </w:rPr>
        <w:t>Agency overview</w:t>
      </w:r>
    </w:p>
    <w:p w:rsidR="004F0D7D" w:rsidRPr="004F0D7D" w:rsidRDefault="004F0D7D" w:rsidP="004F0D7D">
      <w:pPr>
        <w:tabs>
          <w:tab w:val="left" w:pos="2925"/>
        </w:tabs>
        <w:rPr>
          <w:rFonts w:cs="Arial"/>
        </w:rPr>
      </w:pPr>
      <w:r w:rsidRPr="004F0D7D">
        <w:rPr>
          <w:rFonts w:cs="Arial"/>
        </w:rPr>
        <w:t xml:space="preserve">The NSW Rural Fire Service (NSW RFS) is established under the </w:t>
      </w:r>
      <w:r w:rsidRPr="00596111">
        <w:rPr>
          <w:rFonts w:cs="Arial"/>
          <w:i/>
        </w:rPr>
        <w:t>Rural Fires Act 1997</w:t>
      </w:r>
      <w:r w:rsidRPr="004F0D7D">
        <w:rPr>
          <w:rFonts w:cs="Arial"/>
        </w:rPr>
        <w:t xml:space="preserve"> as the lead combat agency for bush fires in NSW. The agency also operates under the </w:t>
      </w:r>
      <w:bookmarkStart w:id="1" w:name="_GoBack"/>
      <w:r w:rsidRPr="00596111">
        <w:rPr>
          <w:rFonts w:cs="Arial"/>
          <w:i/>
        </w:rPr>
        <w:t>State Emergency and Rescue Management Act 1989</w:t>
      </w:r>
      <w:bookmarkEnd w:id="1"/>
      <w:r w:rsidRPr="004F0D7D">
        <w:rPr>
          <w:rFonts w:cs="Arial"/>
        </w:rPr>
        <w:t>. For over 100 years the NSW RFS has been a significant part of the history and landscape of NSW and is widely acknowledged as the largest volunteer fire service in the world. The agency strives to provide a world standard of excellence in the provision of a community based fire and emergency service through training, community education, prevent</w:t>
      </w:r>
      <w:r>
        <w:rPr>
          <w:rFonts w:cs="Arial"/>
        </w:rPr>
        <w:t>ion and operational capability.</w:t>
      </w:r>
    </w:p>
    <w:p w:rsidR="004F0D7D" w:rsidRDefault="004F0D7D" w:rsidP="004F0D7D">
      <w:pPr>
        <w:tabs>
          <w:tab w:val="left" w:pos="2925"/>
        </w:tabs>
        <w:rPr>
          <w:rFonts w:cs="Arial"/>
        </w:rPr>
      </w:pPr>
      <w:r w:rsidRPr="004F0D7D">
        <w:rPr>
          <w:rFonts w:cs="Arial"/>
        </w:rPr>
        <w:t>Fighting fires and protecting the community from emergencies is the most visible aspect of the NSW RFS. The Service also has many responsibilities as the lead agency for bush fire management and mitigation in NSW. Working closely with other agencies, the NSW RFS responds to a range of emergencies including structure fires, motor vehicle accidents and storms that occur within rural fire districts.</w:t>
      </w:r>
    </w:p>
    <w:p w:rsidR="00037FD5" w:rsidRPr="00614552" w:rsidRDefault="00037FD5" w:rsidP="004F0D7D">
      <w:pPr>
        <w:tabs>
          <w:tab w:val="left" w:pos="2925"/>
        </w:tabs>
        <w:rPr>
          <w:rStyle w:val="Heading1Char"/>
        </w:rPr>
      </w:pPr>
      <w:r w:rsidRPr="00614552">
        <w:rPr>
          <w:rStyle w:val="Heading1Char"/>
        </w:rPr>
        <w:t>Primary purpose of the role</w:t>
      </w:r>
    </w:p>
    <w:p w:rsidR="0013413E" w:rsidRDefault="00037FD5" w:rsidP="006A2280">
      <w:pPr>
        <w:tabs>
          <w:tab w:val="left" w:pos="2925"/>
        </w:tabs>
        <w:rPr>
          <w:rFonts w:ascii="Georgia" w:hAnsi="Georgia"/>
        </w:rPr>
      </w:pPr>
      <w:r w:rsidRPr="00614552">
        <w:rPr>
          <w:rFonts w:cs="Arial"/>
        </w:rPr>
        <w:t>The role manages a team that drives day-to-day functional delivery of highly available ICT infrastructure and operational communication systems that reflect contemporary best practice and achieves optimal business outcomes for an emergency service organisation.</w:t>
      </w:r>
    </w:p>
    <w:p w:rsidR="00F339CD" w:rsidRDefault="00F339CD" w:rsidP="00614552">
      <w:pPr>
        <w:pStyle w:val="Heading1"/>
      </w:pPr>
      <w:r w:rsidRPr="00A14A03">
        <w:t>Key accountabilities</w:t>
      </w:r>
    </w:p>
    <w:p w:rsidR="00F339CD" w:rsidRPr="004F0D7D" w:rsidRDefault="00F339CD" w:rsidP="004F0D7D">
      <w:pPr>
        <w:pStyle w:val="ListParagraph"/>
        <w:numPr>
          <w:ilvl w:val="0"/>
          <w:numId w:val="7"/>
        </w:numPr>
        <w:tabs>
          <w:tab w:val="left" w:pos="2925"/>
        </w:tabs>
        <w:rPr>
          <w:rFonts w:cs="Arial"/>
        </w:rPr>
      </w:pPr>
      <w:r w:rsidRPr="004F0D7D">
        <w:rPr>
          <w:rFonts w:cs="Arial"/>
        </w:rPr>
        <w:t>Manage and oversee the support and training of enterprise and spatial systems, ICT, radio and paging networks across the NSW RFS, including the provision of active monitoring and continuous improvement to the security framework.</w:t>
      </w:r>
    </w:p>
    <w:p w:rsidR="00F339CD" w:rsidRPr="004F0D7D" w:rsidRDefault="00F339CD" w:rsidP="004F0D7D">
      <w:pPr>
        <w:pStyle w:val="ListParagraph"/>
        <w:numPr>
          <w:ilvl w:val="0"/>
          <w:numId w:val="7"/>
        </w:numPr>
        <w:tabs>
          <w:tab w:val="left" w:pos="2925"/>
        </w:tabs>
        <w:rPr>
          <w:rFonts w:cs="Arial"/>
        </w:rPr>
      </w:pPr>
      <w:r w:rsidRPr="004F0D7D">
        <w:rPr>
          <w:rFonts w:cs="Arial"/>
        </w:rPr>
        <w:t>Define the strategic outcomes for the organisations architecture for telecommunications, audio visual and other specialty technology solutions and provide guidance to ensure the adherence to adopted standards</w:t>
      </w:r>
      <w:r w:rsidR="004F0D7D">
        <w:rPr>
          <w:rFonts w:cs="Arial"/>
        </w:rPr>
        <w:t>.</w:t>
      </w:r>
    </w:p>
    <w:p w:rsidR="00F339CD" w:rsidRPr="004F0D7D" w:rsidRDefault="00F339CD" w:rsidP="004F0D7D">
      <w:pPr>
        <w:pStyle w:val="ListParagraph"/>
        <w:numPr>
          <w:ilvl w:val="0"/>
          <w:numId w:val="7"/>
        </w:numPr>
        <w:tabs>
          <w:tab w:val="left" w:pos="2925"/>
        </w:tabs>
        <w:rPr>
          <w:rFonts w:cs="Arial"/>
        </w:rPr>
      </w:pPr>
      <w:r w:rsidRPr="004F0D7D">
        <w:rPr>
          <w:rFonts w:cs="Arial"/>
        </w:rPr>
        <w:lastRenderedPageBreak/>
        <w:t>Oversee the development of initial project planning and scheduling activities and ensure appropriate project controls (risk, scheduling and budgetary controls) are applied to projects.</w:t>
      </w:r>
    </w:p>
    <w:p w:rsidR="00F339CD" w:rsidRPr="004F0D7D" w:rsidRDefault="00F339CD" w:rsidP="004F0D7D">
      <w:pPr>
        <w:pStyle w:val="ListParagraph"/>
        <w:numPr>
          <w:ilvl w:val="0"/>
          <w:numId w:val="7"/>
        </w:numPr>
        <w:tabs>
          <w:tab w:val="left" w:pos="2925"/>
        </w:tabs>
        <w:rPr>
          <w:rFonts w:cs="Arial"/>
        </w:rPr>
      </w:pPr>
      <w:r w:rsidRPr="004F0D7D">
        <w:rPr>
          <w:rFonts w:cs="Arial"/>
        </w:rPr>
        <w:t>Sets the standard and oversees the audit and compliance for all ICT and operational communication infrastructure for all sites, facilities and fleet.</w:t>
      </w:r>
    </w:p>
    <w:p w:rsidR="00F339CD" w:rsidRPr="004F0D7D" w:rsidRDefault="00F339CD" w:rsidP="004F0D7D">
      <w:pPr>
        <w:pStyle w:val="ListParagraph"/>
        <w:numPr>
          <w:ilvl w:val="0"/>
          <w:numId w:val="7"/>
        </w:numPr>
        <w:tabs>
          <w:tab w:val="left" w:pos="2925"/>
        </w:tabs>
        <w:rPr>
          <w:rFonts w:cs="Arial"/>
        </w:rPr>
      </w:pPr>
      <w:r w:rsidRPr="004F0D7D">
        <w:rPr>
          <w:rFonts w:cs="Arial"/>
        </w:rPr>
        <w:t>Oversee the management of vendor, tender, contract, and suppliers for ICT infrastructure and operational communication systems, hardware, software, and licensing agreements to ensure that all services are fit for purpose and allow for emerging technology.</w:t>
      </w:r>
    </w:p>
    <w:p w:rsidR="00F339CD" w:rsidRPr="004F0D7D" w:rsidRDefault="00F339CD" w:rsidP="004F0D7D">
      <w:pPr>
        <w:pStyle w:val="ListParagraph"/>
        <w:numPr>
          <w:ilvl w:val="0"/>
          <w:numId w:val="7"/>
        </w:numPr>
        <w:tabs>
          <w:tab w:val="left" w:pos="2925"/>
        </w:tabs>
        <w:rPr>
          <w:rFonts w:cs="Arial"/>
        </w:rPr>
      </w:pPr>
      <w:r w:rsidRPr="004F0D7D">
        <w:rPr>
          <w:rFonts w:cs="Arial"/>
        </w:rPr>
        <w:t>Lead the design of fully integrated technology and platform solutions to deliver in alignment with the current architecture with the flexibility to cost effectively move to future state architecture with minimal impact.</w:t>
      </w:r>
    </w:p>
    <w:p w:rsidR="00F339CD" w:rsidRPr="004F0D7D" w:rsidRDefault="00F339CD" w:rsidP="004F0D7D">
      <w:pPr>
        <w:pStyle w:val="ListParagraph"/>
        <w:numPr>
          <w:ilvl w:val="0"/>
          <w:numId w:val="7"/>
        </w:numPr>
        <w:tabs>
          <w:tab w:val="left" w:pos="2925"/>
        </w:tabs>
        <w:rPr>
          <w:rFonts w:cs="Arial"/>
        </w:rPr>
      </w:pPr>
      <w:r w:rsidRPr="004F0D7D">
        <w:rPr>
          <w:rFonts w:cs="Arial"/>
        </w:rPr>
        <w:t>Lead and manage the team and its relationship with networks, customers and stakeholders such that projects and tasks are appropriately assigned, performance is suitably monitored and improved, issues are dealt with appropriately and relevant professional development opportunities are made available to team members.</w:t>
      </w:r>
    </w:p>
    <w:p w:rsidR="00F339CD" w:rsidRPr="004F0D7D" w:rsidRDefault="00F339CD" w:rsidP="004F0D7D">
      <w:pPr>
        <w:pStyle w:val="ListParagraph"/>
        <w:numPr>
          <w:ilvl w:val="0"/>
          <w:numId w:val="7"/>
        </w:numPr>
        <w:tabs>
          <w:tab w:val="left" w:pos="2925"/>
        </w:tabs>
        <w:rPr>
          <w:rFonts w:cs="Arial"/>
        </w:rPr>
      </w:pPr>
      <w:r w:rsidRPr="004F0D7D">
        <w:rPr>
          <w:rFonts w:cs="Arial"/>
        </w:rPr>
        <w:t>Proactively liaise and coordinate with other Emergency Service agencies and key Government authorities to maintain the NSW RFS as a key stakeholder and contributor in ongoing projects and objectives. Enhance and foster relationships to identify emerging opportunities for collaboration in the delivery of innovative solutions and systems.</w:t>
      </w:r>
    </w:p>
    <w:p w:rsidR="001D097C" w:rsidRPr="00614552" w:rsidRDefault="001D097C" w:rsidP="006A2280">
      <w:pPr>
        <w:tabs>
          <w:tab w:val="left" w:pos="2925"/>
        </w:tabs>
        <w:rPr>
          <w:rStyle w:val="Heading1Char"/>
        </w:rPr>
      </w:pPr>
      <w:r w:rsidRPr="00614552">
        <w:rPr>
          <w:rStyle w:val="Heading1Char"/>
        </w:rPr>
        <w:t>Key challenges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Identify and address complex ICT service delivery issues and provide alternate solutions based on well considered and balanced assessment of the facts and consequences, while considering competing demands to ensure day-to-day service delivery is maintained and project objectives are achieved.</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Keeping up to date with current legislation, standards and best practices associated with telecommunication and remain current with software, technologies, trends/issues, standards, methodologies and practices within the spatial information and ICT industries to ensure quality of support service provided.</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Providing direction across a geographically dispersed team, managing competing requirements of multiple stakeholders to achieve a satisfactory outcome in an environment with complex multi-tenanted networks and ICT systems with conflicting operational priorities.</w:t>
      </w:r>
    </w:p>
    <w:p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BD7BA7">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Internal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Director / Executive Director</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Escalate issues, keep informed, advise and receive instructions</w:t>
            </w:r>
          </w:p>
        </w:tc>
      </w:tr>
      <w:tr w:rsidR="00BB532F" w:rsidRPr="00C978B9" w:rsidTr="00CE105E">
        <w:tc>
          <w:tcPr>
            <w:tcW w:w="3601" w:type="dxa"/>
            <w:tcBorders>
              <w:top w:val="single" w:sz="8" w:space="0" w:color="auto"/>
              <w:bottom w:val="single" w:sz="8" w:space="0" w:color="BCBEC0"/>
            </w:tcBorders>
          </w:tcPr>
          <w:p w:rsidR="00BB532F" w:rsidRPr="00A15CDB" w:rsidRDefault="001336E8" w:rsidP="008E52B6">
            <w:pPr>
              <w:pStyle w:val="TableText"/>
            </w:pPr>
            <w:r>
              <w:t xml:space="preserve">Members </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Resolve issues and provide solutions to problems</w:t>
            </w:r>
          </w:p>
          <w:p w:rsidR="00BB532F" w:rsidRPr="00A15CDB" w:rsidRDefault="001336E8" w:rsidP="00022223">
            <w:pPr>
              <w:pStyle w:val="TableText"/>
              <w:numPr>
                <w:ilvl w:val="0"/>
                <w:numId w:val="3"/>
              </w:numPr>
            </w:pPr>
            <w:r>
              <w:t>Provide strategic advice for business improvement.</w:t>
            </w:r>
          </w:p>
          <w:p w:rsidR="00BB532F" w:rsidRPr="00A15CDB" w:rsidRDefault="001336E8" w:rsidP="00022223">
            <w:pPr>
              <w:pStyle w:val="TableText"/>
              <w:numPr>
                <w:ilvl w:val="0"/>
                <w:numId w:val="3"/>
              </w:numPr>
            </w:pPr>
            <w:r>
              <w:t>Provide technological advice to improve day to day business performance.</w:t>
            </w:r>
          </w:p>
          <w:p w:rsidR="00BB532F" w:rsidRPr="00A15CDB" w:rsidRDefault="001336E8" w:rsidP="00022223">
            <w:pPr>
              <w:pStyle w:val="TableText"/>
              <w:numPr>
                <w:ilvl w:val="0"/>
                <w:numId w:val="3"/>
              </w:numPr>
            </w:pPr>
            <w:r>
              <w:t>Provide technical and/or hardware support services.</w:t>
            </w:r>
          </w:p>
          <w:p w:rsidR="00BB532F" w:rsidRPr="00A15CDB" w:rsidRDefault="001336E8" w:rsidP="00022223">
            <w:pPr>
              <w:pStyle w:val="TableText"/>
              <w:numPr>
                <w:ilvl w:val="0"/>
                <w:numId w:val="3"/>
              </w:numPr>
            </w:pPr>
            <w:r>
              <w:t>Ensure compliance with agency and sector rules and standards.</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Work team</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Inspire and motivate team, provide direction, and manage performance.</w:t>
            </w:r>
          </w:p>
          <w:p w:rsidR="00BB532F" w:rsidRPr="00A15CDB" w:rsidRDefault="001336E8" w:rsidP="00022223">
            <w:pPr>
              <w:pStyle w:val="TableText"/>
              <w:numPr>
                <w:ilvl w:val="0"/>
                <w:numId w:val="3"/>
              </w:numPr>
            </w:pPr>
            <w:r>
              <w:t>Guide, support, coach, and mentor team members.</w:t>
            </w:r>
          </w:p>
          <w:p w:rsidR="00BB532F" w:rsidRPr="00A15CDB" w:rsidRDefault="001336E8" w:rsidP="00022223">
            <w:pPr>
              <w:pStyle w:val="TableText"/>
              <w:numPr>
                <w:ilvl w:val="0"/>
                <w:numId w:val="3"/>
              </w:numPr>
            </w:pPr>
            <w:r>
              <w:lastRenderedPageBreak/>
              <w:t>Review the work and proposals of team members.</w:t>
            </w:r>
          </w:p>
          <w:p w:rsidR="00BB532F" w:rsidRPr="00A15CDB" w:rsidRDefault="001336E8" w:rsidP="00022223">
            <w:pPr>
              <w:pStyle w:val="TableText"/>
              <w:numPr>
                <w:ilvl w:val="0"/>
                <w:numId w:val="3"/>
              </w:numPr>
            </w:pPr>
            <w:r>
              <w:t>Encourage team to work collaboratively to contribute to achieving team’s business outcomes.</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lastRenderedPageBreak/>
              <w:t>Internal committees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Chair or participate as a member on a number of internal committees which vary from time to time.</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External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Industry leaders, other Government Agencies &amp; Emergency Services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Participate in forums, groups to represent agency and share information.</w:t>
            </w:r>
          </w:p>
          <w:p w:rsidR="00BB532F" w:rsidRPr="00A15CDB" w:rsidRDefault="001336E8" w:rsidP="00022223">
            <w:pPr>
              <w:pStyle w:val="TableText"/>
              <w:numPr>
                <w:ilvl w:val="0"/>
                <w:numId w:val="3"/>
              </w:numPr>
            </w:pPr>
            <w:r>
              <w:t>Participate in discussions regarding innovation and best practice.</w:t>
            </w:r>
          </w:p>
          <w:p w:rsidR="00BB532F" w:rsidRPr="00A15CDB" w:rsidRDefault="001336E8" w:rsidP="00022223">
            <w:pPr>
              <w:pStyle w:val="TableText"/>
              <w:numPr>
                <w:ilvl w:val="0"/>
                <w:numId w:val="3"/>
              </w:numPr>
            </w:pPr>
            <w:r>
              <w:t>Participate in cross agency support programs and collaborative initiatives.</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External Committees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Participate as a member on a number of external committees which may vary from time to time.</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Contract partners, vendors and suppliers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Develop supply relationships.</w:t>
            </w:r>
          </w:p>
          <w:p w:rsidR="00BB532F" w:rsidRPr="00A15CDB" w:rsidRDefault="001336E8" w:rsidP="00022223">
            <w:pPr>
              <w:pStyle w:val="TableText"/>
              <w:numPr>
                <w:ilvl w:val="0"/>
                <w:numId w:val="3"/>
              </w:numPr>
            </w:pPr>
            <w:r>
              <w:t>Broker contract term changes.</w:t>
            </w:r>
          </w:p>
          <w:p w:rsidR="00BB532F" w:rsidRPr="00A15CDB" w:rsidRDefault="001336E8" w:rsidP="00022223">
            <w:pPr>
              <w:pStyle w:val="TableText"/>
              <w:numPr>
                <w:ilvl w:val="0"/>
                <w:numId w:val="3"/>
              </w:numPr>
            </w:pPr>
            <w:r>
              <w:t>Receive and provide terms and conditions of business.</w:t>
            </w:r>
          </w:p>
          <w:p w:rsidR="00BB532F" w:rsidRPr="00A15CDB" w:rsidRDefault="001336E8" w:rsidP="00022223">
            <w:pPr>
              <w:pStyle w:val="TableText"/>
              <w:numPr>
                <w:ilvl w:val="0"/>
                <w:numId w:val="3"/>
              </w:numPr>
            </w:pPr>
            <w:r>
              <w:t>Escalate issues to address current and potential problems.</w:t>
            </w:r>
          </w:p>
          <w:p w:rsidR="00BB532F" w:rsidRPr="00A15CDB" w:rsidRDefault="001336E8" w:rsidP="00022223">
            <w:pPr>
              <w:pStyle w:val="TableText"/>
              <w:numPr>
                <w:ilvl w:val="0"/>
                <w:numId w:val="3"/>
              </w:numPr>
            </w:pPr>
            <w:r>
              <w:t>Review Service Level Agreements and key performance indicators.</w:t>
            </w:r>
          </w:p>
        </w:tc>
      </w:tr>
    </w:tbl>
    <w:p w:rsidR="00BB532F" w:rsidRDefault="00BB532F"/>
    <w:p w:rsidR="00603D53" w:rsidRDefault="00603D53" w:rsidP="00614552">
      <w:pPr>
        <w:pStyle w:val="Heading1"/>
        <w:rPr>
          <w:sz w:val="28"/>
        </w:rPr>
      </w:pPr>
      <w:r w:rsidRPr="00614552">
        <w:t>Role dimensions</w:t>
      </w:r>
    </w:p>
    <w:p w:rsidR="00603D53" w:rsidRPr="00614552" w:rsidRDefault="00603D53" w:rsidP="00614552">
      <w:pPr>
        <w:pStyle w:val="Heading2"/>
      </w:pPr>
      <w:r w:rsidRPr="00614552">
        <w:t>Decision making</w:t>
      </w:r>
    </w:p>
    <w:p w:rsidR="00D75CFC" w:rsidRPr="004F0D7D" w:rsidRDefault="00603D53" w:rsidP="004F0D7D">
      <w:pPr>
        <w:rPr>
          <w:rFonts w:cs="Arial"/>
          <w:szCs w:val="26"/>
        </w:rPr>
      </w:pPr>
      <w:r w:rsidRPr="004F0D7D">
        <w:rPr>
          <w:rFonts w:cs="Arial"/>
          <w:szCs w:val="26"/>
        </w:rPr>
        <w:t xml:space="preserve">The incumbent is expected to comply with the Work Health and Safety Act and associated legislation in the performance of all duties. </w:t>
      </w:r>
    </w:p>
    <w:p w:rsidR="00D75CFC" w:rsidRPr="004F0D7D" w:rsidRDefault="00603D53" w:rsidP="004F0D7D">
      <w:pPr>
        <w:rPr>
          <w:rFonts w:cs="Arial"/>
          <w:szCs w:val="26"/>
        </w:rPr>
      </w:pPr>
      <w:r w:rsidRPr="004F0D7D">
        <w:rPr>
          <w:rFonts w:cs="Arial"/>
          <w:szCs w:val="26"/>
        </w:rPr>
        <w:t xml:space="preserve">The role routinely makes their own decisions concerning assigned work and related matters, operating within standards, policies, procedures and relevant legislation. </w:t>
      </w:r>
    </w:p>
    <w:p w:rsidR="00D75CFC" w:rsidRPr="004F0D7D" w:rsidRDefault="00603D53" w:rsidP="004F0D7D">
      <w:pPr>
        <w:rPr>
          <w:rFonts w:cs="Arial"/>
          <w:szCs w:val="26"/>
        </w:rPr>
      </w:pPr>
      <w:r w:rsidRPr="004F0D7D">
        <w:rPr>
          <w:rFonts w:cs="Arial"/>
          <w:szCs w:val="26"/>
        </w:rPr>
        <w:t xml:space="preserve">The role seeks advice about matters that may be outside the scope of their normal activities or that might attract significant criticism or concern. </w:t>
      </w:r>
    </w:p>
    <w:p w:rsidR="00D75CFC" w:rsidRPr="004F0D7D" w:rsidRDefault="00603D53" w:rsidP="004F0D7D">
      <w:pPr>
        <w:rPr>
          <w:rFonts w:cs="Arial"/>
          <w:szCs w:val="26"/>
        </w:rPr>
      </w:pPr>
      <w:r w:rsidRPr="004F0D7D">
        <w:rPr>
          <w:rFonts w:cs="Arial"/>
          <w:szCs w:val="26"/>
        </w:rPr>
        <w:t>The role is guided in its decision making by the relevant Service Standard on De</w:t>
      </w:r>
      <w:r w:rsidR="00D75CFC" w:rsidRPr="004F0D7D">
        <w:rPr>
          <w:rFonts w:cs="Arial"/>
          <w:szCs w:val="26"/>
        </w:rPr>
        <w:t xml:space="preserve">legations and Authorisations. </w:t>
      </w:r>
    </w:p>
    <w:p w:rsidR="00603D53" w:rsidRPr="004F0D7D" w:rsidRDefault="00603D53" w:rsidP="004F0D7D">
      <w:pPr>
        <w:rPr>
          <w:rFonts w:cs="Arial"/>
          <w:szCs w:val="26"/>
        </w:rPr>
      </w:pPr>
      <w:r w:rsidRPr="004F0D7D">
        <w:rPr>
          <w:rFonts w:cs="Arial"/>
          <w:szCs w:val="26"/>
        </w:rPr>
        <w:t>The role is expected to adhere to government policies and guidelines as well as ICT standards and industry best practice.</w:t>
      </w:r>
    </w:p>
    <w:p w:rsidR="00603D53" w:rsidRPr="00614552" w:rsidRDefault="00603D53" w:rsidP="00614552">
      <w:pPr>
        <w:pStyle w:val="Heading2"/>
      </w:pPr>
      <w:r w:rsidRPr="00614552">
        <w:t>Reporting line</w:t>
      </w:r>
    </w:p>
    <w:p w:rsidR="00603D53" w:rsidRPr="00603D53" w:rsidRDefault="004F0D7D">
      <w:pPr>
        <w:rPr>
          <w:rFonts w:cs="Arial"/>
          <w:szCs w:val="26"/>
        </w:rPr>
      </w:pPr>
      <w:r>
        <w:rPr>
          <w:rFonts w:cs="Arial"/>
          <w:szCs w:val="26"/>
        </w:rPr>
        <w:t xml:space="preserve">The role reports to the </w:t>
      </w:r>
      <w:r w:rsidR="00603D53" w:rsidRPr="00603D53">
        <w:rPr>
          <w:rFonts w:cs="Arial"/>
          <w:szCs w:val="26"/>
        </w:rPr>
        <w:t xml:space="preserve">Director </w:t>
      </w:r>
      <w:r w:rsidR="009F5EDF">
        <w:rPr>
          <w:rFonts w:cs="Arial"/>
          <w:szCs w:val="26"/>
        </w:rPr>
        <w:t>Information Communication Technology.</w:t>
      </w:r>
    </w:p>
    <w:p w:rsidR="00603D53" w:rsidRPr="00614552" w:rsidRDefault="00603D53" w:rsidP="00614552">
      <w:pPr>
        <w:pStyle w:val="Heading2"/>
      </w:pPr>
      <w:r w:rsidRPr="00614552">
        <w:t>Direct reports</w:t>
      </w:r>
    </w:p>
    <w:p w:rsidR="00603D53" w:rsidRPr="00603D53" w:rsidRDefault="004F0D7D">
      <w:pPr>
        <w:rPr>
          <w:rFonts w:cs="Arial"/>
          <w:szCs w:val="26"/>
        </w:rPr>
      </w:pPr>
      <w:r>
        <w:rPr>
          <w:rFonts w:cs="Arial"/>
          <w:szCs w:val="26"/>
        </w:rPr>
        <w:t xml:space="preserve">The role has </w:t>
      </w:r>
      <w:r w:rsidR="00603D53" w:rsidRPr="00603D53">
        <w:rPr>
          <w:rFonts w:cs="Arial"/>
          <w:szCs w:val="26"/>
        </w:rPr>
        <w:t>4</w:t>
      </w:r>
      <w:r>
        <w:rPr>
          <w:rFonts w:cs="Arial"/>
          <w:szCs w:val="26"/>
        </w:rPr>
        <w:t xml:space="preserve"> direct reports.</w:t>
      </w:r>
    </w:p>
    <w:p w:rsidR="00603D53" w:rsidRPr="00614552" w:rsidRDefault="00603D53" w:rsidP="00614552">
      <w:pPr>
        <w:pStyle w:val="Heading2"/>
      </w:pPr>
      <w:r w:rsidRPr="00614552">
        <w:t>Budget/Expenditure</w:t>
      </w:r>
    </w:p>
    <w:p w:rsidR="00603D53" w:rsidRDefault="00603D53">
      <w:pPr>
        <w:rPr>
          <w:rFonts w:cs="Arial"/>
          <w:szCs w:val="26"/>
        </w:rPr>
      </w:pPr>
      <w:r w:rsidRPr="00603D53">
        <w:rPr>
          <w:rFonts w:cs="Arial"/>
          <w:szCs w:val="26"/>
        </w:rPr>
        <w:t>$9M</w:t>
      </w:r>
      <w:r w:rsidR="004F0D7D">
        <w:rPr>
          <w:rFonts w:cs="Arial"/>
          <w:szCs w:val="26"/>
        </w:rPr>
        <w:t>.</w:t>
      </w:r>
    </w:p>
    <w:p w:rsidR="004F0D7D" w:rsidRPr="00603D53" w:rsidRDefault="004F0D7D">
      <w:pPr>
        <w:rPr>
          <w:rFonts w:cs="Arial"/>
          <w:szCs w:val="26"/>
        </w:rPr>
      </w:pPr>
    </w:p>
    <w:p w:rsidR="00205A8A" w:rsidRPr="00614552" w:rsidRDefault="00205A8A" w:rsidP="00205A8A">
      <w:pPr>
        <w:tabs>
          <w:tab w:val="left" w:pos="2925"/>
        </w:tabs>
        <w:rPr>
          <w:rStyle w:val="Heading1Char"/>
        </w:rPr>
      </w:pPr>
      <w:r w:rsidRPr="00614552">
        <w:rPr>
          <w:rStyle w:val="Heading1Char"/>
        </w:rPr>
        <w:t>Essential requirements</w:t>
      </w:r>
    </w:p>
    <w:p w:rsidR="00205A8A" w:rsidRDefault="00205A8A" w:rsidP="00E20C64">
      <w:pPr>
        <w:tabs>
          <w:tab w:val="left" w:pos="2925"/>
        </w:tabs>
        <w:spacing w:after="0" w:line="240" w:lineRule="auto"/>
        <w:rPr>
          <w:rFonts w:ascii="Georgia" w:hAnsi="Georgia"/>
        </w:rPr>
      </w:pPr>
      <w:r w:rsidRPr="00614552">
        <w:rPr>
          <w:rFonts w:cs="Arial"/>
        </w:rPr>
        <w:t>• A Degree or Graduate Certificate in a relevant discipline.</w:t>
      </w:r>
    </w:p>
    <w:p w:rsidR="00205A8A" w:rsidRDefault="00205A8A" w:rsidP="00E20C64">
      <w:pPr>
        <w:tabs>
          <w:tab w:val="left" w:pos="2925"/>
        </w:tabs>
        <w:spacing w:after="0" w:line="240" w:lineRule="auto"/>
        <w:rPr>
          <w:rFonts w:ascii="Georgia" w:hAnsi="Georgia"/>
        </w:rPr>
      </w:pPr>
      <w:r w:rsidRPr="00614552">
        <w:rPr>
          <w:rFonts w:cs="Arial"/>
        </w:rPr>
        <w:t>• Current drivers licence, ability and willingness to travel.</w:t>
      </w:r>
    </w:p>
    <w:p w:rsidR="00205A8A" w:rsidRDefault="00205A8A" w:rsidP="00E20C64">
      <w:pPr>
        <w:tabs>
          <w:tab w:val="left" w:pos="2925"/>
        </w:tabs>
        <w:spacing w:after="0" w:line="240" w:lineRule="auto"/>
        <w:rPr>
          <w:rFonts w:ascii="Georgia" w:hAnsi="Georgia"/>
        </w:rPr>
      </w:pPr>
      <w:r w:rsidRPr="00614552">
        <w:rPr>
          <w:rFonts w:cs="Arial"/>
        </w:rPr>
        <w:t>• Required to participate on an afterhours and/or on call roster.</w:t>
      </w:r>
    </w:p>
    <w:p w:rsidR="00205A8A" w:rsidRDefault="00205A8A" w:rsidP="00E20C64">
      <w:pPr>
        <w:tabs>
          <w:tab w:val="left" w:pos="2925"/>
        </w:tabs>
        <w:spacing w:after="0" w:line="240" w:lineRule="auto"/>
        <w:rPr>
          <w:rFonts w:ascii="Georgia" w:hAnsi="Georgia"/>
        </w:rPr>
      </w:pPr>
      <w:r w:rsidRPr="00614552">
        <w:rPr>
          <w:rFonts w:cs="Arial"/>
        </w:rPr>
        <w:t>• During periods of major fire activity, the incumbent may be required to support operational management activities consistent with their skills and background.</w:t>
      </w:r>
    </w:p>
    <w:p w:rsidR="00994DCE" w:rsidRPr="00C978B9" w:rsidRDefault="00994DCE" w:rsidP="00994DCE">
      <w:pPr>
        <w:pStyle w:val="Heading1"/>
      </w:pPr>
      <w:r w:rsidRPr="00C978B9">
        <w:t>Capabilities for the role</w:t>
      </w:r>
    </w:p>
    <w:p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8" w:history="1">
        <w:r w:rsidRPr="00325E9D">
          <w:rPr>
            <w:rStyle w:val="Hyperlink"/>
            <w:rFonts w:cs="Arial"/>
            <w:sz w:val="22"/>
          </w:rPr>
          <w:t>www.psc.nsw.gov.au/capabilityframework</w:t>
        </w:r>
      </w:hyperlink>
    </w:p>
    <w:p w:rsidR="00B876AF" w:rsidRDefault="00B262BC" w:rsidP="00442732">
      <w:r w:rsidRPr="00B262BC">
        <w:rPr>
          <w:rFonts w:cs="Arial"/>
        </w:rPr>
        <w:t xml:space="preserve">This role also </w:t>
      </w:r>
      <w:proofErr w:type="spellStart"/>
      <w:r w:rsidRPr="00B262BC">
        <w:rPr>
          <w:rFonts w:cs="Arial"/>
        </w:rPr>
        <w:t>utilises</w:t>
      </w:r>
      <w:proofErr w:type="spellEnd"/>
      <w:r w:rsidRPr="00B262BC">
        <w:rPr>
          <w:rFonts w:cs="Arial"/>
        </w:rPr>
        <w:t xml:space="preserve"> an </w:t>
      </w:r>
      <w:hyperlink r:id="rId9" w:history="1">
        <w:r w:rsidRPr="00AF3FE7">
          <w:rPr>
            <w:rStyle w:val="Hyperlink"/>
            <w:rFonts w:cs="Arial"/>
            <w:sz w:val="22"/>
          </w:rPr>
          <w:t>occupation specific capability set</w:t>
        </w:r>
      </w:hyperlink>
      <w:r w:rsidRPr="00B262BC">
        <w:rPr>
          <w:rFonts w:cs="Arial"/>
        </w:rPr>
        <w:t>.</w:t>
      </w:r>
    </w:p>
    <w:p w:rsidR="00994DCE" w:rsidRPr="00C978B9" w:rsidRDefault="00994DCE" w:rsidP="00994DCE">
      <w:pPr>
        <w:pStyle w:val="Heading2"/>
      </w:pPr>
      <w:r w:rsidRPr="00C978B9">
        <w:t xml:space="preserve">Capability </w:t>
      </w:r>
      <w:r>
        <w:t>s</w:t>
      </w:r>
      <w:r w:rsidRPr="00C978B9">
        <w:t>ummary</w:t>
      </w:r>
    </w:p>
    <w:p w:rsidR="00340ADC" w:rsidRDefault="00994DCE">
      <w:r w:rsidRPr="00325E9D">
        <w:rPr>
          <w:rFonts w:cs="Arial"/>
        </w:rPr>
        <w:t xml:space="preserve">Below is the full list of capabilities and the level required for this </w:t>
      </w:r>
      <w:proofErr w:type="gramStart"/>
      <w:r w:rsidRPr="00325E9D">
        <w:rPr>
          <w:rFonts w:cs="Arial"/>
        </w:rPr>
        <w:t>role.</w:t>
      </w:r>
      <w:proofErr w:type="gramEnd"/>
      <w:r w:rsidRPr="00325E9D">
        <w:rPr>
          <w:rFonts w:cs="Arial"/>
        </w:rPr>
        <w:t xml:space="preserv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6"/>
        <w:gridCol w:w="5425"/>
        <w:gridCol w:w="3339"/>
      </w:tblGrid>
      <w:tr w:rsidR="00FD3076" w:rsidRPr="00803E4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FD3076" w:rsidRPr="00803E47" w:rsidRDefault="00FD3076" w:rsidP="00FD3076">
            <w:pPr>
              <w:pStyle w:val="TableTextWhite0"/>
              <w:keepNext/>
            </w:pPr>
            <w:r>
              <w:lastRenderedPageBreak/>
              <w:t>NSW Public Sector Capability Framework</w:t>
            </w:r>
          </w:p>
        </w:tc>
      </w:tr>
      <w:tr w:rsidR="00FD3076" w:rsidRPr="00C978B9"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Pr>
                <w:b/>
              </w:rPr>
              <w:t>Level</w:t>
            </w:r>
          </w:p>
        </w:tc>
      </w:tr>
      <w:tr w:rsidR="00373737" w:rsidRPr="00C978B9" w:rsidTr="00A41E4E">
        <w:tc>
          <w:tcPr>
            <w:tcW w:w="2042" w:type="dxa"/>
            <w:vMerge w:val="restart"/>
            <w:tcBorders>
              <w:top w:val="gems" w:sz="8" w:space="0" w:color="BCBEC0"/>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0"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rsidR="00373737" w:rsidRPr="00610758" w:rsidRDefault="006B723B" w:rsidP="006B723B">
            <w:pPr>
              <w:pStyle w:val="TableText"/>
              <w:keepNext/>
              <w:rPr>
                <w:b/>
                <w:sz w:val="24"/>
                <w:szCs w:val="24"/>
              </w:rPr>
            </w:pPr>
            <w:r>
              <w:rPr>
                <w:b/>
              </w:rPr>
              <w:t>Display Resilience and Courage</w:t>
            </w:r>
          </w:p>
        </w:tc>
        <w:tc>
          <w:tcPr>
            <w:tcW w:w="3357" w:type="dxa"/>
            <w:tcBorders>
              <w:top w:val="gems" w:sz="8" w:space="0" w:color="BCBEC0"/>
              <w:bottom w:val="single" w:sz="8" w:space="0" w:color="BCBEC0"/>
            </w:tcBorders>
          </w:tcPr>
          <w:p w:rsidR="00373737" w:rsidRPr="00610758" w:rsidRDefault="006B723B" w:rsidP="006B723B">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Act with Integrity</w:t>
            </w:r>
          </w:p>
        </w:tc>
        <w:tc>
          <w:tcPr>
            <w:tcW w:w="3357" w:type="dxa"/>
            <w:tcBorders>
              <w:top w:val="single" w:sz="8" w:space="0" w:color="BCBEC0"/>
            </w:tcBorders>
          </w:tcPr>
          <w:p w:rsidR="00373737" w:rsidRPr="00A15CDB" w:rsidRDefault="006B723B" w:rsidP="006B723B">
            <w:pPr>
              <w:pStyle w:val="TableText"/>
              <w:keepNext/>
            </w:pPr>
            <w:r>
              <w:t>Adept</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Manage Self</w:t>
            </w:r>
          </w:p>
        </w:tc>
        <w:tc>
          <w:tcPr>
            <w:tcW w:w="3357" w:type="dxa"/>
            <w:tcBorders>
              <w:bottom w:val="single" w:sz="4" w:space="0" w:color="BCBEC0"/>
            </w:tcBorders>
          </w:tcPr>
          <w:p w:rsidR="00373737" w:rsidRPr="00610758" w:rsidRDefault="0001016C" w:rsidP="0001016C">
            <w:pPr>
              <w:pStyle w:val="TableText"/>
              <w:keepNext/>
              <w:rPr>
                <w:b/>
              </w:rPr>
            </w:pPr>
            <w:r>
              <w:rPr>
                <w:b/>
              </w:rPr>
              <w:t>Advanced</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Value Diversity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sz w:val="24"/>
                <w:szCs w:val="24"/>
              </w:rPr>
            </w:pPr>
            <w:r>
              <w:t>Communicate Effectively</w:t>
            </w:r>
          </w:p>
        </w:tc>
        <w:tc>
          <w:tcPr>
            <w:tcW w:w="3357" w:type="dxa"/>
            <w:tcBorders>
              <w:top w:val="single" w:sz="12" w:space="0" w:color="auto"/>
              <w:bottom w:val="single" w:sz="8" w:space="0" w:color="BCBEC0"/>
            </w:tcBorders>
          </w:tcPr>
          <w:p w:rsidR="00373737" w:rsidRPr="00610758" w:rsidRDefault="006B723B" w:rsidP="006B723B">
            <w:pPr>
              <w:pStyle w:val="TableText"/>
              <w:keepNext/>
            </w:pPr>
            <w:r>
              <w:t>Adept</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Commit to Customer Service</w:t>
            </w:r>
          </w:p>
        </w:tc>
        <w:tc>
          <w:tcPr>
            <w:tcW w:w="3357" w:type="dxa"/>
            <w:tcBorders>
              <w:bottom w:val="single" w:sz="4" w:space="0" w:color="BCBEC0"/>
            </w:tcBorders>
          </w:tcPr>
          <w:p w:rsidR="00373737" w:rsidRPr="00610758" w:rsidRDefault="0001016C" w:rsidP="0001016C">
            <w:pPr>
              <w:pStyle w:val="TableText"/>
              <w:keepNext/>
              <w:rPr>
                <w:b/>
              </w:rPr>
            </w:pPr>
            <w:r>
              <w:rPr>
                <w:b/>
              </w:rPr>
              <w:t>Advanced</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Work Collaboratively</w:t>
            </w:r>
          </w:p>
        </w:tc>
        <w:tc>
          <w:tcPr>
            <w:tcW w:w="3357" w:type="dxa"/>
            <w:tcBorders>
              <w:bottom w:val="single" w:sz="4" w:space="0" w:color="BCBEC0"/>
            </w:tcBorders>
          </w:tcPr>
          <w:p w:rsidR="00373737" w:rsidRPr="00610758" w:rsidRDefault="0001016C" w:rsidP="0001016C">
            <w:pPr>
              <w:pStyle w:val="TableText"/>
              <w:keepNext/>
              <w:rPr>
                <w:b/>
              </w:rPr>
            </w:pPr>
            <w:r>
              <w:rPr>
                <w:b/>
              </w:rPr>
              <w:t>Advanced</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Influence and Negotiate</w:t>
            </w:r>
          </w:p>
        </w:tc>
        <w:tc>
          <w:tcPr>
            <w:tcW w:w="3357" w:type="dxa"/>
            <w:tcBorders>
              <w:top w:val="single" w:sz="8" w:space="0" w:color="BCBEC0"/>
            </w:tcBorders>
          </w:tcPr>
          <w:p w:rsidR="00373737" w:rsidRPr="00A15CDB" w:rsidRDefault="006B723B" w:rsidP="006B723B">
            <w:pPr>
              <w:pStyle w:val="TableText"/>
              <w:keepNext/>
            </w:pPr>
            <w:r>
              <w:t>Adept</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Deliver Results</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Plan and Prioritise</w:t>
            </w:r>
          </w:p>
        </w:tc>
        <w:tc>
          <w:tcPr>
            <w:tcW w:w="3357" w:type="dxa"/>
            <w:tcBorders>
              <w:top w:val="single" w:sz="8" w:space="0" w:color="BCBEC0"/>
            </w:tcBorders>
          </w:tcPr>
          <w:p w:rsidR="00373737" w:rsidRPr="00A15CDB" w:rsidRDefault="006B723B" w:rsidP="006B723B">
            <w:pPr>
              <w:pStyle w:val="TableText"/>
              <w:keepNext/>
            </w:pPr>
            <w: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Think and Solve Problems</w:t>
            </w:r>
          </w:p>
        </w:tc>
        <w:tc>
          <w:tcPr>
            <w:tcW w:w="3357" w:type="dxa"/>
            <w:tcBorders>
              <w:top w:val="single" w:sz="8" w:space="0" w:color="BCBEC0"/>
            </w:tcBorders>
          </w:tcPr>
          <w:p w:rsidR="00373737" w:rsidRPr="00A15CDB" w:rsidRDefault="006B723B" w:rsidP="006B723B">
            <w:pPr>
              <w:pStyle w:val="TableText"/>
              <w:keepNext/>
            </w:pPr>
            <w:r>
              <w:t>Advanced</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Demonstrate Accountability</w:t>
            </w:r>
          </w:p>
        </w:tc>
        <w:tc>
          <w:tcPr>
            <w:tcW w:w="3357" w:type="dxa"/>
            <w:tcBorders>
              <w:top w:val="single" w:sz="8" w:space="0" w:color="BCBEC0"/>
            </w:tcBorders>
          </w:tcPr>
          <w:p w:rsidR="00373737" w:rsidRPr="00A15CDB" w:rsidRDefault="006B723B" w:rsidP="006B723B">
            <w:pPr>
              <w:pStyle w:val="TableText"/>
              <w:keepNext/>
            </w:pPr>
            <w:r>
              <w:t>Adept</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sz w:val="24"/>
                <w:szCs w:val="24"/>
              </w:rPr>
            </w:pPr>
            <w:r>
              <w:t>Finance</w:t>
            </w:r>
          </w:p>
        </w:tc>
        <w:tc>
          <w:tcPr>
            <w:tcW w:w="3357" w:type="dxa"/>
            <w:tcBorders>
              <w:top w:val="single" w:sz="12" w:space="0" w:color="auto"/>
              <w:bottom w:val="single" w:sz="8" w:space="0" w:color="BCBEC0"/>
            </w:tcBorders>
          </w:tcPr>
          <w:p w:rsidR="00373737" w:rsidRPr="00610758" w:rsidRDefault="006B723B" w:rsidP="006B723B">
            <w:pPr>
              <w:pStyle w:val="TableText"/>
              <w:keepNext/>
            </w:pPr>
            <w:r>
              <w:t>Adept</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Technology</w:t>
            </w:r>
          </w:p>
        </w:tc>
        <w:tc>
          <w:tcPr>
            <w:tcW w:w="3357" w:type="dxa"/>
            <w:tcBorders>
              <w:bottom w:val="single" w:sz="4" w:space="0" w:color="BCBEC0"/>
            </w:tcBorders>
          </w:tcPr>
          <w:p w:rsidR="00373737" w:rsidRPr="00610758" w:rsidRDefault="0001016C" w:rsidP="0001016C">
            <w:pPr>
              <w:pStyle w:val="TableText"/>
              <w:keepNext/>
              <w:rPr>
                <w:b/>
              </w:rPr>
            </w:pPr>
            <w:r>
              <w:rPr>
                <w:b/>
              </w:rPr>
              <w:t>Advanced</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Procurement and Contract Management</w:t>
            </w:r>
          </w:p>
        </w:tc>
        <w:tc>
          <w:tcPr>
            <w:tcW w:w="3357" w:type="dxa"/>
            <w:tcBorders>
              <w:top w:val="single" w:sz="8" w:space="0" w:color="BCBEC0"/>
            </w:tcBorders>
          </w:tcPr>
          <w:p w:rsidR="00373737" w:rsidRPr="00A15CDB" w:rsidRDefault="006B723B" w:rsidP="006B723B">
            <w:pPr>
              <w:pStyle w:val="TableText"/>
              <w:keepNext/>
            </w:pPr>
            <w: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Project Management</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5"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ople-management-icon.jpg"/>
                          <pic:cNvPicPr/>
                        </pic:nvPicPr>
                        <pic:blipFill>
                          <a:blip r:embed="rId14"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Manage and Develop People</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Advanced</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Inspire Direction and Purpose</w:t>
            </w:r>
          </w:p>
        </w:tc>
        <w:tc>
          <w:tcPr>
            <w:tcW w:w="3357" w:type="dxa"/>
            <w:tcBorders>
              <w:top w:val="single" w:sz="8" w:space="0" w:color="BCBEC0"/>
            </w:tcBorders>
          </w:tcPr>
          <w:p w:rsidR="00373737" w:rsidRPr="00A15CDB" w:rsidRDefault="006B723B" w:rsidP="006B723B">
            <w:pPr>
              <w:pStyle w:val="TableText"/>
              <w:keepNext/>
            </w:pPr>
            <w: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Optimise Business Outcomes</w:t>
            </w:r>
          </w:p>
        </w:tc>
        <w:tc>
          <w:tcPr>
            <w:tcW w:w="3357" w:type="dxa"/>
            <w:tcBorders>
              <w:top w:val="single" w:sz="8" w:space="0" w:color="BCBEC0"/>
            </w:tcBorders>
          </w:tcPr>
          <w:p w:rsidR="00373737" w:rsidRPr="00A15CDB" w:rsidRDefault="006B723B" w:rsidP="006B723B">
            <w:pPr>
              <w:pStyle w:val="TableText"/>
              <w:keepNext/>
            </w:pPr>
            <w: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Manage Reform and Change</w:t>
            </w:r>
          </w:p>
        </w:tc>
        <w:tc>
          <w:tcPr>
            <w:tcW w:w="3357" w:type="dxa"/>
            <w:tcBorders>
              <w:top w:val="single" w:sz="8" w:space="0" w:color="BCBEC0"/>
            </w:tcBorders>
          </w:tcPr>
          <w:p w:rsidR="00373737" w:rsidRPr="00A15CDB" w:rsidRDefault="006B723B" w:rsidP="006B723B">
            <w:pPr>
              <w:pStyle w:val="TableText"/>
              <w:keepNext/>
            </w:pPr>
            <w:r>
              <w:t>Adept</w:t>
            </w:r>
          </w:p>
        </w:tc>
      </w:tr>
    </w:tbl>
    <w:p w:rsidR="002D36BB" w:rsidRDefault="002D36BB" w:rsidP="008E08E3"/>
    <w:tbl>
      <w:tblPr>
        <w:tblStyle w:val="PSCPurple"/>
        <w:tblW w:w="0" w:type="auto"/>
        <w:tblLook w:val="04A0" w:firstRow="1" w:lastRow="0" w:firstColumn="1" w:lastColumn="0" w:noHBand="0" w:noVBand="1"/>
        <w:tblCaption w:val="PSC_SFIACapabilitiesTable"/>
      </w:tblPr>
      <w:tblGrid>
        <w:gridCol w:w="2183"/>
        <w:gridCol w:w="6617"/>
        <w:gridCol w:w="2000"/>
      </w:tblGrid>
      <w:tr w:rsidR="002D36BB" w:rsidRPr="00803E47" w:rsidTr="00D75CFC">
        <w:trPr>
          <w:cnfStyle w:val="100000000000" w:firstRow="1" w:lastRow="0" w:firstColumn="0" w:lastColumn="0" w:oddVBand="0" w:evenVBand="0" w:oddHBand="0" w:evenHBand="0" w:firstRowFirstColumn="0" w:firstRowLastColumn="0" w:lastRowFirstColumn="0" w:lastRowLastColumn="0"/>
          <w:tblHeader/>
        </w:trPr>
        <w:tc>
          <w:tcPr>
            <w:tcW w:w="10800" w:type="dxa"/>
            <w:gridSpan w:val="3"/>
            <w:tcBorders>
              <w:top w:val="single" w:sz="8" w:space="0" w:color="BCBEC0"/>
              <w:bottom w:val="single" w:sz="8" w:space="0" w:color="BCBEC0"/>
            </w:tcBorders>
          </w:tcPr>
          <w:p w:rsidR="002D36BB" w:rsidRPr="00803E47" w:rsidRDefault="002D36BB" w:rsidP="006C18F8">
            <w:pPr>
              <w:pStyle w:val="TableTextWhite0"/>
              <w:keepNext/>
            </w:pPr>
            <w:bookmarkStart w:id="2" w:name="SFIA_ICTTable"/>
            <w:r w:rsidRPr="00803E47">
              <w:t>Occupation / profession specific capabilities</w:t>
            </w:r>
          </w:p>
        </w:tc>
      </w:tr>
      <w:tr w:rsidR="002D36BB" w:rsidRPr="00C978B9" w:rsidTr="00D75CFC">
        <w:trPr>
          <w:cnfStyle w:val="100000000000" w:firstRow="1" w:lastRow="0" w:firstColumn="0" w:lastColumn="0" w:oddVBand="0" w:evenVBand="0" w:oddHBand="0" w:evenHBand="0" w:firstRowFirstColumn="0" w:firstRowLastColumn="0" w:lastRowFirstColumn="0" w:lastRowLastColumn="0"/>
          <w:tblHeader/>
        </w:trPr>
        <w:tc>
          <w:tcPr>
            <w:tcW w:w="2183" w:type="dxa"/>
            <w:tcBorders>
              <w:top w:val="single" w:sz="8" w:space="0" w:color="BCBEC0"/>
              <w:bottom w:val="single" w:sz="8" w:space="0" w:color="BCBEC0"/>
            </w:tcBorders>
            <w:shd w:val="clear" w:color="auto" w:fill="BCBEC0"/>
          </w:tcPr>
          <w:p w:rsidR="002D36BB" w:rsidRPr="00C978B9" w:rsidRDefault="002D36BB" w:rsidP="006C18F8">
            <w:pPr>
              <w:pStyle w:val="TableText"/>
              <w:keepNext/>
              <w:rPr>
                <w:b/>
                <w:sz w:val="24"/>
                <w:szCs w:val="24"/>
              </w:rPr>
            </w:pPr>
            <w:r w:rsidRPr="00C978B9">
              <w:rPr>
                <w:b/>
              </w:rPr>
              <w:t>Capability Set</w:t>
            </w:r>
          </w:p>
        </w:tc>
        <w:tc>
          <w:tcPr>
            <w:tcW w:w="6617" w:type="dxa"/>
            <w:tcBorders>
              <w:top w:val="single" w:sz="8" w:space="0" w:color="BCBEC0"/>
              <w:bottom w:val="single" w:sz="8" w:space="0" w:color="BCBEC0"/>
            </w:tcBorders>
            <w:shd w:val="clear" w:color="auto" w:fill="BCBEC0"/>
          </w:tcPr>
          <w:p w:rsidR="002D36BB" w:rsidRPr="00C978B9" w:rsidRDefault="002D36BB" w:rsidP="0003263C">
            <w:pPr>
              <w:pStyle w:val="TableText"/>
              <w:keepNext/>
              <w:rPr>
                <w:b/>
                <w:sz w:val="24"/>
                <w:szCs w:val="24"/>
              </w:rPr>
            </w:pPr>
            <w:r w:rsidRPr="00021C23">
              <w:rPr>
                <w:b/>
              </w:rPr>
              <w:t>Category</w:t>
            </w:r>
            <w:r w:rsidR="0003263C">
              <w:rPr>
                <w:b/>
              </w:rPr>
              <w:t xml:space="preserve"> and</w:t>
            </w:r>
            <w:r w:rsidRPr="00021C23">
              <w:rPr>
                <w:b/>
              </w:rPr>
              <w:t xml:space="preserve"> Sub-category</w:t>
            </w:r>
          </w:p>
        </w:tc>
        <w:tc>
          <w:tcPr>
            <w:tcW w:w="2000" w:type="dxa"/>
            <w:tcBorders>
              <w:top w:val="single" w:sz="8" w:space="0" w:color="BCBEC0"/>
              <w:bottom w:val="single" w:sz="8" w:space="0" w:color="BCBEC0"/>
            </w:tcBorders>
            <w:shd w:val="clear" w:color="auto" w:fill="BCBEC0"/>
          </w:tcPr>
          <w:p w:rsidR="002D36BB" w:rsidRPr="00C978B9" w:rsidRDefault="002D36BB" w:rsidP="006C18F8">
            <w:pPr>
              <w:pStyle w:val="TableText"/>
              <w:keepNext/>
              <w:rPr>
                <w:b/>
                <w:sz w:val="24"/>
                <w:szCs w:val="24"/>
              </w:rPr>
            </w:pPr>
            <w:r w:rsidRPr="00C978B9">
              <w:rPr>
                <w:b/>
              </w:rPr>
              <w:t>Level and Code</w:t>
            </w:r>
          </w:p>
        </w:tc>
      </w:tr>
      <w:tr w:rsidR="00D75CFC" w:rsidRPr="00C978B9" w:rsidTr="00D75CFC">
        <w:trPr>
          <w:cantSplit/>
        </w:trPr>
        <w:tc>
          <w:tcPr>
            <w:tcW w:w="2183" w:type="dxa"/>
            <w:vMerge w:val="restart"/>
            <w:tcBorders>
              <w:top w:val="single" w:sz="8" w:space="0" w:color="BCBEC0"/>
            </w:tcBorders>
            <w:vAlign w:val="center"/>
          </w:tcPr>
          <w:p w:rsidR="00D75CFC" w:rsidRPr="00C978B9" w:rsidRDefault="00D75CFC" w:rsidP="00D75CFC">
            <w:pPr>
              <w:keepNext/>
            </w:pPr>
            <w:r>
              <w:rPr>
                <w:noProof/>
                <w:lang w:eastAsia="en-AU"/>
              </w:rPr>
              <w:drawing>
                <wp:inline distT="0" distB="0" distL="0" distR="0" wp14:anchorId="2CA5FF15" wp14:editId="7737A2EA">
                  <wp:extent cx="1247775" cy="5728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6617" w:type="dxa"/>
            <w:tcBorders>
              <w:top w:val="single" w:sz="8" w:space="0" w:color="BCBEC0"/>
            </w:tcBorders>
          </w:tcPr>
          <w:p w:rsidR="00D75CFC" w:rsidRPr="005C311D" w:rsidRDefault="00D75CFC" w:rsidP="00D75CFC">
            <w:pPr>
              <w:pStyle w:val="TableText"/>
              <w:spacing w:before="60" w:after="0"/>
              <w:rPr>
                <w:b/>
              </w:rPr>
            </w:pPr>
            <w:r w:rsidRPr="005C311D">
              <w:rPr>
                <w:b/>
              </w:rPr>
              <w:t>Strategy and Architecture – Service Design</w:t>
            </w:r>
          </w:p>
          <w:p w:rsidR="00D75CFC" w:rsidRPr="005C311D" w:rsidRDefault="00D75CFC" w:rsidP="00D75CFC">
            <w:pPr>
              <w:pStyle w:val="TableText"/>
              <w:spacing w:before="60" w:after="0"/>
              <w:rPr>
                <w:b/>
              </w:rPr>
            </w:pPr>
            <w:r w:rsidRPr="005C311D">
              <w:rPr>
                <w:b/>
              </w:rPr>
              <w:t>Service Level Management</w:t>
            </w:r>
          </w:p>
        </w:tc>
        <w:tc>
          <w:tcPr>
            <w:tcW w:w="2000" w:type="dxa"/>
            <w:tcBorders>
              <w:top w:val="single" w:sz="8" w:space="0" w:color="BCBEC0"/>
            </w:tcBorders>
          </w:tcPr>
          <w:p w:rsidR="00D75CFC" w:rsidRPr="005C311D" w:rsidRDefault="00D75CFC" w:rsidP="00D75CFC">
            <w:pPr>
              <w:pStyle w:val="TableText"/>
              <w:spacing w:before="60" w:after="0"/>
              <w:rPr>
                <w:b/>
              </w:rPr>
            </w:pPr>
            <w:r w:rsidRPr="005C311D">
              <w:rPr>
                <w:b/>
              </w:rPr>
              <w:t>Level 6 - SLMO</w:t>
            </w:r>
          </w:p>
        </w:tc>
      </w:tr>
      <w:tr w:rsidR="00D75CFC" w:rsidRPr="00C978B9" w:rsidTr="00D75CFC">
        <w:trPr>
          <w:cantSplit/>
        </w:trPr>
        <w:tc>
          <w:tcPr>
            <w:tcW w:w="2183" w:type="dxa"/>
            <w:vMerge/>
          </w:tcPr>
          <w:p w:rsidR="00D75CFC" w:rsidRPr="00C978B9" w:rsidRDefault="00D75CFC" w:rsidP="00D75CFC">
            <w:pPr>
              <w:keepNext/>
            </w:pPr>
          </w:p>
        </w:tc>
        <w:tc>
          <w:tcPr>
            <w:tcW w:w="6617" w:type="dxa"/>
          </w:tcPr>
          <w:p w:rsidR="00D75CFC" w:rsidRPr="005C311D" w:rsidRDefault="00D75CFC" w:rsidP="00D75CFC">
            <w:pPr>
              <w:pStyle w:val="TableText"/>
              <w:spacing w:before="60" w:after="0"/>
            </w:pPr>
            <w:r w:rsidRPr="005C311D">
              <w:t>Strategy and Architecture - Technical Strategy and Planning</w:t>
            </w:r>
          </w:p>
          <w:p w:rsidR="00D75CFC" w:rsidRPr="005C311D" w:rsidRDefault="00D75CFC" w:rsidP="00D75CFC">
            <w:pPr>
              <w:pStyle w:val="TableText"/>
              <w:spacing w:before="60" w:after="0"/>
            </w:pPr>
            <w:r w:rsidRPr="005C311D">
              <w:t>Methods and Tools</w:t>
            </w:r>
          </w:p>
        </w:tc>
        <w:tc>
          <w:tcPr>
            <w:tcW w:w="2000" w:type="dxa"/>
          </w:tcPr>
          <w:p w:rsidR="00D75CFC" w:rsidRPr="005C311D" w:rsidRDefault="00D75CFC" w:rsidP="00D75CFC">
            <w:pPr>
              <w:pStyle w:val="TableText"/>
              <w:spacing w:before="60" w:after="0"/>
            </w:pPr>
            <w:r w:rsidRPr="005C311D">
              <w:t>Level 5 - METL</w:t>
            </w:r>
          </w:p>
        </w:tc>
      </w:tr>
      <w:tr w:rsidR="00D75CFC" w:rsidRPr="00C978B9" w:rsidTr="00D75CFC">
        <w:trPr>
          <w:cantSplit/>
        </w:trPr>
        <w:tc>
          <w:tcPr>
            <w:tcW w:w="2183" w:type="dxa"/>
            <w:vMerge/>
          </w:tcPr>
          <w:p w:rsidR="00D75CFC" w:rsidRPr="00C978B9" w:rsidRDefault="00D75CFC" w:rsidP="00D75CFC">
            <w:pPr>
              <w:keepNext/>
            </w:pPr>
          </w:p>
        </w:tc>
        <w:tc>
          <w:tcPr>
            <w:tcW w:w="6617" w:type="dxa"/>
          </w:tcPr>
          <w:p w:rsidR="00D75CFC" w:rsidRPr="005C311D" w:rsidRDefault="00D75CFC" w:rsidP="00D75CFC">
            <w:pPr>
              <w:pStyle w:val="TableText"/>
              <w:spacing w:before="60" w:after="0"/>
              <w:rPr>
                <w:b/>
              </w:rPr>
            </w:pPr>
            <w:r w:rsidRPr="005C311D">
              <w:rPr>
                <w:b/>
              </w:rPr>
              <w:t>Relationships &amp; Engagement – Stakeholder Management</w:t>
            </w:r>
          </w:p>
          <w:p w:rsidR="00D75CFC" w:rsidRPr="005C311D" w:rsidRDefault="00D75CFC" w:rsidP="00D75CFC">
            <w:pPr>
              <w:pStyle w:val="TableText"/>
              <w:spacing w:before="60" w:after="0"/>
              <w:rPr>
                <w:b/>
              </w:rPr>
            </w:pPr>
            <w:r w:rsidRPr="005C311D">
              <w:rPr>
                <w:b/>
              </w:rPr>
              <w:t>Contract Management</w:t>
            </w:r>
          </w:p>
        </w:tc>
        <w:tc>
          <w:tcPr>
            <w:tcW w:w="2000" w:type="dxa"/>
          </w:tcPr>
          <w:p w:rsidR="00D75CFC" w:rsidRPr="005C311D" w:rsidRDefault="00D75CFC" w:rsidP="00D75CFC">
            <w:pPr>
              <w:pStyle w:val="TableText"/>
              <w:spacing w:before="60" w:after="0"/>
              <w:rPr>
                <w:b/>
              </w:rPr>
            </w:pPr>
            <w:r w:rsidRPr="005C311D">
              <w:rPr>
                <w:b/>
              </w:rPr>
              <w:t>Level 6 - ITCM</w:t>
            </w:r>
          </w:p>
        </w:tc>
      </w:tr>
      <w:tr w:rsidR="00D75CFC" w:rsidRPr="00C978B9" w:rsidTr="00D75CFC">
        <w:trPr>
          <w:cantSplit/>
        </w:trPr>
        <w:tc>
          <w:tcPr>
            <w:tcW w:w="2183" w:type="dxa"/>
            <w:vMerge/>
          </w:tcPr>
          <w:p w:rsidR="00D75CFC" w:rsidRPr="00C978B9" w:rsidRDefault="00D75CFC" w:rsidP="00D75CFC"/>
        </w:tc>
        <w:tc>
          <w:tcPr>
            <w:tcW w:w="6617" w:type="dxa"/>
            <w:tcBorders>
              <w:top w:val="single" w:sz="8" w:space="0" w:color="BCBEC0"/>
              <w:bottom w:val="single" w:sz="8" w:space="0" w:color="BCBEC0"/>
            </w:tcBorders>
            <w:vAlign w:val="center"/>
          </w:tcPr>
          <w:p w:rsidR="00D75CFC" w:rsidRPr="005C311D" w:rsidRDefault="00D75CFC" w:rsidP="00D75CFC">
            <w:pPr>
              <w:pStyle w:val="TableText"/>
            </w:pPr>
            <w:r w:rsidRPr="005C311D">
              <w:t>Delivery and Operation – Service Operations</w:t>
            </w:r>
          </w:p>
          <w:p w:rsidR="00D75CFC" w:rsidRPr="005C311D" w:rsidRDefault="00D75CFC" w:rsidP="00D75CFC">
            <w:pPr>
              <w:pStyle w:val="TableText"/>
              <w:spacing w:before="60" w:after="0"/>
              <w:rPr>
                <w:b/>
              </w:rPr>
            </w:pPr>
            <w:r w:rsidRPr="005C311D">
              <w:t xml:space="preserve">Security Administration </w:t>
            </w:r>
          </w:p>
        </w:tc>
        <w:tc>
          <w:tcPr>
            <w:tcW w:w="2000" w:type="dxa"/>
            <w:tcBorders>
              <w:top w:val="single" w:sz="8" w:space="0" w:color="BCBEC0"/>
              <w:bottom w:val="single" w:sz="8" w:space="0" w:color="BCBEC0"/>
            </w:tcBorders>
            <w:vAlign w:val="center"/>
          </w:tcPr>
          <w:p w:rsidR="00D75CFC" w:rsidRPr="005C311D" w:rsidRDefault="00D75CFC" w:rsidP="00D75CFC">
            <w:pPr>
              <w:pStyle w:val="TableText"/>
              <w:spacing w:before="60" w:after="0"/>
              <w:rPr>
                <w:b/>
              </w:rPr>
            </w:pPr>
            <w:r w:rsidRPr="005C311D">
              <w:t>Level 6 - SCAD</w:t>
            </w:r>
          </w:p>
        </w:tc>
      </w:tr>
      <w:tr w:rsidR="00D75CFC" w:rsidRPr="00C978B9" w:rsidTr="00D75CFC">
        <w:trPr>
          <w:cantSplit/>
        </w:trPr>
        <w:tc>
          <w:tcPr>
            <w:tcW w:w="2183" w:type="dxa"/>
          </w:tcPr>
          <w:p w:rsidR="00D75CFC" w:rsidRPr="00C978B9" w:rsidRDefault="00D75CFC" w:rsidP="00D75CFC"/>
        </w:tc>
        <w:tc>
          <w:tcPr>
            <w:tcW w:w="6617" w:type="dxa"/>
            <w:tcBorders>
              <w:top w:val="single" w:sz="8" w:space="0" w:color="BCBEC0"/>
            </w:tcBorders>
            <w:vAlign w:val="center"/>
          </w:tcPr>
          <w:p w:rsidR="00D75CFC" w:rsidRPr="005C311D" w:rsidRDefault="00D75CFC" w:rsidP="00D75CFC">
            <w:pPr>
              <w:pStyle w:val="TableText"/>
            </w:pPr>
            <w:r w:rsidRPr="005C311D">
              <w:t>Delivery and Operation – Service Operations</w:t>
            </w:r>
          </w:p>
          <w:p w:rsidR="00D75CFC" w:rsidRPr="005C311D" w:rsidRDefault="00D75CFC" w:rsidP="00D75CFC">
            <w:pPr>
              <w:pStyle w:val="TableText"/>
            </w:pPr>
            <w:r w:rsidRPr="005C311D">
              <w:t>Radio Frequency Engineer</w:t>
            </w:r>
          </w:p>
        </w:tc>
        <w:tc>
          <w:tcPr>
            <w:tcW w:w="2000" w:type="dxa"/>
            <w:tcBorders>
              <w:top w:val="single" w:sz="8" w:space="0" w:color="BCBEC0"/>
            </w:tcBorders>
            <w:vAlign w:val="center"/>
          </w:tcPr>
          <w:p w:rsidR="00D75CFC" w:rsidRPr="005C311D" w:rsidRDefault="00D75CFC" w:rsidP="00D75CFC">
            <w:pPr>
              <w:pStyle w:val="TableText"/>
            </w:pPr>
            <w:r w:rsidRPr="005C311D">
              <w:t>Level – 6 RFEN</w:t>
            </w:r>
          </w:p>
        </w:tc>
      </w:tr>
      <w:bookmarkEnd w:id="2"/>
    </w:tbl>
    <w:p w:rsidR="002D36BB" w:rsidRDefault="002D36BB" w:rsidP="00325E9D"/>
    <w:p w:rsidR="00325E9D" w:rsidRPr="00C978B9" w:rsidRDefault="00325E9D" w:rsidP="00325E9D">
      <w:pPr>
        <w:pStyle w:val="Heading2"/>
      </w:pPr>
      <w:r w:rsidRPr="00C978B9">
        <w:lastRenderedPageBreak/>
        <w:t xml:space="preserve">Focus </w:t>
      </w:r>
      <w:r>
        <w:t>c</w:t>
      </w:r>
      <w:r w:rsidRPr="00C978B9">
        <w:t>apabilities</w:t>
      </w:r>
    </w:p>
    <w:p w:rsidR="00325E9D" w:rsidRDefault="00325E9D" w:rsidP="00325E9D">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3"/>
        <w:gridCol w:w="2336"/>
        <w:gridCol w:w="5761"/>
      </w:tblGrid>
      <w:tr w:rsidR="002D36BB" w:rsidRPr="00C978B9"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rsidR="002D36BB" w:rsidRPr="00C978B9" w:rsidRDefault="002D36BB" w:rsidP="006C18F8">
            <w:pPr>
              <w:pStyle w:val="TableTextWhite0"/>
              <w:keepNext/>
            </w:pPr>
            <w:r w:rsidRPr="00C978B9">
              <w:t>NSW Public Sector Capability Framework</w:t>
            </w:r>
          </w:p>
        </w:tc>
      </w:tr>
      <w:tr w:rsidR="00A85305" w:rsidRPr="00C978B9" w:rsidTr="00A8530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Behavioural Indicators</w:t>
            </w:r>
          </w:p>
        </w:tc>
      </w:tr>
      <w:tr w:rsidR="0039395B" w:rsidRPr="00C978B9" w:rsidTr="00742966">
        <w:tc>
          <w:tcPr>
            <w:tcW w:w="2714" w:type="dxa"/>
          </w:tcPr>
          <w:p w:rsidR="001F2503" w:rsidRPr="00C978B9" w:rsidRDefault="0039395B" w:rsidP="00CC7829">
            <w:pPr>
              <w:pStyle w:val="TableText"/>
              <w:rPr>
                <w:b/>
              </w:rPr>
            </w:pPr>
            <w:r>
              <w:rPr>
                <w:b/>
              </w:rPr>
              <w:t>Personal Attributes</w:t>
            </w:r>
          </w:p>
          <w:p w:rsidR="001F2503" w:rsidRPr="00C978B9" w:rsidRDefault="0039395B" w:rsidP="0039395B">
            <w:pPr>
              <w:pStyle w:val="TableText"/>
            </w:pPr>
            <w:r>
              <w:t>Display Resilience and Courage</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Be flexible, show initiative and respond quickly when situations change</w:t>
            </w:r>
          </w:p>
          <w:p w:rsidR="001F2503" w:rsidRPr="00C978B9" w:rsidRDefault="0039395B" w:rsidP="0039395B">
            <w:pPr>
              <w:pStyle w:val="TableBullet"/>
            </w:pPr>
            <w:r>
              <w:t>Give frank and honest feedback/advice</w:t>
            </w:r>
          </w:p>
          <w:p w:rsidR="001F2503" w:rsidRPr="00C978B9" w:rsidRDefault="0039395B" w:rsidP="0039395B">
            <w:pPr>
              <w:pStyle w:val="TableBullet"/>
            </w:pPr>
            <w:r>
              <w:t>Listen when ideas are challenged, seek to understand the nature of the criticism and respond constructively</w:t>
            </w:r>
          </w:p>
          <w:p w:rsidR="001F2503" w:rsidRPr="00C978B9" w:rsidRDefault="0039395B" w:rsidP="0039395B">
            <w:pPr>
              <w:pStyle w:val="TableBullet"/>
            </w:pPr>
            <w:r>
              <w:t>Raise and work through challenging issues and seek alternatives</w:t>
            </w:r>
          </w:p>
          <w:p w:rsidR="001F2503" w:rsidRPr="00C978B9" w:rsidRDefault="0039395B" w:rsidP="0039395B">
            <w:pPr>
              <w:pStyle w:val="TableBullet"/>
            </w:pPr>
            <w:r>
              <w:t>Keep control of own emotions and stay calm under pressure and in challenging situations</w:t>
            </w:r>
          </w:p>
        </w:tc>
      </w:tr>
      <w:tr w:rsidR="0039395B" w:rsidRPr="00C978B9" w:rsidTr="00742966">
        <w:tc>
          <w:tcPr>
            <w:tcW w:w="2714" w:type="dxa"/>
          </w:tcPr>
          <w:p w:rsidR="001F2503" w:rsidRPr="00C978B9" w:rsidRDefault="0039395B" w:rsidP="00CC7829">
            <w:pPr>
              <w:pStyle w:val="TableText"/>
              <w:rPr>
                <w:b/>
              </w:rPr>
            </w:pPr>
            <w:r>
              <w:rPr>
                <w:b/>
              </w:rPr>
              <w:t>Personal Attributes</w:t>
            </w:r>
          </w:p>
          <w:p w:rsidR="001F2503" w:rsidRPr="00C978B9" w:rsidRDefault="0039395B" w:rsidP="0039395B">
            <w:pPr>
              <w:pStyle w:val="TableText"/>
            </w:pPr>
            <w:r>
              <w:t>Manage Self</w:t>
            </w:r>
          </w:p>
        </w:tc>
        <w:tc>
          <w:tcPr>
            <w:tcW w:w="2348" w:type="dxa"/>
          </w:tcPr>
          <w:p w:rsidR="001F2503" w:rsidRPr="00C978B9" w:rsidRDefault="0039395B" w:rsidP="0039395B">
            <w:pPr>
              <w:pStyle w:val="TableText"/>
              <w:rPr>
                <w:rFonts w:cs="Arial"/>
                <w:color w:val="000000"/>
              </w:rPr>
            </w:pPr>
            <w:r>
              <w:rPr>
                <w:rFonts w:cs="Arial"/>
                <w:color w:val="000000"/>
              </w:rPr>
              <w:t>Advanced</w:t>
            </w:r>
          </w:p>
        </w:tc>
        <w:tc>
          <w:tcPr>
            <w:tcW w:w="5795" w:type="dxa"/>
          </w:tcPr>
          <w:p w:rsidR="001F2503" w:rsidRPr="00C978B9" w:rsidRDefault="0039395B" w:rsidP="0039395B">
            <w:pPr>
              <w:pStyle w:val="TableBullet"/>
            </w:pPr>
            <w:r>
              <w:t>Act as a professional role model for colleagues, set high personal goals and take pride in their achievement</w:t>
            </w:r>
          </w:p>
          <w:p w:rsidR="001F2503" w:rsidRPr="00C978B9" w:rsidRDefault="0039395B" w:rsidP="0039395B">
            <w:pPr>
              <w:pStyle w:val="TableBullet"/>
            </w:pPr>
            <w:r>
              <w:t>Actively seek, reflect and act on feedback on own performance</w:t>
            </w:r>
          </w:p>
          <w:p w:rsidR="001F2503" w:rsidRPr="00C978B9" w:rsidRDefault="0039395B" w:rsidP="0039395B">
            <w:pPr>
              <w:pStyle w:val="TableBullet"/>
            </w:pPr>
            <w:r>
              <w:t>Translate negative feedback into an opportunity to improve</w:t>
            </w:r>
          </w:p>
          <w:p w:rsidR="001F2503" w:rsidRPr="00C978B9" w:rsidRDefault="0039395B" w:rsidP="0039395B">
            <w:pPr>
              <w:pStyle w:val="TableBullet"/>
            </w:pPr>
            <w:r>
              <w:t>Maintain a high level of personal motivation</w:t>
            </w:r>
          </w:p>
          <w:p w:rsidR="001F2503" w:rsidRPr="00C978B9" w:rsidRDefault="0039395B" w:rsidP="0039395B">
            <w:pPr>
              <w:pStyle w:val="TableBullet"/>
            </w:pPr>
            <w:r>
              <w:t>Take the initiative and act in a decisive way</w:t>
            </w:r>
          </w:p>
        </w:tc>
      </w:tr>
      <w:tr w:rsidR="0039395B" w:rsidRPr="00C978B9" w:rsidTr="00742966">
        <w:tc>
          <w:tcPr>
            <w:tcW w:w="2714" w:type="dxa"/>
          </w:tcPr>
          <w:p w:rsidR="001F2503" w:rsidRPr="00C978B9" w:rsidRDefault="0039395B" w:rsidP="00CC7829">
            <w:pPr>
              <w:pStyle w:val="TableText"/>
              <w:rPr>
                <w:b/>
              </w:rPr>
            </w:pPr>
            <w:r>
              <w:rPr>
                <w:b/>
              </w:rPr>
              <w:t>Relationships</w:t>
            </w:r>
          </w:p>
          <w:p w:rsidR="001F2503" w:rsidRPr="00C978B9" w:rsidRDefault="0039395B" w:rsidP="0039395B">
            <w:pPr>
              <w:pStyle w:val="TableText"/>
            </w:pPr>
            <w:r>
              <w:t>Commit to Customer Service</w:t>
            </w:r>
          </w:p>
        </w:tc>
        <w:tc>
          <w:tcPr>
            <w:tcW w:w="2348" w:type="dxa"/>
          </w:tcPr>
          <w:p w:rsidR="001F2503" w:rsidRPr="00C978B9" w:rsidRDefault="0039395B" w:rsidP="0039395B">
            <w:pPr>
              <w:pStyle w:val="TableText"/>
              <w:rPr>
                <w:rFonts w:cs="Arial"/>
                <w:color w:val="000000"/>
              </w:rPr>
            </w:pPr>
            <w:r>
              <w:rPr>
                <w:rFonts w:cs="Arial"/>
                <w:color w:val="000000"/>
              </w:rPr>
              <w:t>Advanced</w:t>
            </w:r>
          </w:p>
        </w:tc>
        <w:tc>
          <w:tcPr>
            <w:tcW w:w="5795" w:type="dxa"/>
          </w:tcPr>
          <w:p w:rsidR="001F2503" w:rsidRPr="00C978B9" w:rsidRDefault="0039395B" w:rsidP="0039395B">
            <w:pPr>
              <w:pStyle w:val="TableBullet"/>
            </w:pPr>
            <w:r>
              <w:t>Promote a culture of quality customer service in the organisation</w:t>
            </w:r>
          </w:p>
          <w:p w:rsidR="001F2503" w:rsidRPr="00C978B9" w:rsidRDefault="0039395B" w:rsidP="0039395B">
            <w:pPr>
              <w:pStyle w:val="TableBullet"/>
            </w:pPr>
            <w:r>
              <w:t>Initiate and develop partnerships with customers to define and evaluate service performance outcomes</w:t>
            </w:r>
          </w:p>
          <w:p w:rsidR="001F2503" w:rsidRPr="00C978B9" w:rsidRDefault="0039395B" w:rsidP="0039395B">
            <w:pPr>
              <w:pStyle w:val="TableBullet"/>
            </w:pPr>
            <w:r>
              <w:t>Promote and manage alliances within the organisation and across the public, private and community sectors</w:t>
            </w:r>
          </w:p>
          <w:p w:rsidR="001F2503" w:rsidRPr="00C978B9" w:rsidRDefault="0039395B" w:rsidP="0039395B">
            <w:pPr>
              <w:pStyle w:val="TableBullet"/>
            </w:pPr>
            <w:r>
              <w:t>Liaise with senior stakeholders on key issues and provide expert and influential advice</w:t>
            </w:r>
          </w:p>
          <w:p w:rsidR="001F2503" w:rsidRPr="00C978B9" w:rsidRDefault="0039395B" w:rsidP="0039395B">
            <w:pPr>
              <w:pStyle w:val="TableBullet"/>
            </w:pPr>
            <w:r>
              <w:t>Identify and incorporate the interests and needs of customers in business process design</w:t>
            </w:r>
          </w:p>
          <w:p w:rsidR="001F2503" w:rsidRPr="00C978B9" w:rsidRDefault="0039395B" w:rsidP="0039395B">
            <w:pPr>
              <w:pStyle w:val="TableBullet"/>
            </w:pPr>
            <w:r>
              <w:t>Ensure that the organisation’s systems, processes, policies and programs respond to customer needs</w:t>
            </w:r>
          </w:p>
        </w:tc>
      </w:tr>
      <w:tr w:rsidR="0039395B" w:rsidRPr="00C978B9" w:rsidTr="00742966">
        <w:tc>
          <w:tcPr>
            <w:tcW w:w="2714" w:type="dxa"/>
          </w:tcPr>
          <w:p w:rsidR="001F2503" w:rsidRPr="00C978B9" w:rsidRDefault="0039395B" w:rsidP="00CC7829">
            <w:pPr>
              <w:pStyle w:val="TableText"/>
              <w:rPr>
                <w:b/>
              </w:rPr>
            </w:pPr>
            <w:r>
              <w:rPr>
                <w:b/>
              </w:rPr>
              <w:t>Relationships</w:t>
            </w:r>
          </w:p>
          <w:p w:rsidR="001F2503" w:rsidRPr="00C978B9" w:rsidRDefault="0039395B" w:rsidP="0039395B">
            <w:pPr>
              <w:pStyle w:val="TableText"/>
            </w:pPr>
            <w:r>
              <w:t>Work Collaboratively</w:t>
            </w:r>
          </w:p>
        </w:tc>
        <w:tc>
          <w:tcPr>
            <w:tcW w:w="2348" w:type="dxa"/>
          </w:tcPr>
          <w:p w:rsidR="001F2503" w:rsidRPr="00C978B9" w:rsidRDefault="0039395B" w:rsidP="0039395B">
            <w:pPr>
              <w:pStyle w:val="TableText"/>
              <w:rPr>
                <w:rFonts w:cs="Arial"/>
                <w:color w:val="000000"/>
              </w:rPr>
            </w:pPr>
            <w:r>
              <w:rPr>
                <w:rFonts w:cs="Arial"/>
                <w:color w:val="000000"/>
              </w:rPr>
              <w:t>Advanced</w:t>
            </w:r>
          </w:p>
        </w:tc>
        <w:tc>
          <w:tcPr>
            <w:tcW w:w="5795" w:type="dxa"/>
          </w:tcPr>
          <w:p w:rsidR="001F2503" w:rsidRPr="00C978B9" w:rsidRDefault="0039395B" w:rsidP="0039395B">
            <w:pPr>
              <w:pStyle w:val="TableBullet"/>
            </w:pPr>
            <w:r>
              <w:t>Build a culture of respect and understanding across the organisation</w:t>
            </w:r>
          </w:p>
          <w:p w:rsidR="001F2503" w:rsidRPr="00C978B9" w:rsidRDefault="0039395B" w:rsidP="0039395B">
            <w:pPr>
              <w:pStyle w:val="TableBullet"/>
            </w:pPr>
            <w:r>
              <w:t>Recognise outcomes which resulted from effective collaboration between teams</w:t>
            </w:r>
          </w:p>
          <w:p w:rsidR="001F2503" w:rsidRPr="00C978B9" w:rsidRDefault="0039395B" w:rsidP="0039395B">
            <w:pPr>
              <w:pStyle w:val="TableBullet"/>
            </w:pPr>
            <w:r>
              <w:t>Build co-operation and overcome barriers to information sharing, communication and collaboration across the organisation and cross-government</w:t>
            </w:r>
          </w:p>
          <w:p w:rsidR="001F2503" w:rsidRPr="00C978B9" w:rsidRDefault="0039395B" w:rsidP="0039395B">
            <w:pPr>
              <w:pStyle w:val="TableBullet"/>
            </w:pPr>
            <w:r>
              <w:t>Facilitate opportunities to engage and collaborate with external stakeholders to develop joint solutions</w:t>
            </w:r>
          </w:p>
        </w:tc>
      </w:tr>
      <w:tr w:rsidR="0039395B" w:rsidRPr="00C978B9" w:rsidTr="00742966">
        <w:tc>
          <w:tcPr>
            <w:tcW w:w="2714" w:type="dxa"/>
          </w:tcPr>
          <w:p w:rsidR="001F2503" w:rsidRPr="00C978B9" w:rsidRDefault="0039395B" w:rsidP="00CC7829">
            <w:pPr>
              <w:pStyle w:val="TableText"/>
              <w:rPr>
                <w:b/>
              </w:rPr>
            </w:pPr>
            <w:r>
              <w:rPr>
                <w:b/>
              </w:rPr>
              <w:t>Results</w:t>
            </w:r>
          </w:p>
          <w:p w:rsidR="001F2503" w:rsidRPr="00C978B9" w:rsidRDefault="0039395B" w:rsidP="0039395B">
            <w:pPr>
              <w:pStyle w:val="TableText"/>
            </w:pPr>
            <w:r>
              <w:t>Deliver Results</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Take responsibility for delivering on intended outcomes</w:t>
            </w:r>
          </w:p>
          <w:p w:rsidR="001F2503" w:rsidRPr="00C978B9" w:rsidRDefault="0039395B" w:rsidP="0039395B">
            <w:pPr>
              <w:pStyle w:val="TableBullet"/>
            </w:pPr>
            <w:r>
              <w:t>Make sure team/unit staff understand expected goals and acknowledge success</w:t>
            </w:r>
          </w:p>
          <w:p w:rsidR="001F2503" w:rsidRPr="00C978B9" w:rsidRDefault="0039395B" w:rsidP="0039395B">
            <w:pPr>
              <w:pStyle w:val="TableBullet"/>
            </w:pPr>
            <w:r>
              <w:t>Identify resource needs and ensure goals are achieved within budget and deadlines</w:t>
            </w:r>
          </w:p>
          <w:p w:rsidR="001F2503" w:rsidRPr="00C978B9" w:rsidRDefault="0039395B" w:rsidP="0039395B">
            <w:pPr>
              <w:pStyle w:val="TableBullet"/>
            </w:pPr>
            <w:r>
              <w:t>Identify changed priorities and ensure allocation of resources meets new business needs</w:t>
            </w:r>
          </w:p>
          <w:p w:rsidR="001F2503" w:rsidRPr="00C978B9" w:rsidRDefault="0039395B" w:rsidP="0039395B">
            <w:pPr>
              <w:pStyle w:val="TableBullet"/>
            </w:pPr>
            <w:r>
              <w:t>Ensure financial implications of changed priorities are explicit and budgeted for</w:t>
            </w:r>
          </w:p>
          <w:p w:rsidR="001F2503" w:rsidRPr="00C978B9" w:rsidRDefault="0039395B" w:rsidP="0039395B">
            <w:pPr>
              <w:pStyle w:val="TableBullet"/>
            </w:pPr>
            <w:r>
              <w:t>Use own expertise and seek others’ expertise to achieve work outcomes</w:t>
            </w:r>
          </w:p>
        </w:tc>
      </w:tr>
      <w:tr w:rsidR="0039395B" w:rsidRPr="00C978B9" w:rsidTr="00742966">
        <w:tc>
          <w:tcPr>
            <w:tcW w:w="2714" w:type="dxa"/>
          </w:tcPr>
          <w:p w:rsidR="001F2503" w:rsidRPr="00C978B9" w:rsidRDefault="0039395B" w:rsidP="00CC7829">
            <w:pPr>
              <w:pStyle w:val="TableText"/>
              <w:rPr>
                <w:b/>
              </w:rPr>
            </w:pPr>
            <w:r>
              <w:rPr>
                <w:b/>
              </w:rPr>
              <w:t>Business Enablers</w:t>
            </w:r>
          </w:p>
          <w:p w:rsidR="001F2503" w:rsidRPr="00C978B9" w:rsidRDefault="0039395B" w:rsidP="0039395B">
            <w:pPr>
              <w:pStyle w:val="TableText"/>
            </w:pPr>
            <w:r>
              <w:t>Technology</w:t>
            </w:r>
          </w:p>
        </w:tc>
        <w:tc>
          <w:tcPr>
            <w:tcW w:w="2348" w:type="dxa"/>
          </w:tcPr>
          <w:p w:rsidR="001F2503" w:rsidRPr="00C978B9" w:rsidRDefault="0039395B" w:rsidP="0039395B">
            <w:pPr>
              <w:pStyle w:val="TableText"/>
              <w:rPr>
                <w:rFonts w:cs="Arial"/>
                <w:color w:val="000000"/>
              </w:rPr>
            </w:pPr>
            <w:r>
              <w:rPr>
                <w:rFonts w:cs="Arial"/>
                <w:color w:val="000000"/>
              </w:rPr>
              <w:t>Advanced</w:t>
            </w:r>
          </w:p>
        </w:tc>
        <w:tc>
          <w:tcPr>
            <w:tcW w:w="5795" w:type="dxa"/>
          </w:tcPr>
          <w:p w:rsidR="001F2503" w:rsidRPr="00C978B9" w:rsidRDefault="0039395B" w:rsidP="0039395B">
            <w:pPr>
              <w:pStyle w:val="TableBullet"/>
            </w:pPr>
            <w:r>
              <w:t>Show commitment to the use of existing and deployment of appropriate new technologies in the workplace</w:t>
            </w:r>
          </w:p>
          <w:p w:rsidR="001F2503" w:rsidRPr="00C978B9" w:rsidRDefault="0039395B" w:rsidP="0039395B">
            <w:pPr>
              <w:pStyle w:val="TableBullet"/>
            </w:pPr>
            <w:r>
              <w:t>Implement appropriate controls to ensure compliance with information and communications security and use policies</w:t>
            </w:r>
          </w:p>
          <w:p w:rsidR="001F2503" w:rsidRPr="00C978B9" w:rsidRDefault="0039395B" w:rsidP="0039395B">
            <w:pPr>
              <w:pStyle w:val="TableBullet"/>
            </w:pPr>
            <w:r>
              <w:t>Maintain a level of currency regarding emerging technologies and how they might be applied to support business outcomes</w:t>
            </w:r>
          </w:p>
          <w:p w:rsidR="001F2503" w:rsidRPr="00C978B9" w:rsidRDefault="0039395B" w:rsidP="0039395B">
            <w:pPr>
              <w:pStyle w:val="TableBullet"/>
            </w:pPr>
            <w:r>
              <w:t>Seek advice from appropriate technical experts to leverage information, communication and other technologies to achieve business outcomes</w:t>
            </w:r>
          </w:p>
          <w:p w:rsidR="001F2503" w:rsidRPr="00C978B9" w:rsidRDefault="0039395B" w:rsidP="0039395B">
            <w:pPr>
              <w:pStyle w:val="TableBullet"/>
            </w:pPr>
            <w:r>
              <w:t>Implement and monitor appropriate records, information and knowledge management systems protocols and policies</w:t>
            </w:r>
          </w:p>
        </w:tc>
      </w:tr>
      <w:tr w:rsidR="0039395B" w:rsidRPr="00C978B9" w:rsidTr="00742966">
        <w:tc>
          <w:tcPr>
            <w:tcW w:w="2714" w:type="dxa"/>
          </w:tcPr>
          <w:p w:rsidR="001F2503" w:rsidRPr="00C978B9" w:rsidRDefault="0039395B" w:rsidP="00CC7829">
            <w:pPr>
              <w:pStyle w:val="TableText"/>
              <w:rPr>
                <w:b/>
              </w:rPr>
            </w:pPr>
            <w:r>
              <w:rPr>
                <w:b/>
              </w:rPr>
              <w:t>People Management</w:t>
            </w:r>
          </w:p>
          <w:p w:rsidR="001F2503" w:rsidRPr="00C978B9" w:rsidRDefault="0039395B" w:rsidP="0039395B">
            <w:pPr>
              <w:pStyle w:val="TableText"/>
            </w:pPr>
            <w:r>
              <w:t>Manage and Develop People</w:t>
            </w:r>
          </w:p>
        </w:tc>
        <w:tc>
          <w:tcPr>
            <w:tcW w:w="2348" w:type="dxa"/>
          </w:tcPr>
          <w:p w:rsidR="001F2503" w:rsidRPr="00C978B9" w:rsidRDefault="0039395B" w:rsidP="0039395B">
            <w:pPr>
              <w:pStyle w:val="TableText"/>
              <w:rPr>
                <w:rFonts w:cs="Arial"/>
                <w:color w:val="000000"/>
              </w:rPr>
            </w:pPr>
            <w:r>
              <w:rPr>
                <w:rFonts w:cs="Arial"/>
                <w:color w:val="000000"/>
              </w:rPr>
              <w:t>Advanced</w:t>
            </w:r>
          </w:p>
        </w:tc>
        <w:tc>
          <w:tcPr>
            <w:tcW w:w="5795" w:type="dxa"/>
          </w:tcPr>
          <w:p w:rsidR="001F2503" w:rsidRPr="00C978B9" w:rsidRDefault="0039395B" w:rsidP="0039395B">
            <w:pPr>
              <w:pStyle w:val="TableBullet"/>
            </w:pPr>
            <w:r>
              <w:t>Refine roles and responsibilities over time to achieve better business outcomes</w:t>
            </w:r>
          </w:p>
          <w:p w:rsidR="001F2503" w:rsidRPr="00C978B9" w:rsidRDefault="0039395B" w:rsidP="0039395B">
            <w:pPr>
              <w:pStyle w:val="TableBullet"/>
            </w:pPr>
            <w:r>
              <w:t>Recognise talent, develop team capability and undertake succession planning</w:t>
            </w:r>
          </w:p>
          <w:p w:rsidR="001F2503" w:rsidRPr="00C978B9" w:rsidRDefault="0039395B" w:rsidP="0039395B">
            <w:pPr>
              <w:pStyle w:val="TableBullet"/>
            </w:pPr>
            <w:r>
              <w:t>Coach and mentor staff and encourage professional development and continuous learning</w:t>
            </w:r>
          </w:p>
          <w:p w:rsidR="001F2503" w:rsidRPr="00C978B9" w:rsidRDefault="0039395B" w:rsidP="0039395B">
            <w:pPr>
              <w:pStyle w:val="TableBullet"/>
            </w:pPr>
            <w:r>
              <w:t>Provide timely, constructive and objective feedback to staff</w:t>
            </w:r>
          </w:p>
          <w:p w:rsidR="001F2503" w:rsidRPr="00C978B9" w:rsidRDefault="0039395B" w:rsidP="0039395B">
            <w:pPr>
              <w:pStyle w:val="TableBullet"/>
            </w:pPr>
            <w:r>
              <w:t>Address and resolve team and individual performance issues, including serious unsatisfactory performance, in a timely and effective way</w:t>
            </w:r>
          </w:p>
          <w:p w:rsidR="001F2503" w:rsidRPr="00C978B9" w:rsidRDefault="0039395B" w:rsidP="0039395B">
            <w:pPr>
              <w:pStyle w:val="TableBullet"/>
            </w:pPr>
            <w:r>
              <w:t>Implement performance development frameworks to align workforce capability with the organisation’s current and future priorities and objectives</w:t>
            </w:r>
          </w:p>
        </w:tc>
      </w:tr>
    </w:tbl>
    <w:p w:rsidR="00B0574B" w:rsidRDefault="00B0574B" w:rsidP="002B1F76">
      <w:pPr>
        <w:pStyle w:val="ListBullet"/>
        <w:numPr>
          <w:ilvl w:val="0"/>
          <w:numId w:val="0"/>
        </w:numPr>
      </w:pPr>
    </w:p>
    <w:tbl>
      <w:tblPr>
        <w:tblStyle w:val="PSCPurple"/>
        <w:tblW w:w="0" w:type="auto"/>
        <w:tblLook w:val="04A0" w:firstRow="1" w:lastRow="0" w:firstColumn="1" w:lastColumn="0" w:noHBand="0" w:noVBand="1"/>
        <w:tblCaption w:val="PSC_SFIAFocusCapabilitiesTable"/>
      </w:tblPr>
      <w:tblGrid>
        <w:gridCol w:w="2702"/>
        <w:gridCol w:w="2334"/>
        <w:gridCol w:w="5764"/>
      </w:tblGrid>
      <w:tr w:rsidR="004D27C8" w:rsidRPr="00C978B9" w:rsidTr="006D59CD">
        <w:trPr>
          <w:cnfStyle w:val="100000000000" w:firstRow="1" w:lastRow="0" w:firstColumn="0" w:lastColumn="0" w:oddVBand="0" w:evenVBand="0" w:oddHBand="0" w:evenHBand="0" w:firstRowFirstColumn="0" w:firstRowLastColumn="0" w:lastRowFirstColumn="0" w:lastRowLastColumn="0"/>
          <w:tblHeader/>
        </w:trPr>
        <w:tc>
          <w:tcPr>
            <w:tcW w:w="10800" w:type="dxa"/>
            <w:gridSpan w:val="3"/>
          </w:tcPr>
          <w:p w:rsidR="004D27C8" w:rsidRPr="00C978B9" w:rsidRDefault="004D27C8" w:rsidP="004D27C8">
            <w:pPr>
              <w:pStyle w:val="TableTextWhite0"/>
              <w:keepNext/>
            </w:pPr>
            <w:r>
              <w:t>Occupation specific capability set (Skills Framework for the Information Age – SFIA)</w:t>
            </w:r>
          </w:p>
        </w:tc>
      </w:tr>
      <w:tr w:rsidR="004D27C8" w:rsidRPr="00C978B9" w:rsidTr="006D59CD">
        <w:trPr>
          <w:cnfStyle w:val="100000000000" w:firstRow="1" w:lastRow="0" w:firstColumn="0" w:lastColumn="0" w:oddVBand="0" w:evenVBand="0" w:oddHBand="0" w:evenHBand="0" w:firstRowFirstColumn="0" w:firstRowLastColumn="0" w:lastRowFirstColumn="0" w:lastRowLastColumn="0"/>
          <w:tblHeader/>
        </w:trPr>
        <w:tc>
          <w:tcPr>
            <w:tcW w:w="2702" w:type="dxa"/>
            <w:tcBorders>
              <w:top w:val="single" w:sz="8" w:space="0" w:color="BCBEC0"/>
              <w:bottom w:val="single" w:sz="8" w:space="0" w:color="BCBEC0"/>
            </w:tcBorders>
            <w:shd w:val="clear" w:color="auto" w:fill="BCBEC0"/>
          </w:tcPr>
          <w:p w:rsidR="004D27C8" w:rsidRDefault="009979FA" w:rsidP="00C83936">
            <w:pPr>
              <w:pStyle w:val="TableText"/>
              <w:keepNext/>
              <w:rPr>
                <w:b/>
              </w:rPr>
            </w:pPr>
            <w:r>
              <w:rPr>
                <w:b/>
              </w:rPr>
              <w:t>Category and</w:t>
            </w:r>
            <w:r w:rsidR="004D27C8">
              <w:rPr>
                <w:b/>
              </w:rPr>
              <w:t xml:space="preserve"> </w:t>
            </w:r>
          </w:p>
          <w:p w:rsidR="004D27C8" w:rsidRPr="00C978B9" w:rsidRDefault="004D27C8" w:rsidP="004D27C8">
            <w:pPr>
              <w:pStyle w:val="TableText"/>
              <w:keepNext/>
              <w:rPr>
                <w:b/>
                <w:sz w:val="24"/>
                <w:szCs w:val="24"/>
              </w:rPr>
            </w:pPr>
            <w:r>
              <w:rPr>
                <w:b/>
              </w:rPr>
              <w:t>Sub-category</w:t>
            </w:r>
          </w:p>
        </w:tc>
        <w:tc>
          <w:tcPr>
            <w:tcW w:w="2334" w:type="dxa"/>
            <w:tcBorders>
              <w:top w:val="single" w:sz="8" w:space="0" w:color="BCBEC0"/>
              <w:bottom w:val="single" w:sz="8" w:space="0" w:color="BCBEC0"/>
            </w:tcBorders>
            <w:shd w:val="clear" w:color="auto" w:fill="BCBEC0"/>
          </w:tcPr>
          <w:p w:rsidR="004D27C8" w:rsidRDefault="004D27C8" w:rsidP="004D27C8">
            <w:pPr>
              <w:pStyle w:val="TableText"/>
              <w:keepNext/>
              <w:rPr>
                <w:b/>
              </w:rPr>
            </w:pPr>
            <w:r>
              <w:rPr>
                <w:b/>
              </w:rPr>
              <w:t xml:space="preserve">Level and </w:t>
            </w:r>
          </w:p>
          <w:p w:rsidR="004D27C8" w:rsidRPr="00C978B9" w:rsidRDefault="004D27C8" w:rsidP="004D27C8">
            <w:pPr>
              <w:pStyle w:val="TableText"/>
              <w:keepNext/>
              <w:rPr>
                <w:b/>
                <w:sz w:val="24"/>
                <w:szCs w:val="24"/>
              </w:rPr>
            </w:pPr>
            <w:r>
              <w:rPr>
                <w:b/>
              </w:rPr>
              <w:t>Code</w:t>
            </w:r>
          </w:p>
        </w:tc>
        <w:tc>
          <w:tcPr>
            <w:tcW w:w="5764" w:type="dxa"/>
            <w:tcBorders>
              <w:top w:val="single" w:sz="8" w:space="0" w:color="BCBEC0"/>
              <w:bottom w:val="single" w:sz="8" w:space="0" w:color="BCBEC0"/>
            </w:tcBorders>
            <w:shd w:val="clear" w:color="auto" w:fill="BCBEC0"/>
          </w:tcPr>
          <w:p w:rsidR="004D27C8" w:rsidRPr="00C978B9" w:rsidRDefault="004D27C8" w:rsidP="004D27C8">
            <w:pPr>
              <w:pStyle w:val="TableText"/>
              <w:keepNext/>
              <w:rPr>
                <w:b/>
                <w:sz w:val="24"/>
                <w:szCs w:val="24"/>
              </w:rPr>
            </w:pPr>
            <w:r w:rsidRPr="00C978B9">
              <w:rPr>
                <w:b/>
              </w:rPr>
              <w:t>Level</w:t>
            </w:r>
            <w:r>
              <w:rPr>
                <w:b/>
              </w:rPr>
              <w:t xml:space="preserve"> Descriptions</w:t>
            </w:r>
          </w:p>
        </w:tc>
      </w:tr>
      <w:tr w:rsidR="004D27C8" w:rsidRPr="00DA3502" w:rsidTr="006D59CD">
        <w:trPr>
          <w:cantSplit/>
        </w:trPr>
        <w:tc>
          <w:tcPr>
            <w:tcW w:w="2702" w:type="dxa"/>
          </w:tcPr>
          <w:p w:rsidR="006D59CD" w:rsidRPr="00E20C64" w:rsidRDefault="006D59CD" w:rsidP="006D59CD">
            <w:pPr>
              <w:pStyle w:val="TableText"/>
              <w:spacing w:before="60" w:after="0"/>
              <w:rPr>
                <w:b/>
              </w:rPr>
            </w:pPr>
            <w:r w:rsidRPr="00E20C64">
              <w:rPr>
                <w:b/>
              </w:rPr>
              <w:t>Strategy and Architecture  Service Design</w:t>
            </w:r>
          </w:p>
          <w:p w:rsidR="004D27C8" w:rsidRPr="00E20C64" w:rsidRDefault="006D59CD" w:rsidP="006D59CD">
            <w:pPr>
              <w:pStyle w:val="TableText"/>
              <w:rPr>
                <w:b/>
              </w:rPr>
            </w:pPr>
            <w:r w:rsidRPr="00E20C64">
              <w:rPr>
                <w:b/>
              </w:rPr>
              <w:t>Service Level Management</w:t>
            </w:r>
          </w:p>
        </w:tc>
        <w:tc>
          <w:tcPr>
            <w:tcW w:w="2334" w:type="dxa"/>
          </w:tcPr>
          <w:p w:rsidR="004D27C8" w:rsidRPr="00E20C64" w:rsidRDefault="006D59CD" w:rsidP="00C83936">
            <w:pPr>
              <w:pStyle w:val="TableText"/>
              <w:rPr>
                <w:b/>
              </w:rPr>
            </w:pPr>
            <w:r w:rsidRPr="00E20C64">
              <w:rPr>
                <w:b/>
              </w:rPr>
              <w:t>SLMO Level 6</w:t>
            </w:r>
            <w:r w:rsidR="00E20C64">
              <w:rPr>
                <w:b/>
              </w:rPr>
              <w:t xml:space="preserve"> (</w:t>
            </w:r>
            <w:r w:rsidR="00E20C64" w:rsidRPr="00E20C64">
              <w:rPr>
                <w:b/>
              </w:rPr>
              <w:t>SLMO</w:t>
            </w:r>
            <w:r w:rsidR="00E20C64">
              <w:rPr>
                <w:b/>
              </w:rPr>
              <w:t>)</w:t>
            </w:r>
          </w:p>
        </w:tc>
        <w:tc>
          <w:tcPr>
            <w:tcW w:w="5764" w:type="dxa"/>
          </w:tcPr>
          <w:p w:rsidR="005532C7" w:rsidRDefault="006D59CD" w:rsidP="005532C7">
            <w:pPr>
              <w:pStyle w:val="TableBullet"/>
              <w:numPr>
                <w:ilvl w:val="0"/>
                <w:numId w:val="8"/>
              </w:numPr>
            </w:pPr>
            <w:r>
              <w:t xml:space="preserve">Ensures that a catalogue of available services is created and maintained and that service level agreements are complete and cost effective. </w:t>
            </w:r>
          </w:p>
          <w:p w:rsidR="005532C7" w:rsidRDefault="006D59CD" w:rsidP="005532C7">
            <w:pPr>
              <w:pStyle w:val="TableBullet"/>
              <w:numPr>
                <w:ilvl w:val="0"/>
                <w:numId w:val="8"/>
              </w:numPr>
            </w:pPr>
            <w:r>
              <w:t xml:space="preserve">Ensures that service delivery is monitored effectively and that identified actions to maintain or improve levels of service are implemented. </w:t>
            </w:r>
          </w:p>
          <w:p w:rsidR="005532C7" w:rsidRDefault="006D59CD" w:rsidP="005532C7">
            <w:pPr>
              <w:pStyle w:val="TableBullet"/>
              <w:numPr>
                <w:ilvl w:val="0"/>
                <w:numId w:val="8"/>
              </w:numPr>
            </w:pPr>
            <w:r>
              <w:t xml:space="preserve">Ensures that operational methods, procedures, facilities and tools are established, reviewed and maintained. </w:t>
            </w:r>
          </w:p>
          <w:p w:rsidR="005532C7" w:rsidRDefault="006D59CD" w:rsidP="005532C7">
            <w:pPr>
              <w:pStyle w:val="TableBullet"/>
              <w:numPr>
                <w:ilvl w:val="0"/>
                <w:numId w:val="8"/>
              </w:numPr>
            </w:pPr>
            <w:r>
              <w:t>Negotiates with relevant parties in respect of disruptions and major amendment</w:t>
            </w:r>
            <w:r w:rsidR="005532C7">
              <w:t>s to the provision of services.</w:t>
            </w:r>
          </w:p>
          <w:p w:rsidR="006D59CD" w:rsidRDefault="006D59CD" w:rsidP="005532C7">
            <w:pPr>
              <w:pStyle w:val="TableBullet"/>
              <w:numPr>
                <w:ilvl w:val="0"/>
                <w:numId w:val="8"/>
              </w:numPr>
            </w:pPr>
            <w:r>
              <w:t>Reviews service delivery to ensure that agreed targets are met and prepares proposals to meet forecast changes in the level or type of service.</w:t>
            </w:r>
          </w:p>
          <w:p w:rsidR="004D27C8" w:rsidRPr="006D59CD" w:rsidRDefault="004D27C8" w:rsidP="006D59CD">
            <w:pPr>
              <w:pStyle w:val="TableBullet"/>
              <w:numPr>
                <w:ilvl w:val="0"/>
                <w:numId w:val="0"/>
              </w:numPr>
            </w:pPr>
          </w:p>
        </w:tc>
      </w:tr>
      <w:tr w:rsidR="006D59CD" w:rsidRPr="00DA3502" w:rsidTr="006D59CD">
        <w:trPr>
          <w:cantSplit/>
        </w:trPr>
        <w:tc>
          <w:tcPr>
            <w:tcW w:w="2702" w:type="dxa"/>
          </w:tcPr>
          <w:p w:rsidR="00E20C64" w:rsidRDefault="00A95694" w:rsidP="006D59CD">
            <w:pPr>
              <w:pStyle w:val="TableText"/>
              <w:spacing w:before="60" w:after="0"/>
              <w:rPr>
                <w:b/>
              </w:rPr>
            </w:pPr>
            <w:r>
              <w:rPr>
                <w:b/>
              </w:rPr>
              <w:t>Relationships and</w:t>
            </w:r>
            <w:r w:rsidR="006D59CD" w:rsidRPr="00E20C64">
              <w:rPr>
                <w:b/>
              </w:rPr>
              <w:t xml:space="preserve"> Engagement</w:t>
            </w:r>
            <w:r w:rsidR="00E20C64">
              <w:rPr>
                <w:b/>
              </w:rPr>
              <w:t xml:space="preserve"> </w:t>
            </w:r>
          </w:p>
          <w:p w:rsidR="006D59CD" w:rsidRPr="00E20C64" w:rsidRDefault="006D59CD" w:rsidP="006D59CD">
            <w:pPr>
              <w:pStyle w:val="TableText"/>
              <w:spacing w:before="60" w:after="0"/>
              <w:rPr>
                <w:b/>
              </w:rPr>
            </w:pPr>
            <w:r w:rsidRPr="00E20C64">
              <w:rPr>
                <w:b/>
              </w:rPr>
              <w:t>Stakeholder Management</w:t>
            </w:r>
          </w:p>
          <w:p w:rsidR="006D59CD" w:rsidRPr="00E20C64" w:rsidRDefault="006D59CD" w:rsidP="006D59CD">
            <w:pPr>
              <w:pStyle w:val="TableText"/>
              <w:spacing w:before="60" w:after="0"/>
              <w:rPr>
                <w:b/>
              </w:rPr>
            </w:pPr>
            <w:r w:rsidRPr="00E20C64">
              <w:rPr>
                <w:b/>
              </w:rPr>
              <w:t>Contract Management</w:t>
            </w:r>
          </w:p>
        </w:tc>
        <w:tc>
          <w:tcPr>
            <w:tcW w:w="2334" w:type="dxa"/>
          </w:tcPr>
          <w:p w:rsidR="006D59CD" w:rsidRPr="00E20C64" w:rsidRDefault="00E20C64" w:rsidP="006D59CD">
            <w:pPr>
              <w:pStyle w:val="TableText"/>
              <w:spacing w:before="60" w:after="0"/>
              <w:rPr>
                <w:b/>
              </w:rPr>
            </w:pPr>
            <w:r>
              <w:rPr>
                <w:b/>
              </w:rPr>
              <w:t>Level 6 (</w:t>
            </w:r>
            <w:r w:rsidR="006D59CD" w:rsidRPr="00E20C64">
              <w:rPr>
                <w:b/>
              </w:rPr>
              <w:t>ITCM</w:t>
            </w:r>
            <w:r>
              <w:rPr>
                <w:b/>
              </w:rPr>
              <w:t>)</w:t>
            </w:r>
          </w:p>
        </w:tc>
        <w:tc>
          <w:tcPr>
            <w:tcW w:w="5764" w:type="dxa"/>
          </w:tcPr>
          <w:p w:rsidR="005532C7" w:rsidRDefault="006D59CD" w:rsidP="005532C7">
            <w:pPr>
              <w:pStyle w:val="TableBullet"/>
              <w:numPr>
                <w:ilvl w:val="0"/>
                <w:numId w:val="8"/>
              </w:numPr>
            </w:pPr>
            <w:r>
              <w:t xml:space="preserve">Negotiates and resolves contractual issues, including failure to meet contractual obligations. </w:t>
            </w:r>
          </w:p>
          <w:p w:rsidR="005532C7" w:rsidRDefault="006D59CD" w:rsidP="005532C7">
            <w:pPr>
              <w:pStyle w:val="TableBullet"/>
              <w:numPr>
                <w:ilvl w:val="0"/>
                <w:numId w:val="8"/>
              </w:numPr>
            </w:pPr>
            <w:r>
              <w:t xml:space="preserve">Promotes change control processes and leads variation negotiations when necessary. </w:t>
            </w:r>
          </w:p>
          <w:p w:rsidR="005532C7" w:rsidRDefault="006D59CD" w:rsidP="005532C7">
            <w:pPr>
              <w:pStyle w:val="TableBullet"/>
              <w:numPr>
                <w:ilvl w:val="0"/>
                <w:numId w:val="8"/>
              </w:numPr>
            </w:pPr>
            <w:proofErr w:type="gramStart"/>
            <w:r>
              <w:t>Champions</w:t>
            </w:r>
            <w:proofErr w:type="gramEnd"/>
            <w:r>
              <w:t xml:space="preserve"> continuous improvement programmes, jointly developing strategies and incentives to enhance performance. </w:t>
            </w:r>
          </w:p>
          <w:p w:rsidR="005532C7" w:rsidRDefault="006D59CD" w:rsidP="005532C7">
            <w:pPr>
              <w:pStyle w:val="TableBullet"/>
              <w:numPr>
                <w:ilvl w:val="0"/>
                <w:numId w:val="8"/>
              </w:numPr>
            </w:pPr>
            <w:r>
              <w:t xml:space="preserve">Undertakes comprehensive financial evaluations. </w:t>
            </w:r>
          </w:p>
          <w:p w:rsidR="005532C7" w:rsidRDefault="006D59CD" w:rsidP="005532C7">
            <w:pPr>
              <w:pStyle w:val="TableBullet"/>
              <w:numPr>
                <w:ilvl w:val="0"/>
                <w:numId w:val="8"/>
              </w:numPr>
            </w:pPr>
            <w:r>
              <w:t xml:space="preserve">Ensures non-discriminatory behaviour and legal compliance. </w:t>
            </w:r>
          </w:p>
          <w:p w:rsidR="005532C7" w:rsidRDefault="006D59CD" w:rsidP="005532C7">
            <w:pPr>
              <w:pStyle w:val="TableBullet"/>
              <w:numPr>
                <w:ilvl w:val="0"/>
                <w:numId w:val="8"/>
              </w:numPr>
            </w:pPr>
            <w:r>
              <w:t>Ensures that lessons learned from reviews are documented and promoted with all stakeholders.</w:t>
            </w:r>
          </w:p>
          <w:p w:rsidR="006D59CD" w:rsidRDefault="006D59CD" w:rsidP="005532C7">
            <w:pPr>
              <w:pStyle w:val="TableBullet"/>
              <w:numPr>
                <w:ilvl w:val="0"/>
                <w:numId w:val="8"/>
              </w:numPr>
            </w:pPr>
            <w:r>
              <w:t>Develops broad industry/ category credentials as ‘best practice’ champion.</w:t>
            </w:r>
          </w:p>
        </w:tc>
      </w:tr>
    </w:tbl>
    <w:p w:rsidR="004D27C8" w:rsidRDefault="004D27C8" w:rsidP="002B1F76">
      <w:pPr>
        <w:pStyle w:val="ListBullet"/>
        <w:numPr>
          <w:ilvl w:val="0"/>
          <w:numId w:val="0"/>
        </w:numPr>
      </w:pPr>
    </w:p>
    <w:sectPr w:rsidR="004D27C8" w:rsidSect="009D747B">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5C4" w:rsidRDefault="00DA45C4" w:rsidP="00BB532F">
      <w:pPr>
        <w:spacing w:after="0" w:line="240" w:lineRule="auto"/>
      </w:pPr>
      <w:r>
        <w:separator/>
      </w:r>
    </w:p>
  </w:endnote>
  <w:endnote w:type="continuationSeparator" w:id="0">
    <w:p w:rsidR="00DA45C4" w:rsidRDefault="00DA45C4"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756" w:rsidRDefault="00510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Manager IT Operations and Communications</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596111">
            <w:rPr>
              <w:noProof/>
              <w:color w:val="928B81"/>
              <w:sz w:val="18"/>
              <w:lang w:eastAsia="en-AU"/>
            </w:rPr>
            <w:t>2</w:t>
          </w:r>
          <w:r w:rsidRPr="00C03AFD">
            <w:rPr>
              <w:noProof/>
              <w:color w:val="928B81"/>
              <w:sz w:val="18"/>
              <w:lang w:eastAsia="en-AU"/>
            </w:rPr>
            <w:fldChar w:fldCharType="end"/>
          </w:r>
        </w:p>
      </w:tc>
      <w:tc>
        <w:tcPr>
          <w:tcW w:w="2350" w:type="pct"/>
        </w:tcPr>
        <w:p w:rsidR="00C03AFD" w:rsidRDefault="00D75CFC" w:rsidP="00C03AFD">
          <w:pPr>
            <w:pStyle w:val="Footer"/>
            <w:jc w:val="right"/>
          </w:pPr>
          <w:r>
            <w:rPr>
              <w:noProof/>
              <w:lang w:val="en-AU" w:eastAsia="en-AU"/>
            </w:rPr>
            <w:drawing>
              <wp:inline distT="0" distB="0" distL="0" distR="0" wp14:anchorId="0A29011E" wp14:editId="621C8568">
                <wp:extent cx="428685" cy="476316"/>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SW warratah.png"/>
                        <pic:cNvPicPr/>
                      </pic:nvPicPr>
                      <pic:blipFill>
                        <a:blip r:embed="rId1">
                          <a:extLst>
                            <a:ext uri="{28A0092B-C50C-407E-A947-70E740481C1C}">
                              <a14:useLocalDpi xmlns:a14="http://schemas.microsoft.com/office/drawing/2010/main" val="0"/>
                            </a:ext>
                          </a:extLst>
                        </a:blip>
                        <a:stretch>
                          <a:fillRect/>
                        </a:stretch>
                      </pic:blipFill>
                      <pic:spPr>
                        <a:xfrm>
                          <a:off x="0" y="0"/>
                          <a:ext cx="428685" cy="476316"/>
                        </a:xfrm>
                        <a:prstGeom prst="rect">
                          <a:avLst/>
                        </a:prstGeom>
                      </pic:spPr>
                    </pic:pic>
                  </a:graphicData>
                </a:graphic>
              </wp:inline>
            </w:drawing>
          </w:r>
        </w:p>
      </w:tc>
    </w:tr>
  </w:tbl>
  <w:p w:rsidR="00C03AFD" w:rsidRDefault="00C0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510756" w:rsidP="00BD7BA7">
          <w:pPr>
            <w:pStyle w:val="Footer"/>
            <w:tabs>
              <w:tab w:val="center" w:pos="5315"/>
            </w:tabs>
          </w:pPr>
          <w:r>
            <w:rPr>
              <w:color w:val="000000" w:themeColor="text1"/>
            </w:rPr>
            <w:t xml:space="preserve">Manager IT Ops and </w:t>
          </w:r>
          <w:proofErr w:type="spellStart"/>
          <w:r>
            <w:rPr>
              <w:color w:val="000000" w:themeColor="text1"/>
            </w:rPr>
            <w:t>Comms</w:t>
          </w:r>
          <w:proofErr w:type="spellEnd"/>
          <w:r>
            <w:rPr>
              <w:color w:val="000000" w:themeColor="text1"/>
            </w:rPr>
            <w:t xml:space="preserve"> RFS (1257)</w:t>
          </w:r>
          <w:r w:rsidR="00BB532F">
            <w:rPr>
              <w:color w:val="000000" w:themeColor="text1"/>
            </w:rPr>
            <w:tab/>
          </w:r>
          <w:r w:rsidR="009C12FA">
            <w:rPr>
              <w:color w:val="000000" w:themeColor="text1"/>
            </w:rPr>
            <w:ptab w:relativeTo="indent" w:alignment="center" w:leader="none"/>
          </w:r>
          <w:r w:rsidR="00BB532F">
            <w:rPr>
              <w:noProof/>
              <w:lang w:eastAsia="en-AU"/>
            </w:rPr>
            <w:fldChar w:fldCharType="begin"/>
          </w:r>
          <w:r w:rsidR="00BB532F">
            <w:rPr>
              <w:noProof/>
              <w:lang w:eastAsia="en-AU"/>
            </w:rPr>
            <w:instrText xml:space="preserve"> PAGE  \* Arabic </w:instrText>
          </w:r>
          <w:r w:rsidR="00BB532F">
            <w:rPr>
              <w:noProof/>
              <w:lang w:eastAsia="en-AU"/>
            </w:rPr>
            <w:fldChar w:fldCharType="separate"/>
          </w:r>
          <w:r w:rsidR="00596111">
            <w:rPr>
              <w:noProof/>
              <w:lang w:eastAsia="en-AU"/>
            </w:rPr>
            <w:t>1</w:t>
          </w:r>
          <w:r w:rsidR="00BB532F">
            <w:rPr>
              <w:noProof/>
              <w:lang w:eastAsia="en-AU"/>
            </w:rPr>
            <w:fldChar w:fldCharType="end"/>
          </w:r>
        </w:p>
      </w:tc>
      <w:tc>
        <w:tcPr>
          <w:tcW w:w="875" w:type="dxa"/>
        </w:tcPr>
        <w:p w:rsidR="00BB532F" w:rsidRDefault="00D75CFC" w:rsidP="00BD7BA7">
          <w:pPr>
            <w:pStyle w:val="Footer"/>
            <w:jc w:val="right"/>
          </w:pPr>
          <w:r>
            <w:rPr>
              <w:noProof/>
              <w:lang w:val="en-AU" w:eastAsia="en-AU"/>
            </w:rPr>
            <w:drawing>
              <wp:inline distT="0" distB="0" distL="0" distR="0" wp14:anchorId="0A29011E" wp14:editId="621C8568">
                <wp:extent cx="428685" cy="476316"/>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SW warratah.png"/>
                        <pic:cNvPicPr/>
                      </pic:nvPicPr>
                      <pic:blipFill>
                        <a:blip r:embed="rId1">
                          <a:extLst>
                            <a:ext uri="{28A0092B-C50C-407E-A947-70E740481C1C}">
                              <a14:useLocalDpi xmlns:a14="http://schemas.microsoft.com/office/drawing/2010/main" val="0"/>
                            </a:ext>
                          </a:extLst>
                        </a:blip>
                        <a:stretch>
                          <a:fillRect/>
                        </a:stretch>
                      </pic:blipFill>
                      <pic:spPr>
                        <a:xfrm>
                          <a:off x="0" y="0"/>
                          <a:ext cx="428685" cy="476316"/>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5C4" w:rsidRDefault="00DA45C4" w:rsidP="00BB532F">
      <w:pPr>
        <w:spacing w:after="0" w:line="240" w:lineRule="auto"/>
      </w:pPr>
      <w:r>
        <w:separator/>
      </w:r>
    </w:p>
  </w:footnote>
  <w:footnote w:type="continuationSeparator" w:id="0">
    <w:p w:rsidR="00DA45C4" w:rsidRDefault="00DA45C4"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756" w:rsidRDefault="00510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756" w:rsidRDefault="00510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Tr="009D747B">
      <w:trPr>
        <w:trHeight w:val="1337"/>
      </w:trPr>
      <w:tc>
        <w:tcPr>
          <w:tcW w:w="7038" w:type="dxa"/>
        </w:tcPr>
        <w:p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rsidR="007E2FB7" w:rsidRDefault="001C2248" w:rsidP="001C2248">
          <w:pPr>
            <w:pStyle w:val="TitleSub"/>
            <w:spacing w:after="0"/>
            <w:rPr>
              <w:rFonts w:ascii="Arial" w:hAnsi="Arial" w:cs="Arial"/>
              <w:b/>
            </w:rPr>
          </w:pPr>
          <w:r w:rsidRPr="001E49B2">
            <w:rPr>
              <w:rFonts w:ascii="Arial" w:hAnsi="Arial" w:cs="Arial"/>
              <w:b/>
            </w:rPr>
            <w:t>Manager IT Operations and Communications</w:t>
          </w:r>
        </w:p>
        <w:p w:rsidR="004F0D7D" w:rsidRPr="001E49B2" w:rsidRDefault="004F0D7D" w:rsidP="001C2248">
          <w:pPr>
            <w:pStyle w:val="TitleSub"/>
            <w:spacing w:after="0"/>
            <w:rPr>
              <w:rFonts w:ascii="Arial" w:hAnsi="Arial" w:cs="Arial"/>
              <w:b/>
            </w:rPr>
          </w:pPr>
          <w:r>
            <w:rPr>
              <w:rFonts w:ascii="Arial" w:hAnsi="Arial" w:cs="Arial"/>
              <w:b/>
            </w:rPr>
            <w:t>(RFS 12/13)</w:t>
          </w:r>
        </w:p>
      </w:tc>
      <w:tc>
        <w:tcPr>
          <w:tcW w:w="3665" w:type="dxa"/>
        </w:tcPr>
        <w:p w:rsidR="000477E1" w:rsidRPr="000477E1" w:rsidRDefault="00D75CFC" w:rsidP="00030565">
          <w:pPr>
            <w:jc w:val="right"/>
          </w:pPr>
          <w:r>
            <w:rPr>
              <w:noProof/>
              <w:lang w:val="en-AU" w:eastAsia="en-AU"/>
            </w:rPr>
            <w:drawing>
              <wp:inline distT="0" distB="0" distL="0" distR="0" wp14:anchorId="7C08FD4A">
                <wp:extent cx="865505" cy="10972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1097280"/>
                        </a:xfrm>
                        <a:prstGeom prst="rect">
                          <a:avLst/>
                        </a:prstGeom>
                        <a:noFill/>
                      </pic:spPr>
                    </pic:pic>
                  </a:graphicData>
                </a:graphic>
              </wp:inline>
            </w:drawing>
          </w: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D457E"/>
    <w:multiLevelType w:val="hybridMultilevel"/>
    <w:tmpl w:val="42D42ED6"/>
    <w:lvl w:ilvl="0" w:tplc="C422003C">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F11501D"/>
    <w:multiLevelType w:val="hybridMultilevel"/>
    <w:tmpl w:val="7E9CB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0F2A5E"/>
    <w:multiLevelType w:val="hybridMultilevel"/>
    <w:tmpl w:val="3A66D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78D72B4"/>
    <w:multiLevelType w:val="hybridMultilevel"/>
    <w:tmpl w:val="84E6E3EE"/>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A4162"/>
    <w:rsid w:val="000C3CC8"/>
    <w:rsid w:val="000D12B3"/>
    <w:rsid w:val="000D799A"/>
    <w:rsid w:val="000F231F"/>
    <w:rsid w:val="00104EC7"/>
    <w:rsid w:val="001336E8"/>
    <w:rsid w:val="0013413E"/>
    <w:rsid w:val="00134F5E"/>
    <w:rsid w:val="00153F10"/>
    <w:rsid w:val="00165754"/>
    <w:rsid w:val="001671DC"/>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8314F"/>
    <w:rsid w:val="00287C54"/>
    <w:rsid w:val="002A648F"/>
    <w:rsid w:val="002B0B83"/>
    <w:rsid w:val="002B1F76"/>
    <w:rsid w:val="002C2823"/>
    <w:rsid w:val="002D36BB"/>
    <w:rsid w:val="00301747"/>
    <w:rsid w:val="00325E9D"/>
    <w:rsid w:val="00327F5C"/>
    <w:rsid w:val="00340ADC"/>
    <w:rsid w:val="00343491"/>
    <w:rsid w:val="00345199"/>
    <w:rsid w:val="00346D51"/>
    <w:rsid w:val="00351826"/>
    <w:rsid w:val="00372A99"/>
    <w:rsid w:val="00373737"/>
    <w:rsid w:val="00375289"/>
    <w:rsid w:val="00377118"/>
    <w:rsid w:val="0039395B"/>
    <w:rsid w:val="003A1185"/>
    <w:rsid w:val="003A2AFA"/>
    <w:rsid w:val="003A3538"/>
    <w:rsid w:val="003B0F42"/>
    <w:rsid w:val="003B403A"/>
    <w:rsid w:val="003C00FD"/>
    <w:rsid w:val="003C031F"/>
    <w:rsid w:val="003C2846"/>
    <w:rsid w:val="003C5EB3"/>
    <w:rsid w:val="003D5227"/>
    <w:rsid w:val="003E2663"/>
    <w:rsid w:val="00401FB8"/>
    <w:rsid w:val="00411F3E"/>
    <w:rsid w:val="0041525E"/>
    <w:rsid w:val="004203B4"/>
    <w:rsid w:val="00432BAE"/>
    <w:rsid w:val="00436621"/>
    <w:rsid w:val="00442732"/>
    <w:rsid w:val="00466287"/>
    <w:rsid w:val="0047547E"/>
    <w:rsid w:val="00492AA6"/>
    <w:rsid w:val="004C45E2"/>
    <w:rsid w:val="004D0C22"/>
    <w:rsid w:val="004D27C8"/>
    <w:rsid w:val="004E44A5"/>
    <w:rsid w:val="004E474E"/>
    <w:rsid w:val="004E7F32"/>
    <w:rsid w:val="004F0D7D"/>
    <w:rsid w:val="00502DBF"/>
    <w:rsid w:val="00510756"/>
    <w:rsid w:val="00521D19"/>
    <w:rsid w:val="00523CFF"/>
    <w:rsid w:val="00527FCF"/>
    <w:rsid w:val="005307BA"/>
    <w:rsid w:val="00545AC6"/>
    <w:rsid w:val="00551038"/>
    <w:rsid w:val="005532C7"/>
    <w:rsid w:val="0059035B"/>
    <w:rsid w:val="00596111"/>
    <w:rsid w:val="005B10E1"/>
    <w:rsid w:val="005B5053"/>
    <w:rsid w:val="005C7AF5"/>
    <w:rsid w:val="005D71EA"/>
    <w:rsid w:val="005E6C59"/>
    <w:rsid w:val="005E75FC"/>
    <w:rsid w:val="005F5FD1"/>
    <w:rsid w:val="005F7EE8"/>
    <w:rsid w:val="00600C7E"/>
    <w:rsid w:val="006022B4"/>
    <w:rsid w:val="00603D53"/>
    <w:rsid w:val="00612673"/>
    <w:rsid w:val="00612AFA"/>
    <w:rsid w:val="00614552"/>
    <w:rsid w:val="00621D45"/>
    <w:rsid w:val="00623950"/>
    <w:rsid w:val="00626492"/>
    <w:rsid w:val="0063544E"/>
    <w:rsid w:val="006538BF"/>
    <w:rsid w:val="00655069"/>
    <w:rsid w:val="00674D4C"/>
    <w:rsid w:val="00683870"/>
    <w:rsid w:val="006A2280"/>
    <w:rsid w:val="006B723B"/>
    <w:rsid w:val="006C2473"/>
    <w:rsid w:val="006C4218"/>
    <w:rsid w:val="006D1FBC"/>
    <w:rsid w:val="006D59CD"/>
    <w:rsid w:val="006E28E7"/>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95244"/>
    <w:rsid w:val="007B7C1F"/>
    <w:rsid w:val="007C21C8"/>
    <w:rsid w:val="007D0E2E"/>
    <w:rsid w:val="007E2FB7"/>
    <w:rsid w:val="00805561"/>
    <w:rsid w:val="00806FE1"/>
    <w:rsid w:val="00807ED1"/>
    <w:rsid w:val="00814824"/>
    <w:rsid w:val="00817B11"/>
    <w:rsid w:val="008203EE"/>
    <w:rsid w:val="008267A0"/>
    <w:rsid w:val="0083547C"/>
    <w:rsid w:val="008476E6"/>
    <w:rsid w:val="0085706D"/>
    <w:rsid w:val="00860904"/>
    <w:rsid w:val="008A0EBB"/>
    <w:rsid w:val="008A13AC"/>
    <w:rsid w:val="008B74C1"/>
    <w:rsid w:val="008C0B4D"/>
    <w:rsid w:val="008C37C8"/>
    <w:rsid w:val="008D7766"/>
    <w:rsid w:val="008E08E3"/>
    <w:rsid w:val="008E52B6"/>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9F5EDF"/>
    <w:rsid w:val="00A00C30"/>
    <w:rsid w:val="00A02AEF"/>
    <w:rsid w:val="00A14A03"/>
    <w:rsid w:val="00A2122C"/>
    <w:rsid w:val="00A41E4E"/>
    <w:rsid w:val="00A4412E"/>
    <w:rsid w:val="00A47353"/>
    <w:rsid w:val="00A6675F"/>
    <w:rsid w:val="00A73C38"/>
    <w:rsid w:val="00A77B0C"/>
    <w:rsid w:val="00A83932"/>
    <w:rsid w:val="00A85305"/>
    <w:rsid w:val="00A8686E"/>
    <w:rsid w:val="00A8732A"/>
    <w:rsid w:val="00A95694"/>
    <w:rsid w:val="00A970A2"/>
    <w:rsid w:val="00AB120A"/>
    <w:rsid w:val="00AB50E4"/>
    <w:rsid w:val="00AC1AF9"/>
    <w:rsid w:val="00AC742D"/>
    <w:rsid w:val="00AC7DC9"/>
    <w:rsid w:val="00AE14D7"/>
    <w:rsid w:val="00AF01AC"/>
    <w:rsid w:val="00AF3FE7"/>
    <w:rsid w:val="00AF7D0C"/>
    <w:rsid w:val="00B0574B"/>
    <w:rsid w:val="00B2037F"/>
    <w:rsid w:val="00B262BC"/>
    <w:rsid w:val="00B32691"/>
    <w:rsid w:val="00B407F6"/>
    <w:rsid w:val="00B635E3"/>
    <w:rsid w:val="00B72B4F"/>
    <w:rsid w:val="00B835C0"/>
    <w:rsid w:val="00B876AF"/>
    <w:rsid w:val="00BA759E"/>
    <w:rsid w:val="00BB532F"/>
    <w:rsid w:val="00BC162D"/>
    <w:rsid w:val="00BC2FE4"/>
    <w:rsid w:val="00BD311D"/>
    <w:rsid w:val="00BD4DDA"/>
    <w:rsid w:val="00BE4EAE"/>
    <w:rsid w:val="00C03AFD"/>
    <w:rsid w:val="00C271F9"/>
    <w:rsid w:val="00C517B6"/>
    <w:rsid w:val="00C63F0F"/>
    <w:rsid w:val="00C70636"/>
    <w:rsid w:val="00C70842"/>
    <w:rsid w:val="00CC76F2"/>
    <w:rsid w:val="00CE105E"/>
    <w:rsid w:val="00CE1E5E"/>
    <w:rsid w:val="00D55E55"/>
    <w:rsid w:val="00D663ED"/>
    <w:rsid w:val="00D67A17"/>
    <w:rsid w:val="00D74882"/>
    <w:rsid w:val="00D759EE"/>
    <w:rsid w:val="00D75CFC"/>
    <w:rsid w:val="00D956AA"/>
    <w:rsid w:val="00DA45C4"/>
    <w:rsid w:val="00DA543F"/>
    <w:rsid w:val="00DC0173"/>
    <w:rsid w:val="00DC11EA"/>
    <w:rsid w:val="00DC33E1"/>
    <w:rsid w:val="00DC4056"/>
    <w:rsid w:val="00DE2472"/>
    <w:rsid w:val="00DE58C6"/>
    <w:rsid w:val="00DE6C80"/>
    <w:rsid w:val="00DF1540"/>
    <w:rsid w:val="00DF5EB4"/>
    <w:rsid w:val="00E20C64"/>
    <w:rsid w:val="00E25470"/>
    <w:rsid w:val="00E27471"/>
    <w:rsid w:val="00E44564"/>
    <w:rsid w:val="00E5031C"/>
    <w:rsid w:val="00E72D70"/>
    <w:rsid w:val="00E80A46"/>
    <w:rsid w:val="00E83B02"/>
    <w:rsid w:val="00E85FA0"/>
    <w:rsid w:val="00E87997"/>
    <w:rsid w:val="00E95F38"/>
    <w:rsid w:val="00EA7A67"/>
    <w:rsid w:val="00EC0B04"/>
    <w:rsid w:val="00EC4A51"/>
    <w:rsid w:val="00EC5C1D"/>
    <w:rsid w:val="00ED176B"/>
    <w:rsid w:val="00EE7819"/>
    <w:rsid w:val="00F31B35"/>
    <w:rsid w:val="00F339CD"/>
    <w:rsid w:val="00F33A43"/>
    <w:rsid w:val="00F41650"/>
    <w:rsid w:val="00F47143"/>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D576B52-8471-4F14-B48B-553ECBF7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BodyText">
    <w:name w:val="Body Text"/>
    <w:basedOn w:val="Normal"/>
    <w:link w:val="BodyTextChar"/>
    <w:uiPriority w:val="1"/>
    <w:qFormat/>
    <w:rsid w:val="006D59CD"/>
    <w:pPr>
      <w:widowControl w:val="0"/>
      <w:autoSpaceDE w:val="0"/>
      <w:autoSpaceDN w:val="0"/>
      <w:spacing w:before="168" w:after="0" w:line="240" w:lineRule="auto"/>
    </w:pPr>
    <w:rPr>
      <w:rFonts w:ascii="Trebuchet MS" w:eastAsia="Trebuchet MS" w:hAnsi="Trebuchet MS" w:cs="Trebuchet MS"/>
      <w:sz w:val="20"/>
      <w:szCs w:val="20"/>
    </w:rPr>
  </w:style>
  <w:style w:type="character" w:customStyle="1" w:styleId="BodyTextChar">
    <w:name w:val="Body Text Char"/>
    <w:basedOn w:val="DefaultParagraphFont"/>
    <w:link w:val="BodyText"/>
    <w:uiPriority w:val="1"/>
    <w:rsid w:val="006D59CD"/>
    <w:rPr>
      <w:rFonts w:ascii="Trebuchet MS" w:eastAsia="Trebuchet MS" w:hAnsi="Trebuchet MS" w:cs="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nsw.gov.au/capabilityframework" TargetMode="Externa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sc.nsw.gov.au/workforce-management/capability-framework/access-the-capability-framework/occupation-specific/occupation-specific" TargetMode="External"/><Relationship Id="rId14" Type="http://schemas.openxmlformats.org/officeDocument/2006/relationships/image" Target="media/image5.jp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E57B1-50FE-431C-B795-10413403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22</TotalTime>
  <Pages>8</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Selena Marretta</cp:lastModifiedBy>
  <cp:revision>20</cp:revision>
  <dcterms:created xsi:type="dcterms:W3CDTF">2019-07-08T03:30:00Z</dcterms:created>
  <dcterms:modified xsi:type="dcterms:W3CDTF">2019-09-29T22:54:00Z</dcterms:modified>
</cp:coreProperties>
</file>