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4C52AC" w:rsidRPr="00DC0173" w14:paraId="00F5324B" w14:textId="77777777" w:rsidTr="004726EC">
        <w:tc>
          <w:tcPr>
            <w:tcW w:w="4026" w:type="dxa"/>
            <w:vAlign w:val="center"/>
          </w:tcPr>
          <w:p w14:paraId="042143C4" w14:textId="77777777" w:rsidR="004C52AC" w:rsidRPr="00DC0173" w:rsidRDefault="004C52AC" w:rsidP="004726EC">
            <w:pPr>
              <w:pStyle w:val="TableTextWhite"/>
              <w:rPr>
                <w:b/>
              </w:rPr>
            </w:pPr>
            <w:bookmarkStart w:id="0" w:name="DeptAgency2"/>
            <w:bookmarkEnd w:id="0"/>
            <w:r>
              <w:rPr>
                <w:b/>
              </w:rPr>
              <w:t>Cluster</w:t>
            </w:r>
          </w:p>
        </w:tc>
        <w:tc>
          <w:tcPr>
            <w:tcW w:w="6561" w:type="dxa"/>
          </w:tcPr>
          <w:p w14:paraId="0B3164D0" w14:textId="77777777" w:rsidR="004C52AC" w:rsidRPr="00DC0173" w:rsidRDefault="004C52AC" w:rsidP="004726EC">
            <w:pPr>
              <w:pStyle w:val="TableTextWhite"/>
            </w:pPr>
            <w:r>
              <w:t>The Treasury</w:t>
            </w:r>
          </w:p>
        </w:tc>
      </w:tr>
      <w:tr w:rsidR="004C52AC" w:rsidRPr="00DC0173" w14:paraId="5319F43B" w14:textId="77777777" w:rsidTr="004726EC">
        <w:tc>
          <w:tcPr>
            <w:tcW w:w="4026" w:type="dxa"/>
            <w:vAlign w:val="center"/>
          </w:tcPr>
          <w:p w14:paraId="59971999" w14:textId="77777777" w:rsidR="004C52AC" w:rsidRPr="00DC0173" w:rsidRDefault="004C52AC" w:rsidP="004726EC">
            <w:pPr>
              <w:pStyle w:val="TableTextWhite"/>
              <w:rPr>
                <w:b/>
              </w:rPr>
            </w:pPr>
            <w:r>
              <w:rPr>
                <w:b/>
              </w:rPr>
              <w:t>Agency</w:t>
            </w:r>
          </w:p>
        </w:tc>
        <w:tc>
          <w:tcPr>
            <w:tcW w:w="6561" w:type="dxa"/>
          </w:tcPr>
          <w:p w14:paraId="14BDDED3" w14:textId="77777777" w:rsidR="004C52AC" w:rsidRPr="00DC0173" w:rsidRDefault="004C52AC" w:rsidP="004726EC">
            <w:pPr>
              <w:pStyle w:val="TableTextWhite"/>
            </w:pPr>
            <w:r>
              <w:t>NSW Treasury</w:t>
            </w:r>
          </w:p>
        </w:tc>
      </w:tr>
      <w:tr w:rsidR="004C52AC" w:rsidRPr="00DC0173" w14:paraId="233B91B4" w14:textId="77777777" w:rsidTr="004726EC">
        <w:tc>
          <w:tcPr>
            <w:tcW w:w="4026" w:type="dxa"/>
            <w:vAlign w:val="center"/>
          </w:tcPr>
          <w:p w14:paraId="25BB6263" w14:textId="77777777" w:rsidR="004C52AC" w:rsidRPr="00DC0173" w:rsidRDefault="004C52AC" w:rsidP="004726EC">
            <w:pPr>
              <w:pStyle w:val="TableTextWhite"/>
              <w:rPr>
                <w:b/>
              </w:rPr>
            </w:pPr>
            <w:r>
              <w:rPr>
                <w:b/>
              </w:rPr>
              <w:t>Division/Branch/Unit</w:t>
            </w:r>
          </w:p>
        </w:tc>
        <w:tc>
          <w:tcPr>
            <w:tcW w:w="6561" w:type="dxa"/>
          </w:tcPr>
          <w:p w14:paraId="20BA3979" w14:textId="77777777" w:rsidR="004C52AC" w:rsidRPr="00DC0173" w:rsidRDefault="004C52AC" w:rsidP="004726EC">
            <w:pPr>
              <w:pStyle w:val="TableTextWhite"/>
            </w:pPr>
            <w:r>
              <w:t>Office of the Secretary, Executive &amp; Ministerial Services</w:t>
            </w:r>
          </w:p>
        </w:tc>
      </w:tr>
      <w:tr w:rsidR="004C52AC" w:rsidRPr="00DC0173" w14:paraId="17E50B70" w14:textId="77777777" w:rsidTr="004726EC">
        <w:tc>
          <w:tcPr>
            <w:tcW w:w="4026" w:type="dxa"/>
            <w:vAlign w:val="center"/>
          </w:tcPr>
          <w:p w14:paraId="3F516974" w14:textId="77777777" w:rsidR="004C52AC" w:rsidRPr="00DC0173" w:rsidRDefault="004C52AC" w:rsidP="004726EC">
            <w:pPr>
              <w:pStyle w:val="TableTextWhite"/>
              <w:rPr>
                <w:b/>
              </w:rPr>
            </w:pPr>
            <w:r>
              <w:rPr>
                <w:b/>
              </w:rPr>
              <w:t>Location</w:t>
            </w:r>
          </w:p>
        </w:tc>
        <w:tc>
          <w:tcPr>
            <w:tcW w:w="6561" w:type="dxa"/>
          </w:tcPr>
          <w:p w14:paraId="3147506C" w14:textId="77777777" w:rsidR="004C52AC" w:rsidRPr="00DC0173" w:rsidRDefault="004C52AC" w:rsidP="004726EC">
            <w:pPr>
              <w:pStyle w:val="TableTextWhite"/>
            </w:pPr>
            <w:r>
              <w:t>Sydney CBD</w:t>
            </w:r>
          </w:p>
        </w:tc>
      </w:tr>
      <w:tr w:rsidR="004C52AC" w:rsidRPr="00DC0173" w14:paraId="7FA58C10" w14:textId="77777777" w:rsidTr="004726EC">
        <w:tc>
          <w:tcPr>
            <w:tcW w:w="4026" w:type="dxa"/>
            <w:vAlign w:val="center"/>
          </w:tcPr>
          <w:p w14:paraId="48F4971C" w14:textId="77777777" w:rsidR="004C52AC" w:rsidRPr="00DC0173" w:rsidRDefault="004C52AC" w:rsidP="004726EC">
            <w:pPr>
              <w:pStyle w:val="TableTextWhite"/>
              <w:rPr>
                <w:b/>
              </w:rPr>
            </w:pPr>
            <w:r>
              <w:rPr>
                <w:b/>
              </w:rPr>
              <w:t>Classification/Grade/Band</w:t>
            </w:r>
          </w:p>
        </w:tc>
        <w:tc>
          <w:tcPr>
            <w:tcW w:w="6561" w:type="dxa"/>
          </w:tcPr>
          <w:p w14:paraId="6A55FBB0" w14:textId="77777777" w:rsidR="004C52AC" w:rsidRPr="00DC0173" w:rsidRDefault="004C52AC" w:rsidP="004726EC">
            <w:pPr>
              <w:pStyle w:val="TableTextWhite"/>
            </w:pPr>
            <w:r>
              <w:t>Grade 11/12</w:t>
            </w:r>
          </w:p>
        </w:tc>
      </w:tr>
      <w:tr w:rsidR="004C52AC" w:rsidRPr="00DC0173" w14:paraId="4FB32EDC" w14:textId="77777777" w:rsidTr="004726EC">
        <w:tc>
          <w:tcPr>
            <w:tcW w:w="4026" w:type="dxa"/>
            <w:vAlign w:val="center"/>
          </w:tcPr>
          <w:p w14:paraId="0CFB4F0E" w14:textId="77777777" w:rsidR="004C52AC" w:rsidRPr="00DC0173" w:rsidRDefault="004C52AC" w:rsidP="004726EC">
            <w:pPr>
              <w:pStyle w:val="TableTextWhite"/>
              <w:rPr>
                <w:b/>
              </w:rPr>
            </w:pPr>
            <w:r>
              <w:rPr>
                <w:b/>
              </w:rPr>
              <w:t>ANZSCO Code</w:t>
            </w:r>
          </w:p>
        </w:tc>
        <w:tc>
          <w:tcPr>
            <w:tcW w:w="6561" w:type="dxa"/>
          </w:tcPr>
          <w:p w14:paraId="20148EB3" w14:textId="77777777" w:rsidR="004C52AC" w:rsidRPr="00DC0173" w:rsidRDefault="003941B7" w:rsidP="004726EC">
            <w:pPr>
              <w:pStyle w:val="TableTextWhite"/>
            </w:pPr>
            <w:r>
              <w:t>224711</w:t>
            </w:r>
          </w:p>
        </w:tc>
      </w:tr>
      <w:tr w:rsidR="004C52AC" w:rsidRPr="00DC0173" w14:paraId="054D53CD" w14:textId="77777777" w:rsidTr="004726EC">
        <w:tc>
          <w:tcPr>
            <w:tcW w:w="4026" w:type="dxa"/>
            <w:vAlign w:val="center"/>
          </w:tcPr>
          <w:p w14:paraId="281992DA" w14:textId="77777777" w:rsidR="004C52AC" w:rsidRPr="00DC0173" w:rsidRDefault="004C52AC" w:rsidP="004726EC">
            <w:pPr>
              <w:pStyle w:val="TableTextWhite"/>
              <w:rPr>
                <w:b/>
              </w:rPr>
            </w:pPr>
            <w:r>
              <w:rPr>
                <w:b/>
              </w:rPr>
              <w:t>PCAT Code</w:t>
            </w:r>
          </w:p>
        </w:tc>
        <w:tc>
          <w:tcPr>
            <w:tcW w:w="6561" w:type="dxa"/>
          </w:tcPr>
          <w:p w14:paraId="7823825E" w14:textId="77777777" w:rsidR="004C52AC" w:rsidRPr="00DC0173" w:rsidRDefault="004C52AC" w:rsidP="004726EC">
            <w:pPr>
              <w:pStyle w:val="TableTextWhite"/>
            </w:pPr>
            <w:r>
              <w:t>TBA</w:t>
            </w:r>
          </w:p>
        </w:tc>
      </w:tr>
      <w:tr w:rsidR="004C52AC" w:rsidRPr="00DC0173" w14:paraId="4FA0F094" w14:textId="77777777" w:rsidTr="004726EC">
        <w:tc>
          <w:tcPr>
            <w:tcW w:w="4026" w:type="dxa"/>
            <w:vAlign w:val="center"/>
          </w:tcPr>
          <w:p w14:paraId="0294987F" w14:textId="77777777" w:rsidR="004C52AC" w:rsidRPr="00DC0173" w:rsidRDefault="004C52AC" w:rsidP="004726EC">
            <w:pPr>
              <w:pStyle w:val="TableTextWhite"/>
              <w:rPr>
                <w:b/>
              </w:rPr>
            </w:pPr>
            <w:r>
              <w:rPr>
                <w:b/>
              </w:rPr>
              <w:t>Date of Approval</w:t>
            </w:r>
          </w:p>
        </w:tc>
        <w:tc>
          <w:tcPr>
            <w:tcW w:w="6561" w:type="dxa"/>
          </w:tcPr>
          <w:p w14:paraId="19AAFC62" w14:textId="77777777" w:rsidR="004C52AC" w:rsidRPr="00DC0173" w:rsidRDefault="004C52AC" w:rsidP="004726EC">
            <w:pPr>
              <w:pStyle w:val="TableTextWhite"/>
            </w:pPr>
            <w:r>
              <w:t>TBA</w:t>
            </w:r>
          </w:p>
        </w:tc>
      </w:tr>
      <w:tr w:rsidR="004C52AC" w:rsidRPr="00DC0173" w14:paraId="1CFCC77B" w14:textId="77777777" w:rsidTr="004726EC">
        <w:tc>
          <w:tcPr>
            <w:tcW w:w="4026" w:type="dxa"/>
            <w:vAlign w:val="center"/>
          </w:tcPr>
          <w:p w14:paraId="6C3A385A" w14:textId="77777777" w:rsidR="004C52AC" w:rsidRPr="00DC0173" w:rsidRDefault="004C52AC" w:rsidP="004726EC">
            <w:pPr>
              <w:pStyle w:val="TableTextWhite"/>
              <w:rPr>
                <w:b/>
              </w:rPr>
            </w:pPr>
            <w:r>
              <w:rPr>
                <w:b/>
              </w:rPr>
              <w:t>Agency Website</w:t>
            </w:r>
          </w:p>
        </w:tc>
        <w:tc>
          <w:tcPr>
            <w:tcW w:w="6561" w:type="dxa"/>
          </w:tcPr>
          <w:p w14:paraId="1090C5B1" w14:textId="77777777" w:rsidR="004C52AC" w:rsidRPr="00DC0173" w:rsidRDefault="001D601E" w:rsidP="004726EC">
            <w:pPr>
              <w:pStyle w:val="TableTextWhite"/>
            </w:pPr>
            <w:hyperlink r:id="rId11" w:history="1">
              <w:r w:rsidR="004C52AC" w:rsidRPr="004014AF">
                <w:rPr>
                  <w:rStyle w:val="Hyperlink"/>
                </w:rPr>
                <w:t>https://www.treasury.nsw.gov.au</w:t>
              </w:r>
            </w:hyperlink>
          </w:p>
        </w:tc>
        <w:bookmarkStart w:id="1" w:name="Cluster"/>
        <w:bookmarkEnd w:id="1"/>
      </w:tr>
    </w:tbl>
    <w:p w14:paraId="287D8BA8" w14:textId="77777777" w:rsidR="004C52AC" w:rsidRPr="009A0B4C" w:rsidRDefault="004C52AC" w:rsidP="004C52AC">
      <w:pPr>
        <w:pStyle w:val="Heading"/>
        <w:spacing w:before="120"/>
        <w:rPr>
          <w:rFonts w:ascii="Arial" w:hAnsi="Arial" w:cs="Arial"/>
          <w:lang w:val="en-US"/>
        </w:rPr>
      </w:pPr>
      <w:r w:rsidRPr="009A0B4C">
        <w:rPr>
          <w:rFonts w:ascii="Arial" w:hAnsi="Arial" w:cs="Arial"/>
          <w:lang w:val="en-US"/>
        </w:rPr>
        <w:t>Agency overview</w:t>
      </w:r>
    </w:p>
    <w:p w14:paraId="73637AEE" w14:textId="77777777" w:rsidR="004C52AC" w:rsidRPr="009A0B4C" w:rsidRDefault="004C52AC" w:rsidP="004C52AC">
      <w:pPr>
        <w:pStyle w:val="Body"/>
        <w:rPr>
          <w:rFonts w:ascii="Arial" w:hAnsi="Arial" w:cs="Arial"/>
          <w:lang w:val="en-US"/>
        </w:rPr>
      </w:pPr>
      <w:bookmarkStart w:id="2" w:name="_Hlk6669906"/>
      <w:r w:rsidRPr="009A0B4C">
        <w:rPr>
          <w:rFonts w:ascii="Arial" w:hAnsi="Arial" w:cs="Arial"/>
          <w:lang w:val="en-US"/>
        </w:rPr>
        <w:t>The key customer of NSW Treasury is the NSW Government on behalf of the people of NSW. Our vision is ensuring</w:t>
      </w:r>
      <w:r w:rsidRPr="009A0B4C">
        <w:rPr>
          <w:rFonts w:ascii="Arial" w:hAnsi="Arial" w:cs="Arial"/>
          <w:sz w:val="20"/>
          <w:szCs w:val="20"/>
          <w:lang w:val="en-US"/>
        </w:rPr>
        <w:t xml:space="preserve"> </w:t>
      </w:r>
      <w:r w:rsidRPr="009A0B4C">
        <w:rPr>
          <w:rFonts w:ascii="Arial" w:hAnsi="Arial" w:cs="Arial"/>
          <w:lang w:val="en-US"/>
        </w:rPr>
        <w:t>that the people of NSW have access to services and infrastructure that deliver social and economic benefits underpinned by a strong and sustainable economic and financial position.</w:t>
      </w:r>
    </w:p>
    <w:p w14:paraId="4A6FE091" w14:textId="77777777" w:rsidR="004C52AC" w:rsidRPr="009A0B4C" w:rsidRDefault="004C52AC" w:rsidP="004C52AC">
      <w:pPr>
        <w:tabs>
          <w:tab w:val="left" w:pos="2925"/>
        </w:tabs>
        <w:spacing w:after="200" w:line="276" w:lineRule="auto"/>
        <w:jc w:val="both"/>
        <w:rPr>
          <w:rFonts w:ascii="Arial" w:eastAsia="Times New Roman" w:hAnsi="Arial" w:cs="Arial"/>
          <w:szCs w:val="22"/>
        </w:rPr>
      </w:pPr>
      <w:r w:rsidRPr="009A0B4C">
        <w:rPr>
          <w:rFonts w:ascii="Arial" w:eastAsia="Times New Roman" w:hAnsi="Arial" w:cs="Arial"/>
          <w:szCs w:val="22"/>
        </w:rPr>
        <w:t xml:space="preserve">Information about the structure and functions of the NSW Treasury can be sourced on our website: </w:t>
      </w:r>
      <w:hyperlink r:id="rId12" w:history="1">
        <w:r w:rsidRPr="00E4676C">
          <w:rPr>
            <w:rFonts w:ascii="Arial" w:eastAsia="Times New Roman" w:hAnsi="Arial" w:cs="Arial"/>
            <w:color w:val="0000FF"/>
            <w:szCs w:val="22"/>
            <w:u w:val="single"/>
          </w:rPr>
          <w:t>https://www.treasury.nsw.gov.au</w:t>
        </w:r>
      </w:hyperlink>
      <w:r w:rsidRPr="009A0B4C">
        <w:rPr>
          <w:rFonts w:ascii="Arial" w:eastAsia="Times New Roman" w:hAnsi="Arial" w:cs="Arial"/>
          <w:szCs w:val="22"/>
        </w:rPr>
        <w:t xml:space="preserve"> (Refer to “About Treasury” and “Our Treasury Team”).</w:t>
      </w:r>
    </w:p>
    <w:p w14:paraId="4106E7ED" w14:textId="77777777" w:rsidR="004C52AC" w:rsidRPr="004C52AC" w:rsidRDefault="004C52AC" w:rsidP="004C52AC">
      <w:pPr>
        <w:pStyle w:val="Body"/>
        <w:rPr>
          <w:rFonts w:ascii="Arial" w:hAnsi="Arial" w:cs="Arial"/>
          <w:lang w:val="en-US"/>
        </w:rPr>
      </w:pPr>
      <w:r w:rsidRPr="009A0B4C">
        <w:rPr>
          <w:rFonts w:ascii="Arial" w:hAnsi="Arial" w:cs="Arial"/>
          <w:lang w:val="en-US"/>
        </w:rPr>
        <w:t xml:space="preserve">As part of our vision to become a World Class Treasury, we believe Treasury has a primary role to support and invest in our key partners (service delivery clusters).  This includes a responsibility to lift the financial management capability and culture across the sector and support NSW Government’s commitment to achieve significant and sustainable financial management improvement.  </w:t>
      </w:r>
      <w:bookmarkEnd w:id="2"/>
    </w:p>
    <w:p w14:paraId="40FC535A" w14:textId="77777777" w:rsidR="0004198C" w:rsidRPr="003941B7" w:rsidRDefault="0004198C" w:rsidP="00786A7D">
      <w:pPr>
        <w:pStyle w:val="Heading1"/>
        <w:spacing w:before="120"/>
        <w:rPr>
          <w:rFonts w:ascii="Arial" w:hAnsi="Arial"/>
        </w:rPr>
      </w:pPr>
      <w:r w:rsidRPr="003941B7">
        <w:rPr>
          <w:rFonts w:ascii="Arial" w:hAnsi="Arial"/>
        </w:rPr>
        <w:t>Division overview</w:t>
      </w:r>
    </w:p>
    <w:p w14:paraId="2B167EE2" w14:textId="0087829E" w:rsidR="007843F5" w:rsidRPr="003941B7" w:rsidRDefault="009B0BB7" w:rsidP="00B7717D">
      <w:pPr>
        <w:rPr>
          <w:rFonts w:ascii="Arial" w:hAnsi="Arial" w:cs="Arial"/>
        </w:rPr>
      </w:pPr>
      <w:r w:rsidRPr="003941B7">
        <w:rPr>
          <w:rFonts w:ascii="Arial" w:hAnsi="Arial" w:cs="Arial"/>
        </w:rPr>
        <w:t xml:space="preserve">The </w:t>
      </w:r>
      <w:r w:rsidR="00D63F99">
        <w:rPr>
          <w:rFonts w:ascii="Arial" w:hAnsi="Arial" w:cs="Arial"/>
        </w:rPr>
        <w:t>Cabinet</w:t>
      </w:r>
      <w:r w:rsidR="00260444" w:rsidRPr="003941B7">
        <w:rPr>
          <w:rFonts w:ascii="Arial" w:hAnsi="Arial" w:cs="Arial"/>
        </w:rPr>
        <w:t xml:space="preserve"> </w:t>
      </w:r>
      <w:r w:rsidR="002C6F27" w:rsidRPr="003941B7">
        <w:rPr>
          <w:rFonts w:ascii="Arial" w:hAnsi="Arial" w:cs="Arial"/>
        </w:rPr>
        <w:t xml:space="preserve">Unit </w:t>
      </w:r>
      <w:r w:rsidR="00260444" w:rsidRPr="003941B7">
        <w:rPr>
          <w:rFonts w:ascii="Arial" w:hAnsi="Arial" w:cs="Arial"/>
        </w:rPr>
        <w:t>sits within the Executive and Ministerial Services (EMS) Branch of the Office of the Secretary in NSW Treasury. EMS is responsible for providing advice and support to Treasury including the Executive, the Treasurer, Cluster Ministers, and staff</w:t>
      </w:r>
      <w:r w:rsidR="00703CA7" w:rsidRPr="003941B7">
        <w:rPr>
          <w:rFonts w:ascii="Arial" w:hAnsi="Arial" w:cs="Arial"/>
        </w:rPr>
        <w:t>.</w:t>
      </w:r>
    </w:p>
    <w:p w14:paraId="190E801E" w14:textId="77777777" w:rsidR="0004198C" w:rsidRPr="003941B7" w:rsidRDefault="0004198C" w:rsidP="00786A7D">
      <w:pPr>
        <w:pStyle w:val="Heading1"/>
        <w:spacing w:before="120"/>
        <w:rPr>
          <w:rFonts w:ascii="Arial" w:hAnsi="Arial"/>
        </w:rPr>
      </w:pPr>
      <w:r w:rsidRPr="003941B7">
        <w:rPr>
          <w:rFonts w:ascii="Arial" w:hAnsi="Arial"/>
        </w:rPr>
        <w:t>Primary purpose of the role</w:t>
      </w:r>
    </w:p>
    <w:p w14:paraId="5B4031BA" w14:textId="75F125C4" w:rsidR="00094D44" w:rsidRPr="00DD1BDA" w:rsidRDefault="00094D44" w:rsidP="00DD1BDA">
      <w:pPr>
        <w:rPr>
          <w:rFonts w:ascii="Arial" w:hAnsi="Arial" w:cs="Arial"/>
        </w:rPr>
      </w:pPr>
      <w:r w:rsidRPr="00DD1BDA">
        <w:rPr>
          <w:rFonts w:ascii="Arial" w:hAnsi="Arial" w:cs="Arial"/>
        </w:rPr>
        <w:t xml:space="preserve">The role manages Treasury’s Cabinet Unit which has carriage of Treasury’s engagement with Cabinet and Committees as well as supporting the Treasurer in his capacity as </w:t>
      </w:r>
      <w:r w:rsidR="006C5EAD">
        <w:rPr>
          <w:rFonts w:ascii="Arial" w:hAnsi="Arial" w:cs="Arial"/>
        </w:rPr>
        <w:t xml:space="preserve">Alternate </w:t>
      </w:r>
      <w:r w:rsidRPr="00DD1BDA">
        <w:rPr>
          <w:rFonts w:ascii="Arial" w:hAnsi="Arial" w:cs="Arial"/>
        </w:rPr>
        <w:t>Chair of the Expenditure Review Committee of Cabinet</w:t>
      </w:r>
      <w:r w:rsidR="00571C40">
        <w:rPr>
          <w:rFonts w:ascii="Arial" w:hAnsi="Arial" w:cs="Arial"/>
        </w:rPr>
        <w:t xml:space="preserve"> (ERC)</w:t>
      </w:r>
      <w:r w:rsidRPr="00DD1BDA">
        <w:rPr>
          <w:rFonts w:ascii="Arial" w:hAnsi="Arial" w:cs="Arial"/>
        </w:rPr>
        <w:t>. The role leads stakeholder engagement liaising closely with Treasury’s Divisions, Executive</w:t>
      </w:r>
      <w:r w:rsidR="007A08EF">
        <w:rPr>
          <w:rFonts w:ascii="Arial" w:hAnsi="Arial" w:cs="Arial"/>
        </w:rPr>
        <w:t>,</w:t>
      </w:r>
      <w:r w:rsidRPr="00DD1BDA">
        <w:rPr>
          <w:rFonts w:ascii="Arial" w:hAnsi="Arial" w:cs="Arial"/>
        </w:rPr>
        <w:t xml:space="preserve"> </w:t>
      </w:r>
      <w:r w:rsidR="007A08EF">
        <w:rPr>
          <w:rFonts w:ascii="Arial" w:hAnsi="Arial" w:cs="Arial"/>
        </w:rPr>
        <w:t>and Treasury Cluster Ministers’ Offices</w:t>
      </w:r>
      <w:r w:rsidRPr="00DD1BDA">
        <w:rPr>
          <w:rFonts w:ascii="Arial" w:hAnsi="Arial" w:cs="Arial"/>
        </w:rPr>
        <w:t xml:space="preserve">. It also performs the role of Treasury’s Cabinet </w:t>
      </w:r>
      <w:r w:rsidR="00571C40" w:rsidRPr="00DD1BDA">
        <w:rPr>
          <w:rFonts w:ascii="Arial" w:hAnsi="Arial" w:cs="Arial"/>
        </w:rPr>
        <w:t>Liaison</w:t>
      </w:r>
      <w:r w:rsidRPr="00DD1BDA">
        <w:rPr>
          <w:rFonts w:ascii="Arial" w:hAnsi="Arial" w:cs="Arial"/>
        </w:rPr>
        <w:t xml:space="preserve"> Officer, representing Treasury across the NSW Government’s Cabinet Liaison Officer network and advising Clusters on ERC processes and agenda. The role ensures the flow of high quality, strategic and timely advice from subject experts in the cluster to the Executive/Treasur</w:t>
      </w:r>
      <w:r w:rsidR="00685FB7">
        <w:rPr>
          <w:rFonts w:ascii="Arial" w:hAnsi="Arial" w:cs="Arial"/>
        </w:rPr>
        <w:t xml:space="preserve">y Ministerial </w:t>
      </w:r>
      <w:r w:rsidRPr="00DD1BDA">
        <w:rPr>
          <w:rFonts w:ascii="Arial" w:hAnsi="Arial" w:cs="Arial"/>
        </w:rPr>
        <w:t>Office</w:t>
      </w:r>
      <w:r w:rsidR="00685FB7">
        <w:rPr>
          <w:rFonts w:ascii="Arial" w:hAnsi="Arial" w:cs="Arial"/>
        </w:rPr>
        <w:t>s</w:t>
      </w:r>
      <w:r w:rsidRPr="00DD1BDA">
        <w:rPr>
          <w:rFonts w:ascii="Arial" w:hAnsi="Arial" w:cs="Arial"/>
        </w:rPr>
        <w:t xml:space="preserve"> to support involvement in Cabinet and Committees. The role is also responsible for managing Treasury’s Executive Council processes.</w:t>
      </w:r>
    </w:p>
    <w:p w14:paraId="48C08AAE" w14:textId="5057FE6A" w:rsidR="00094D44" w:rsidRPr="00DD1BDA" w:rsidRDefault="00094D44" w:rsidP="00DD1BDA">
      <w:pPr>
        <w:rPr>
          <w:rFonts w:ascii="Arial" w:hAnsi="Arial" w:cs="Arial"/>
        </w:rPr>
      </w:pPr>
      <w:r w:rsidRPr="00DD1BDA">
        <w:rPr>
          <w:rFonts w:ascii="Arial" w:hAnsi="Arial" w:cs="Arial"/>
        </w:rPr>
        <w:t>On-time coordination of timely advice on Cabinet processes requires planning, risk management, stakeholder management and efficient execution. High-level communication, negotiation and organi</w:t>
      </w:r>
      <w:r w:rsidR="00C44787">
        <w:rPr>
          <w:rFonts w:ascii="Arial" w:hAnsi="Arial" w:cs="Arial"/>
        </w:rPr>
        <w:t>s</w:t>
      </w:r>
      <w:r w:rsidRPr="00DD1BDA">
        <w:rPr>
          <w:rFonts w:ascii="Arial" w:hAnsi="Arial" w:cs="Arial"/>
        </w:rPr>
        <w:t xml:space="preserve">ational skills are essential for this role. </w:t>
      </w:r>
    </w:p>
    <w:p w14:paraId="1D951472" w14:textId="5D830E31" w:rsidR="00094D44" w:rsidRPr="00DD1BDA" w:rsidRDefault="00094D44" w:rsidP="00DD1BDA">
      <w:pPr>
        <w:rPr>
          <w:rFonts w:ascii="Arial" w:hAnsi="Arial" w:cs="Arial"/>
        </w:rPr>
      </w:pPr>
      <w:r w:rsidRPr="00DD1BDA">
        <w:rPr>
          <w:rFonts w:ascii="Arial" w:hAnsi="Arial" w:cs="Arial"/>
        </w:rPr>
        <w:t xml:space="preserve">The role has a team of four direct reports comprising two Senior Cabinet Liaison Officers, a Cabinet Liaison Officer and a Cabinet Support Officer. Advanced management skills are required to ensure team capacity grows to develop closer and earlier engagement with Treasury Divisions in the development of Cabinet submissions. </w:t>
      </w:r>
    </w:p>
    <w:p w14:paraId="5EF95AED" w14:textId="6DD70DF6" w:rsidR="0004198C" w:rsidRPr="003941B7" w:rsidRDefault="0004198C" w:rsidP="00052553">
      <w:pPr>
        <w:jc w:val="both"/>
        <w:rPr>
          <w:rFonts w:ascii="Arial" w:hAnsi="Arial" w:cs="Arial"/>
          <w:b/>
          <w:bCs/>
          <w:kern w:val="32"/>
          <w:sz w:val="26"/>
          <w:szCs w:val="32"/>
        </w:rPr>
      </w:pPr>
      <w:r w:rsidRPr="003941B7">
        <w:rPr>
          <w:rFonts w:ascii="Arial" w:hAnsi="Arial" w:cs="Arial"/>
          <w:b/>
          <w:bCs/>
          <w:kern w:val="32"/>
          <w:sz w:val="26"/>
          <w:szCs w:val="32"/>
        </w:rPr>
        <w:t>Key accountabilities</w:t>
      </w:r>
    </w:p>
    <w:p w14:paraId="4858FB98"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eastAsia="Arial" w:hAnsi="Arial" w:cs="Arial"/>
          <w:sz w:val="22"/>
        </w:rPr>
        <w:t>Manage Treasury’s Cabinet Unit, leading a team of staff to ensure Treasury engages with the Cabinet process in a timely and professional way meeting its advisory and submission responsibilities as a central agency.</w:t>
      </w:r>
    </w:p>
    <w:p w14:paraId="18B8BFF3" w14:textId="6459AA20"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eastAsia="Arial" w:hAnsi="Arial" w:cs="Arial"/>
          <w:sz w:val="22"/>
        </w:rPr>
        <w:t xml:space="preserve">Support the Treasurer as </w:t>
      </w:r>
      <w:r w:rsidR="00E95B11">
        <w:rPr>
          <w:rFonts w:ascii="Arial" w:eastAsia="Arial" w:hAnsi="Arial" w:cs="Arial"/>
          <w:sz w:val="22"/>
        </w:rPr>
        <w:t xml:space="preserve">Alternate </w:t>
      </w:r>
      <w:r w:rsidRPr="00E95B11">
        <w:rPr>
          <w:rFonts w:ascii="Arial" w:eastAsia="Arial" w:hAnsi="Arial" w:cs="Arial"/>
          <w:sz w:val="22"/>
        </w:rPr>
        <w:t xml:space="preserve">Chair of the Expenditure Review Committee of Cabinet </w:t>
      </w:r>
      <w:r w:rsidR="008F2CA6">
        <w:rPr>
          <w:rFonts w:ascii="Arial" w:eastAsia="Arial" w:hAnsi="Arial" w:cs="Arial"/>
          <w:sz w:val="22"/>
        </w:rPr>
        <w:t xml:space="preserve">(ERC) </w:t>
      </w:r>
      <w:r w:rsidRPr="00E95B11">
        <w:rPr>
          <w:rFonts w:ascii="Arial" w:eastAsia="Arial" w:hAnsi="Arial" w:cs="Arial"/>
          <w:sz w:val="22"/>
        </w:rPr>
        <w:t xml:space="preserve">through management of the ERC coordination function, liaising with internal stakeholders, the Treasurer’s Office and Cluster agencies to set the agenda and ensure submissions and advices are delivered on time and to standard. </w:t>
      </w:r>
    </w:p>
    <w:p w14:paraId="02A89CEE"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Be the authoritative source of advice on Cabinet processes and best practice submissions in Treasury, taking full accountability for the quality, integrity and validity of the advice given.</w:t>
      </w:r>
    </w:p>
    <w:p w14:paraId="19990D29" w14:textId="39A8A603"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 xml:space="preserve">Lead Treasury’s Cabinet Unit engagement with a range of internal and external stakeholders including the </w:t>
      </w:r>
      <w:r w:rsidR="00E32E34">
        <w:rPr>
          <w:rFonts w:ascii="Arial" w:hAnsi="Arial"/>
          <w:sz w:val="22"/>
        </w:rPr>
        <w:t>Treasury Ministerial</w:t>
      </w:r>
      <w:r w:rsidRPr="00E95B11">
        <w:rPr>
          <w:rFonts w:ascii="Arial" w:hAnsi="Arial"/>
          <w:sz w:val="22"/>
        </w:rPr>
        <w:t xml:space="preserve"> Office</w:t>
      </w:r>
      <w:r w:rsidR="00E32E34">
        <w:rPr>
          <w:rFonts w:ascii="Arial" w:hAnsi="Arial"/>
          <w:sz w:val="22"/>
        </w:rPr>
        <w:t>s</w:t>
      </w:r>
      <w:r w:rsidRPr="00E95B11">
        <w:rPr>
          <w:rFonts w:ascii="Arial" w:hAnsi="Arial"/>
          <w:sz w:val="22"/>
        </w:rPr>
        <w:t>, Cluster agencies, Department of Premier &amp; Cabinet and senior staff in NSW Treasury.</w:t>
      </w:r>
    </w:p>
    <w:p w14:paraId="1F9AA84E"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Maintain a high level awareness of current and developing issues across Cabinet and Sub-Committees in order to identify linkages between Committees, and subsequent impacts on Treasury workflow.</w:t>
      </w:r>
    </w:p>
    <w:p w14:paraId="0B376A9E"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eastAsia="Arial" w:hAnsi="Arial" w:cs="Arial"/>
          <w:sz w:val="22"/>
        </w:rPr>
        <w:t>Support Treasury Executives and Groups in preparations for Cabinet and Committee meetings, including through on-time delivery of briefing folders and advice on submission status.</w:t>
      </w:r>
    </w:p>
    <w:p w14:paraId="6801DE4D"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Build effective relationships and apply refined negotiation and networking skills to ensure deadlines are met.</w:t>
      </w:r>
    </w:p>
    <w:p w14:paraId="2ABA24F0"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Understand Treasury’s work environment, its priorities and its deliverables as they interact with Cabinet, Sub-Committees and Parliamentary processes.</w:t>
      </w:r>
    </w:p>
    <w:p w14:paraId="4227D36B"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Ensure confidentiality over official Cabinet Records located in the Cabinet Unit.</w:t>
      </w:r>
    </w:p>
    <w:p w14:paraId="0CE68D9C"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Give prompt clear evidence-based feedback to Cabinet officers. Hold regular team meetings to facilitate group and individual development and knowledge sharing.</w:t>
      </w:r>
    </w:p>
    <w:p w14:paraId="03D35611" w14:textId="77777777" w:rsidR="007851BB" w:rsidRPr="00E95B11" w:rsidRDefault="007851BB" w:rsidP="007851BB">
      <w:pPr>
        <w:pStyle w:val="TableBullet"/>
        <w:numPr>
          <w:ilvl w:val="0"/>
          <w:numId w:val="17"/>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Manage the day to day responsibilities associated with the effective operation of the Cabinet Unit including staff and physical resource requirements.</w:t>
      </w:r>
    </w:p>
    <w:p w14:paraId="46EBAE81" w14:textId="77777777" w:rsidR="00AA62C4" w:rsidRPr="003941B7" w:rsidRDefault="0004198C" w:rsidP="00AA62C4">
      <w:pPr>
        <w:pStyle w:val="Heading1"/>
        <w:rPr>
          <w:rFonts w:ascii="Arial" w:hAnsi="Arial"/>
        </w:rPr>
      </w:pPr>
      <w:r w:rsidRPr="003941B7">
        <w:rPr>
          <w:rFonts w:ascii="Arial" w:hAnsi="Arial"/>
        </w:rPr>
        <w:t>Key challenges</w:t>
      </w:r>
      <w:bookmarkStart w:id="3" w:name="Challenges"/>
      <w:bookmarkEnd w:id="3"/>
    </w:p>
    <w:p w14:paraId="1FA1FFAB" w14:textId="77777777" w:rsidR="00EA3107" w:rsidRPr="00E95B11" w:rsidRDefault="00EA3107" w:rsidP="00EA3107">
      <w:pPr>
        <w:pStyle w:val="TableBullet"/>
        <w:numPr>
          <w:ilvl w:val="0"/>
          <w:numId w:val="19"/>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The performance of the Cabinet and Committees Unit affects Treasury’s performance in the Cabinet environment. This is high profile role and any failure is high risk.</w:t>
      </w:r>
    </w:p>
    <w:p w14:paraId="24DA08CE" w14:textId="77777777" w:rsidR="00EA3107" w:rsidRPr="00E95B11" w:rsidRDefault="00EA3107" w:rsidP="00EA3107">
      <w:pPr>
        <w:pStyle w:val="TableBullet"/>
        <w:numPr>
          <w:ilvl w:val="0"/>
          <w:numId w:val="19"/>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Ensuring quality, accuracy and version control in an environment that is often high volume and fast paced.</w:t>
      </w:r>
    </w:p>
    <w:p w14:paraId="5B909DD4" w14:textId="77777777" w:rsidR="00EA3107" w:rsidRPr="00E95B11" w:rsidRDefault="00EA3107" w:rsidP="00EA3107">
      <w:pPr>
        <w:pStyle w:val="TableBullet"/>
        <w:numPr>
          <w:ilvl w:val="0"/>
          <w:numId w:val="19"/>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Possessing excellent record-keeping and time management skills, efficient work practices and the ability to plan work program to achieve deadlines.</w:t>
      </w:r>
    </w:p>
    <w:p w14:paraId="5603A36F" w14:textId="77777777" w:rsidR="00EA3107" w:rsidRPr="00E95B11" w:rsidRDefault="00EA3107" w:rsidP="00EA3107">
      <w:pPr>
        <w:pStyle w:val="TableBullet"/>
        <w:numPr>
          <w:ilvl w:val="0"/>
          <w:numId w:val="19"/>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Anticipating stakeholder needs and identifying and avoiding risks to Cabinet processes.</w:t>
      </w:r>
    </w:p>
    <w:p w14:paraId="64A1B5DC" w14:textId="77777777" w:rsidR="00EA3107" w:rsidRPr="00E95B11" w:rsidRDefault="00EA3107" w:rsidP="00EA3107">
      <w:pPr>
        <w:pStyle w:val="TableBullet"/>
        <w:numPr>
          <w:ilvl w:val="0"/>
          <w:numId w:val="19"/>
        </w:numPr>
        <w:pBdr>
          <w:top w:val="nil"/>
          <w:left w:val="nil"/>
          <w:bottom w:val="nil"/>
          <w:right w:val="nil"/>
          <w:between w:val="nil"/>
          <w:bar w:val="nil"/>
        </w:pBdr>
        <w:spacing w:before="40" w:after="40" w:line="240" w:lineRule="atLeast"/>
        <w:rPr>
          <w:rFonts w:ascii="Arial" w:eastAsia="Arial" w:hAnsi="Arial" w:cs="Arial"/>
          <w:sz w:val="22"/>
        </w:rPr>
      </w:pPr>
      <w:r w:rsidRPr="00E95B11">
        <w:rPr>
          <w:rFonts w:ascii="Arial" w:hAnsi="Arial"/>
          <w:sz w:val="22"/>
        </w:rPr>
        <w:t>Taking responsibility for documents (such as ERC agenda) that are tabled as Cabinet documents.</w:t>
      </w:r>
    </w:p>
    <w:p w14:paraId="32F7EE0B" w14:textId="77777777" w:rsidR="0004198C" w:rsidRPr="003941B7" w:rsidRDefault="0004198C" w:rsidP="0017648B">
      <w:pPr>
        <w:pStyle w:val="Heading1"/>
        <w:rPr>
          <w:rFonts w:ascii="Arial" w:hAnsi="Arial"/>
        </w:rPr>
      </w:pPr>
      <w:r w:rsidRPr="003941B7">
        <w:rPr>
          <w:rFonts w:ascii="Arial" w:hAnsi="Arial"/>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0A0" w:firstRow="1" w:lastRow="0" w:firstColumn="1" w:lastColumn="0" w:noHBand="0" w:noVBand="0"/>
      </w:tblPr>
      <w:tblGrid>
        <w:gridCol w:w="3601"/>
        <w:gridCol w:w="6946"/>
      </w:tblGrid>
      <w:tr w:rsidR="0004198C" w:rsidRPr="003941B7" w14:paraId="167FBCBE" w14:textId="77777777" w:rsidTr="00855393">
        <w:trPr>
          <w:cantSplit/>
          <w:tblHeader/>
        </w:trPr>
        <w:tc>
          <w:tcPr>
            <w:tcW w:w="3601" w:type="dxa"/>
            <w:tcBorders>
              <w:top w:val="single" w:sz="8" w:space="0" w:color="auto"/>
              <w:left w:val="nil"/>
              <w:bottom w:val="single" w:sz="8" w:space="0" w:color="auto"/>
              <w:right w:val="nil"/>
            </w:tcBorders>
            <w:shd w:val="clear" w:color="auto" w:fill="6D276A"/>
          </w:tcPr>
          <w:p w14:paraId="6C73F499" w14:textId="77777777" w:rsidR="0004198C" w:rsidRPr="003941B7" w:rsidRDefault="0004198C" w:rsidP="00781E61">
            <w:pPr>
              <w:pStyle w:val="TableTextWhite0"/>
              <w:rPr>
                <w:rFonts w:cs="Arial"/>
                <w:sz w:val="20"/>
              </w:rPr>
            </w:pPr>
            <w:r w:rsidRPr="003941B7">
              <w:rPr>
                <w:rFonts w:cs="Arial"/>
                <w:sz w:val="20"/>
              </w:rPr>
              <w:t>Who</w:t>
            </w:r>
          </w:p>
        </w:tc>
        <w:tc>
          <w:tcPr>
            <w:tcW w:w="6946" w:type="dxa"/>
            <w:tcBorders>
              <w:top w:val="single" w:sz="8" w:space="0" w:color="auto"/>
              <w:left w:val="nil"/>
              <w:bottom w:val="single" w:sz="8" w:space="0" w:color="auto"/>
              <w:right w:val="nil"/>
            </w:tcBorders>
            <w:shd w:val="clear" w:color="auto" w:fill="6D276A"/>
          </w:tcPr>
          <w:p w14:paraId="377B768C" w14:textId="77777777" w:rsidR="0004198C" w:rsidRPr="003941B7" w:rsidRDefault="0004198C" w:rsidP="00781E61">
            <w:pPr>
              <w:pStyle w:val="TableTextWhite0"/>
              <w:rPr>
                <w:rFonts w:cs="Arial"/>
                <w:sz w:val="20"/>
              </w:rPr>
            </w:pPr>
            <w:r w:rsidRPr="003941B7">
              <w:rPr>
                <w:rFonts w:cs="Arial"/>
                <w:sz w:val="20"/>
              </w:rPr>
              <w:t>Why</w:t>
            </w:r>
          </w:p>
        </w:tc>
      </w:tr>
      <w:tr w:rsidR="0004198C" w:rsidRPr="003941B7" w14:paraId="71C28C44" w14:textId="77777777" w:rsidTr="00855393">
        <w:trPr>
          <w:cantSplit/>
        </w:trPr>
        <w:tc>
          <w:tcPr>
            <w:tcW w:w="3601" w:type="dxa"/>
            <w:tcBorders>
              <w:top w:val="single" w:sz="8" w:space="0" w:color="auto"/>
              <w:bottom w:val="single" w:sz="8" w:space="0" w:color="auto"/>
            </w:tcBorders>
            <w:shd w:val="clear" w:color="auto" w:fill="BCBEC0"/>
          </w:tcPr>
          <w:p w14:paraId="3D787D5F" w14:textId="77777777" w:rsidR="0004198C" w:rsidRPr="003941B7" w:rsidRDefault="0004198C" w:rsidP="00855393">
            <w:pPr>
              <w:pStyle w:val="TableText"/>
              <w:keepNext/>
              <w:rPr>
                <w:rFonts w:cs="Arial"/>
                <w:b/>
              </w:rPr>
            </w:pPr>
            <w:bookmarkStart w:id="4" w:name="InternalRelationships"/>
            <w:r w:rsidRPr="003941B7">
              <w:rPr>
                <w:rFonts w:cs="Arial"/>
                <w:b/>
              </w:rPr>
              <w:t>Internal</w:t>
            </w:r>
          </w:p>
        </w:tc>
        <w:tc>
          <w:tcPr>
            <w:tcW w:w="6946" w:type="dxa"/>
            <w:tcBorders>
              <w:top w:val="single" w:sz="8" w:space="0" w:color="auto"/>
              <w:bottom w:val="single" w:sz="8" w:space="0" w:color="auto"/>
            </w:tcBorders>
            <w:shd w:val="clear" w:color="auto" w:fill="BCBEC0"/>
          </w:tcPr>
          <w:p w14:paraId="526E6FC4" w14:textId="77777777" w:rsidR="0004198C" w:rsidRPr="003941B7" w:rsidRDefault="0004198C" w:rsidP="00855393">
            <w:pPr>
              <w:pStyle w:val="TableText"/>
              <w:keepNext/>
              <w:rPr>
                <w:rFonts w:cs="Arial"/>
                <w:b/>
              </w:rPr>
            </w:pPr>
          </w:p>
        </w:tc>
      </w:tr>
      <w:bookmarkEnd w:id="4"/>
      <w:tr w:rsidR="00411AF6" w:rsidRPr="003941B7" w14:paraId="075B604C" w14:textId="77777777" w:rsidTr="00855393">
        <w:tc>
          <w:tcPr>
            <w:tcW w:w="3601" w:type="dxa"/>
            <w:tcBorders>
              <w:top w:val="single" w:sz="8" w:space="0" w:color="auto"/>
            </w:tcBorders>
          </w:tcPr>
          <w:p w14:paraId="4F8BF348" w14:textId="5FCBEAD1" w:rsidR="00411AF6" w:rsidRPr="00411AF6" w:rsidRDefault="00411AF6" w:rsidP="00411AF6">
            <w:pPr>
              <w:pStyle w:val="TableText"/>
              <w:rPr>
                <w:rFonts w:cs="Arial"/>
                <w:sz w:val="22"/>
              </w:rPr>
            </w:pPr>
            <w:r w:rsidRPr="00411AF6">
              <w:rPr>
                <w:sz w:val="22"/>
              </w:rPr>
              <w:t>Director, Executive and Ministerial Services</w:t>
            </w:r>
          </w:p>
        </w:tc>
        <w:tc>
          <w:tcPr>
            <w:tcW w:w="6946" w:type="dxa"/>
            <w:tcBorders>
              <w:top w:val="single" w:sz="8" w:space="0" w:color="auto"/>
            </w:tcBorders>
          </w:tcPr>
          <w:p w14:paraId="4700DE42" w14:textId="79995403" w:rsidR="00411AF6" w:rsidRPr="00411AF6" w:rsidRDefault="00411AF6" w:rsidP="00411AF6">
            <w:pPr>
              <w:pStyle w:val="TableText"/>
              <w:rPr>
                <w:rFonts w:cs="Arial"/>
                <w:sz w:val="22"/>
              </w:rPr>
            </w:pPr>
            <w:r w:rsidRPr="00411AF6">
              <w:rPr>
                <w:sz w:val="22"/>
              </w:rPr>
              <w:t xml:space="preserve">Keep apprised and escalate issues as appropriate. </w:t>
            </w:r>
          </w:p>
        </w:tc>
      </w:tr>
      <w:tr w:rsidR="00411AF6" w:rsidRPr="003941B7" w14:paraId="5731BD27" w14:textId="77777777" w:rsidTr="00855393">
        <w:tc>
          <w:tcPr>
            <w:tcW w:w="3601" w:type="dxa"/>
          </w:tcPr>
          <w:p w14:paraId="578A00AD" w14:textId="63BEEF7E" w:rsidR="00411AF6" w:rsidRPr="00411AF6" w:rsidRDefault="00411AF6" w:rsidP="00411AF6">
            <w:pPr>
              <w:pStyle w:val="TableText"/>
              <w:rPr>
                <w:rFonts w:cs="Arial"/>
                <w:sz w:val="22"/>
              </w:rPr>
            </w:pPr>
            <w:r w:rsidRPr="00411AF6">
              <w:rPr>
                <w:sz w:val="22"/>
              </w:rPr>
              <w:t>Senior Leaders</w:t>
            </w:r>
          </w:p>
        </w:tc>
        <w:tc>
          <w:tcPr>
            <w:tcW w:w="6946" w:type="dxa"/>
          </w:tcPr>
          <w:p w14:paraId="6448C81C" w14:textId="47FAB868" w:rsidR="00411AF6" w:rsidRPr="00411AF6" w:rsidRDefault="00411AF6" w:rsidP="00411AF6">
            <w:pPr>
              <w:pStyle w:val="TableText"/>
              <w:rPr>
                <w:rFonts w:cs="Arial"/>
                <w:sz w:val="22"/>
              </w:rPr>
            </w:pPr>
            <w:r w:rsidRPr="00411AF6">
              <w:rPr>
                <w:sz w:val="22"/>
              </w:rPr>
              <w:t xml:space="preserve">Engage and effectively communicate to apprise developments and progress issues for action.  </w:t>
            </w:r>
          </w:p>
        </w:tc>
      </w:tr>
      <w:tr w:rsidR="00411AF6" w:rsidRPr="003941B7" w14:paraId="739F5065" w14:textId="77777777" w:rsidTr="00855393">
        <w:tc>
          <w:tcPr>
            <w:tcW w:w="3601" w:type="dxa"/>
          </w:tcPr>
          <w:p w14:paraId="2A3258FC" w14:textId="443729CB" w:rsidR="00411AF6" w:rsidRPr="00411AF6" w:rsidRDefault="00411AF6" w:rsidP="00411AF6">
            <w:pPr>
              <w:pStyle w:val="TableText"/>
              <w:rPr>
                <w:rFonts w:cs="Arial"/>
                <w:sz w:val="22"/>
              </w:rPr>
            </w:pPr>
            <w:r w:rsidRPr="00411AF6">
              <w:rPr>
                <w:sz w:val="22"/>
              </w:rPr>
              <w:t>Treasury staff</w:t>
            </w:r>
          </w:p>
        </w:tc>
        <w:tc>
          <w:tcPr>
            <w:tcW w:w="6946" w:type="dxa"/>
          </w:tcPr>
          <w:p w14:paraId="688C90E3" w14:textId="101EAD89" w:rsidR="00411AF6" w:rsidRPr="00411AF6" w:rsidRDefault="00411AF6" w:rsidP="00411AF6">
            <w:pPr>
              <w:pStyle w:val="TableText"/>
              <w:rPr>
                <w:rFonts w:cs="Arial"/>
                <w:sz w:val="22"/>
              </w:rPr>
            </w:pPr>
            <w:r w:rsidRPr="00411AF6">
              <w:rPr>
                <w:sz w:val="22"/>
              </w:rPr>
              <w:t>Build effective relationships of trust, providing advice and support in ensuring Treasury’s best practice engagement with the Cabinet process.</w:t>
            </w:r>
          </w:p>
        </w:tc>
      </w:tr>
      <w:tr w:rsidR="00411AF6" w:rsidRPr="003941B7" w14:paraId="23657F41" w14:textId="77777777" w:rsidTr="00855393">
        <w:tc>
          <w:tcPr>
            <w:tcW w:w="3601" w:type="dxa"/>
          </w:tcPr>
          <w:p w14:paraId="41DC1D2A" w14:textId="4523945F" w:rsidR="00411AF6" w:rsidRPr="00411AF6" w:rsidRDefault="00411AF6" w:rsidP="00411AF6">
            <w:pPr>
              <w:pStyle w:val="TableText"/>
              <w:rPr>
                <w:rFonts w:cs="Arial"/>
                <w:sz w:val="22"/>
              </w:rPr>
            </w:pPr>
            <w:r w:rsidRPr="00411AF6">
              <w:rPr>
                <w:sz w:val="22"/>
              </w:rPr>
              <w:t>Cabinet Unit staff</w:t>
            </w:r>
          </w:p>
        </w:tc>
        <w:tc>
          <w:tcPr>
            <w:tcW w:w="6946" w:type="dxa"/>
          </w:tcPr>
          <w:p w14:paraId="3457B272" w14:textId="46A53BF4" w:rsidR="00411AF6" w:rsidRPr="00411AF6" w:rsidRDefault="00411AF6" w:rsidP="00411AF6">
            <w:pPr>
              <w:pStyle w:val="TableText"/>
              <w:rPr>
                <w:rFonts w:cs="Arial"/>
                <w:sz w:val="22"/>
              </w:rPr>
            </w:pPr>
            <w:r w:rsidRPr="00411AF6">
              <w:rPr>
                <w:sz w:val="22"/>
              </w:rPr>
              <w:t>Lead team in delivering Cabinet Unit objectives.</w:t>
            </w:r>
          </w:p>
        </w:tc>
      </w:tr>
      <w:tr w:rsidR="0004198C" w:rsidRPr="003941B7" w14:paraId="4B064B82" w14:textId="77777777" w:rsidTr="00855393">
        <w:tc>
          <w:tcPr>
            <w:tcW w:w="3601" w:type="dxa"/>
            <w:shd w:val="clear" w:color="auto" w:fill="BCBEC0"/>
          </w:tcPr>
          <w:p w14:paraId="07CFB12A" w14:textId="77777777" w:rsidR="0004198C" w:rsidRPr="003941B7" w:rsidRDefault="0004198C" w:rsidP="00781E61">
            <w:pPr>
              <w:pStyle w:val="TableText"/>
              <w:rPr>
                <w:rFonts w:cs="Arial"/>
                <w:b/>
              </w:rPr>
            </w:pPr>
            <w:bookmarkStart w:id="5" w:name="ExternalRelationships"/>
            <w:r w:rsidRPr="003941B7">
              <w:rPr>
                <w:rFonts w:cs="Arial"/>
                <w:b/>
              </w:rPr>
              <w:t>External</w:t>
            </w:r>
          </w:p>
        </w:tc>
        <w:tc>
          <w:tcPr>
            <w:tcW w:w="6946" w:type="dxa"/>
            <w:shd w:val="clear" w:color="auto" w:fill="BCBEC0"/>
          </w:tcPr>
          <w:p w14:paraId="45CC55D9" w14:textId="77777777" w:rsidR="0004198C" w:rsidRPr="003941B7" w:rsidRDefault="0004198C" w:rsidP="00781E61">
            <w:pPr>
              <w:pStyle w:val="TableText"/>
              <w:rPr>
                <w:rFonts w:cs="Arial"/>
                <w:b/>
              </w:rPr>
            </w:pPr>
          </w:p>
        </w:tc>
      </w:tr>
      <w:tr w:rsidR="002046CF" w:rsidRPr="003941B7" w14:paraId="42E859FF" w14:textId="77777777" w:rsidTr="00855393">
        <w:tc>
          <w:tcPr>
            <w:tcW w:w="3601" w:type="dxa"/>
          </w:tcPr>
          <w:p w14:paraId="4B8BA6B9" w14:textId="6AEF55C1" w:rsidR="002046CF" w:rsidRPr="002046CF" w:rsidRDefault="002046CF" w:rsidP="002046CF">
            <w:pPr>
              <w:pStyle w:val="TableText"/>
              <w:rPr>
                <w:rFonts w:cs="Arial"/>
                <w:sz w:val="22"/>
              </w:rPr>
            </w:pPr>
            <w:r w:rsidRPr="002046CF">
              <w:rPr>
                <w:sz w:val="22"/>
              </w:rPr>
              <w:t>Treasurer’s Office</w:t>
            </w:r>
            <w:r w:rsidRPr="002046CF">
              <w:rPr>
                <w:sz w:val="22"/>
              </w:rPr>
              <w:tab/>
            </w:r>
          </w:p>
        </w:tc>
        <w:tc>
          <w:tcPr>
            <w:tcW w:w="6946" w:type="dxa"/>
          </w:tcPr>
          <w:p w14:paraId="4787E1A5" w14:textId="001A18CB" w:rsidR="002046CF" w:rsidRPr="002046CF" w:rsidRDefault="002046CF" w:rsidP="002046CF">
            <w:pPr>
              <w:pStyle w:val="TableText"/>
              <w:rPr>
                <w:rFonts w:cs="Arial"/>
                <w:sz w:val="22"/>
              </w:rPr>
            </w:pPr>
            <w:r w:rsidRPr="002046CF">
              <w:rPr>
                <w:sz w:val="22"/>
              </w:rPr>
              <w:t xml:space="preserve">Provide advice and support to the Treasurer as </w:t>
            </w:r>
            <w:r w:rsidR="00672267">
              <w:rPr>
                <w:sz w:val="22"/>
              </w:rPr>
              <w:t xml:space="preserve">Alternate </w:t>
            </w:r>
            <w:r w:rsidRPr="002046CF">
              <w:rPr>
                <w:sz w:val="22"/>
              </w:rPr>
              <w:t>Chair of ERC. Engage to provide advice and seek input in the management Treasury engagement with the Cabinet process.</w:t>
            </w:r>
          </w:p>
        </w:tc>
      </w:tr>
      <w:tr w:rsidR="0050419D" w:rsidRPr="003941B7" w14:paraId="14C771D4" w14:textId="77777777" w:rsidTr="00855393">
        <w:tc>
          <w:tcPr>
            <w:tcW w:w="3601" w:type="dxa"/>
          </w:tcPr>
          <w:p w14:paraId="74A97136" w14:textId="1501F745" w:rsidR="0050419D" w:rsidRPr="002046CF" w:rsidRDefault="0050419D" w:rsidP="002046CF">
            <w:pPr>
              <w:pStyle w:val="TableText"/>
              <w:rPr>
                <w:sz w:val="22"/>
              </w:rPr>
            </w:pPr>
            <w:r w:rsidRPr="002046CF">
              <w:rPr>
                <w:sz w:val="22"/>
              </w:rPr>
              <w:t>Treasur</w:t>
            </w:r>
            <w:r>
              <w:rPr>
                <w:sz w:val="22"/>
              </w:rPr>
              <w:t xml:space="preserve">y </w:t>
            </w:r>
            <w:r w:rsidR="00F82ECE">
              <w:rPr>
                <w:sz w:val="22"/>
              </w:rPr>
              <w:t>C</w:t>
            </w:r>
            <w:r>
              <w:rPr>
                <w:sz w:val="22"/>
              </w:rPr>
              <w:t>luster Ministerial</w:t>
            </w:r>
            <w:r w:rsidRPr="002046CF">
              <w:rPr>
                <w:sz w:val="22"/>
              </w:rPr>
              <w:t xml:space="preserve"> Office</w:t>
            </w:r>
            <w:r>
              <w:rPr>
                <w:sz w:val="22"/>
              </w:rPr>
              <w:t>s</w:t>
            </w:r>
          </w:p>
        </w:tc>
        <w:tc>
          <w:tcPr>
            <w:tcW w:w="6946" w:type="dxa"/>
          </w:tcPr>
          <w:p w14:paraId="23692BF1" w14:textId="0A0AB72D" w:rsidR="0050419D" w:rsidRPr="002046CF" w:rsidRDefault="0042030C" w:rsidP="002046CF">
            <w:pPr>
              <w:pStyle w:val="TableText"/>
              <w:rPr>
                <w:sz w:val="22"/>
              </w:rPr>
            </w:pPr>
            <w:r w:rsidRPr="0042030C">
              <w:rPr>
                <w:sz w:val="22"/>
              </w:rPr>
              <w:t>Develop and maintain effective working relationships to support effective Cabinet operations</w:t>
            </w:r>
            <w:r w:rsidR="00C23D16">
              <w:rPr>
                <w:sz w:val="22"/>
              </w:rPr>
              <w:t xml:space="preserve">. </w:t>
            </w:r>
            <w:r w:rsidRPr="0042030C">
              <w:rPr>
                <w:sz w:val="22"/>
              </w:rPr>
              <w:t>Provide expert advice on a range of Cabinet operational issues and strategies</w:t>
            </w:r>
            <w:r w:rsidR="00C23D16">
              <w:rPr>
                <w:sz w:val="22"/>
              </w:rPr>
              <w:t>.</w:t>
            </w:r>
          </w:p>
        </w:tc>
      </w:tr>
      <w:tr w:rsidR="002046CF" w:rsidRPr="003941B7" w14:paraId="119990BD" w14:textId="77777777" w:rsidTr="00855393">
        <w:tc>
          <w:tcPr>
            <w:tcW w:w="3601" w:type="dxa"/>
          </w:tcPr>
          <w:p w14:paraId="48DAA87B" w14:textId="519892DC" w:rsidR="002046CF" w:rsidRPr="002046CF" w:rsidRDefault="006D2688" w:rsidP="002046CF">
            <w:pPr>
              <w:pStyle w:val="TableText"/>
              <w:rPr>
                <w:rFonts w:cs="Arial"/>
                <w:sz w:val="22"/>
              </w:rPr>
            </w:pPr>
            <w:r>
              <w:rPr>
                <w:sz w:val="22"/>
              </w:rPr>
              <w:t xml:space="preserve">Cluster </w:t>
            </w:r>
            <w:r w:rsidR="002046CF" w:rsidRPr="002046CF">
              <w:rPr>
                <w:sz w:val="22"/>
              </w:rPr>
              <w:t>Cabinet Liaison Officers</w:t>
            </w:r>
          </w:p>
        </w:tc>
        <w:tc>
          <w:tcPr>
            <w:tcW w:w="6946" w:type="dxa"/>
          </w:tcPr>
          <w:p w14:paraId="077E413E" w14:textId="153654BD" w:rsidR="002046CF" w:rsidRPr="002046CF" w:rsidRDefault="002046CF" w:rsidP="002046CF">
            <w:pPr>
              <w:pStyle w:val="TableText"/>
              <w:rPr>
                <w:rFonts w:cs="Arial"/>
                <w:sz w:val="22"/>
              </w:rPr>
            </w:pPr>
            <w:r w:rsidRPr="002046CF">
              <w:rPr>
                <w:sz w:val="22"/>
              </w:rPr>
              <w:t>Effectively represent Treasury as a central agency. Advise on ERC process and liaise to ensure timely management of ERC agenda and submissions.</w:t>
            </w:r>
          </w:p>
        </w:tc>
      </w:tr>
      <w:tr w:rsidR="002046CF" w:rsidRPr="003941B7" w14:paraId="11AAA5D3" w14:textId="77777777" w:rsidTr="00855393">
        <w:tc>
          <w:tcPr>
            <w:tcW w:w="3601" w:type="dxa"/>
          </w:tcPr>
          <w:p w14:paraId="2C6E56D3" w14:textId="605D972C" w:rsidR="002046CF" w:rsidRPr="002046CF" w:rsidRDefault="002046CF" w:rsidP="002046CF">
            <w:pPr>
              <w:pStyle w:val="TableText"/>
              <w:rPr>
                <w:rFonts w:cs="Arial"/>
                <w:sz w:val="22"/>
              </w:rPr>
            </w:pPr>
            <w:r w:rsidRPr="002046CF">
              <w:rPr>
                <w:sz w:val="22"/>
              </w:rPr>
              <w:t xml:space="preserve">Key external stakeholders, including the Department of Premier &amp; Cabinet. </w:t>
            </w:r>
          </w:p>
        </w:tc>
        <w:tc>
          <w:tcPr>
            <w:tcW w:w="6946" w:type="dxa"/>
          </w:tcPr>
          <w:p w14:paraId="20059826" w14:textId="017D5BE3" w:rsidR="002046CF" w:rsidRPr="002046CF" w:rsidRDefault="002046CF" w:rsidP="002046CF">
            <w:pPr>
              <w:pStyle w:val="TableText"/>
              <w:rPr>
                <w:rFonts w:cs="Arial"/>
                <w:sz w:val="22"/>
              </w:rPr>
            </w:pPr>
            <w:r w:rsidRPr="002046CF">
              <w:rPr>
                <w:sz w:val="22"/>
              </w:rPr>
              <w:t xml:space="preserve">Develop and maintain effective working relationships and open channels of communication to facilitate liaison, consultation, and engagement. </w:t>
            </w:r>
          </w:p>
        </w:tc>
      </w:tr>
    </w:tbl>
    <w:bookmarkEnd w:id="5"/>
    <w:p w14:paraId="2E559873" w14:textId="77777777" w:rsidR="0004198C" w:rsidRPr="003941B7" w:rsidRDefault="0004198C" w:rsidP="001F2650">
      <w:pPr>
        <w:pStyle w:val="Heading1"/>
        <w:spacing w:before="120"/>
        <w:rPr>
          <w:rFonts w:ascii="Arial" w:hAnsi="Arial"/>
        </w:rPr>
      </w:pPr>
      <w:r w:rsidRPr="003941B7">
        <w:rPr>
          <w:rFonts w:ascii="Arial" w:hAnsi="Arial"/>
        </w:rPr>
        <w:t>Role dimensions</w:t>
      </w:r>
    </w:p>
    <w:p w14:paraId="24C6345E" w14:textId="77777777" w:rsidR="0004198C" w:rsidRPr="003941B7" w:rsidRDefault="0004198C" w:rsidP="00786A7D">
      <w:pPr>
        <w:pStyle w:val="Heading2"/>
        <w:spacing w:before="120"/>
        <w:rPr>
          <w:rFonts w:ascii="Arial" w:hAnsi="Arial"/>
        </w:rPr>
      </w:pPr>
      <w:r w:rsidRPr="003941B7">
        <w:rPr>
          <w:rFonts w:ascii="Arial" w:hAnsi="Arial"/>
        </w:rPr>
        <w:t>Decision making</w:t>
      </w:r>
    </w:p>
    <w:p w14:paraId="62D3C3A7" w14:textId="77777777" w:rsidR="0004198C" w:rsidRPr="003941B7" w:rsidRDefault="0004198C" w:rsidP="002B36FE">
      <w:pPr>
        <w:pStyle w:val="TableText"/>
        <w:rPr>
          <w:rFonts w:cs="Arial"/>
          <w:sz w:val="22"/>
        </w:rPr>
      </w:pPr>
      <w:r w:rsidRPr="003941B7">
        <w:rPr>
          <w:rFonts w:cs="Arial"/>
          <w:sz w:val="22"/>
        </w:rPr>
        <w:t>This role:</w:t>
      </w:r>
    </w:p>
    <w:p w14:paraId="2B23090E" w14:textId="77777777" w:rsidR="003F12F2" w:rsidRPr="003F12F2" w:rsidRDefault="003F12F2" w:rsidP="003F12F2">
      <w:pPr>
        <w:pStyle w:val="TableText"/>
        <w:numPr>
          <w:ilvl w:val="0"/>
          <w:numId w:val="20"/>
        </w:numPr>
        <w:rPr>
          <w:rFonts w:cs="Arial"/>
          <w:sz w:val="22"/>
        </w:rPr>
      </w:pPr>
      <w:r w:rsidRPr="003F12F2">
        <w:rPr>
          <w:rFonts w:cs="Arial"/>
          <w:sz w:val="22"/>
        </w:rPr>
        <w:t>Recognises when to make decisions and ask relevant questions; and when to escalate an issue</w:t>
      </w:r>
    </w:p>
    <w:p w14:paraId="7A1F1EBF" w14:textId="77777777" w:rsidR="003F12F2" w:rsidRPr="003F12F2" w:rsidRDefault="003F12F2" w:rsidP="003F12F2">
      <w:pPr>
        <w:pStyle w:val="TableText"/>
        <w:numPr>
          <w:ilvl w:val="0"/>
          <w:numId w:val="20"/>
        </w:numPr>
        <w:rPr>
          <w:rFonts w:cs="Arial"/>
          <w:sz w:val="22"/>
        </w:rPr>
      </w:pPr>
      <w:r w:rsidRPr="003F12F2">
        <w:rPr>
          <w:rFonts w:cs="Arial"/>
          <w:sz w:val="22"/>
        </w:rPr>
        <w:t>Undertakes objective systematic analysis and draws accurate conclusions based on evidence</w:t>
      </w:r>
    </w:p>
    <w:p w14:paraId="0878BB6B" w14:textId="77777777" w:rsidR="00133C5E" w:rsidRPr="003941B7" w:rsidRDefault="00133C5E" w:rsidP="002B36FE">
      <w:pPr>
        <w:pStyle w:val="TableText"/>
        <w:rPr>
          <w:rFonts w:cs="Arial"/>
          <w:sz w:val="22"/>
        </w:rPr>
      </w:pPr>
    </w:p>
    <w:p w14:paraId="1ABAA4AE" w14:textId="77777777" w:rsidR="0004198C" w:rsidRPr="003941B7" w:rsidRDefault="0004198C" w:rsidP="00786A7D">
      <w:pPr>
        <w:pStyle w:val="Heading2"/>
        <w:spacing w:before="120"/>
        <w:rPr>
          <w:rFonts w:ascii="Arial" w:hAnsi="Arial"/>
        </w:rPr>
      </w:pPr>
      <w:r w:rsidRPr="003941B7">
        <w:rPr>
          <w:rFonts w:ascii="Arial" w:hAnsi="Arial"/>
        </w:rPr>
        <w:t>Reporting line</w:t>
      </w:r>
    </w:p>
    <w:p w14:paraId="054C7285" w14:textId="77777777" w:rsidR="0004198C" w:rsidRPr="003941B7" w:rsidRDefault="0004198C" w:rsidP="002B36FE">
      <w:pPr>
        <w:pStyle w:val="TableText"/>
        <w:rPr>
          <w:rFonts w:cs="Arial"/>
        </w:rPr>
      </w:pPr>
      <w:r w:rsidRPr="003941B7">
        <w:rPr>
          <w:rFonts w:cs="Arial"/>
          <w:sz w:val="22"/>
        </w:rPr>
        <w:t xml:space="preserve">This role reports to </w:t>
      </w:r>
      <w:r w:rsidR="001F6245" w:rsidRPr="003941B7">
        <w:rPr>
          <w:rFonts w:cs="Arial"/>
          <w:sz w:val="22"/>
        </w:rPr>
        <w:t xml:space="preserve">the </w:t>
      </w:r>
      <w:r w:rsidR="00697D9B" w:rsidRPr="003941B7">
        <w:rPr>
          <w:rFonts w:cs="Arial"/>
          <w:sz w:val="22"/>
        </w:rPr>
        <w:t>Director</w:t>
      </w:r>
      <w:r w:rsidR="00552EA3" w:rsidRPr="003941B7">
        <w:rPr>
          <w:rFonts w:cs="Arial"/>
          <w:sz w:val="22"/>
        </w:rPr>
        <w:t xml:space="preserve"> -</w:t>
      </w:r>
      <w:r w:rsidR="00697D9B" w:rsidRPr="003941B7">
        <w:rPr>
          <w:rFonts w:cs="Arial"/>
          <w:sz w:val="22"/>
        </w:rPr>
        <w:t xml:space="preserve"> Executive &amp; Ministerial Services</w:t>
      </w:r>
      <w:r w:rsidR="00133C5E" w:rsidRPr="003941B7">
        <w:rPr>
          <w:rFonts w:cs="Arial"/>
          <w:sz w:val="22"/>
        </w:rPr>
        <w:t>.</w:t>
      </w:r>
      <w:r w:rsidR="00133C5E" w:rsidRPr="003941B7">
        <w:rPr>
          <w:rFonts w:cs="Arial"/>
        </w:rPr>
        <w:t xml:space="preserve"> </w:t>
      </w:r>
    </w:p>
    <w:p w14:paraId="60D1FA7B" w14:textId="77777777" w:rsidR="000214E5" w:rsidRDefault="000214E5" w:rsidP="00DF57AC">
      <w:pPr>
        <w:pStyle w:val="Heading2"/>
        <w:spacing w:before="120"/>
        <w:rPr>
          <w:rFonts w:ascii="Arial" w:hAnsi="Arial"/>
        </w:rPr>
      </w:pPr>
    </w:p>
    <w:p w14:paraId="72833A4A" w14:textId="77777777" w:rsidR="00DF57AC" w:rsidRPr="003941B7" w:rsidRDefault="00DF57AC" w:rsidP="00DF57AC">
      <w:pPr>
        <w:pStyle w:val="Heading2"/>
        <w:spacing w:before="120"/>
        <w:rPr>
          <w:rFonts w:ascii="Arial" w:hAnsi="Arial"/>
        </w:rPr>
      </w:pPr>
      <w:r w:rsidRPr="003941B7">
        <w:rPr>
          <w:rFonts w:ascii="Arial" w:hAnsi="Arial"/>
        </w:rPr>
        <w:t>Direct reports</w:t>
      </w:r>
    </w:p>
    <w:p w14:paraId="2F602185" w14:textId="6EAD7C81" w:rsidR="004C52AC" w:rsidRPr="005D5FFA" w:rsidRDefault="008D7F14" w:rsidP="004C52AC">
      <w:pPr>
        <w:pStyle w:val="TableText"/>
        <w:rPr>
          <w:rFonts w:cs="Arial"/>
          <w:sz w:val="22"/>
        </w:rPr>
      </w:pPr>
      <w:r>
        <w:rPr>
          <w:rFonts w:cs="Arial"/>
          <w:sz w:val="22"/>
        </w:rPr>
        <w:t>Up to four staff</w:t>
      </w:r>
      <w:r w:rsidR="00DF57AC" w:rsidRPr="005D5FFA">
        <w:rPr>
          <w:rFonts w:cs="Arial"/>
          <w:sz w:val="22"/>
        </w:rPr>
        <w:t>.</w:t>
      </w:r>
    </w:p>
    <w:p w14:paraId="15F2AFE1" w14:textId="77777777" w:rsidR="000214E5" w:rsidRDefault="000214E5" w:rsidP="004C52AC">
      <w:pPr>
        <w:keepNext/>
        <w:outlineLvl w:val="1"/>
        <w:rPr>
          <w:rFonts w:ascii="Arial" w:hAnsi="Arial" w:cs="Arial"/>
          <w:b/>
          <w:bCs/>
          <w:iCs/>
          <w:color w:val="6D6E71"/>
          <w:szCs w:val="28"/>
        </w:rPr>
      </w:pPr>
    </w:p>
    <w:p w14:paraId="1A5205EF" w14:textId="77777777" w:rsidR="004C52AC" w:rsidRPr="00711115" w:rsidRDefault="004C52AC" w:rsidP="004C52AC">
      <w:pPr>
        <w:keepNext/>
        <w:outlineLvl w:val="1"/>
        <w:rPr>
          <w:rFonts w:ascii="Arial" w:hAnsi="Arial" w:cs="Arial"/>
          <w:b/>
          <w:bCs/>
          <w:iCs/>
          <w:color w:val="6D6E71"/>
          <w:sz w:val="24"/>
          <w:szCs w:val="28"/>
        </w:rPr>
      </w:pPr>
      <w:r w:rsidRPr="00711115">
        <w:rPr>
          <w:rFonts w:ascii="Arial" w:hAnsi="Arial" w:cs="Arial"/>
          <w:b/>
          <w:bCs/>
          <w:iCs/>
          <w:color w:val="6D6E71"/>
          <w:sz w:val="24"/>
          <w:szCs w:val="28"/>
        </w:rPr>
        <w:t>Budget/Expenditure</w:t>
      </w:r>
    </w:p>
    <w:p w14:paraId="57BA6855" w14:textId="77777777" w:rsidR="004C52AC" w:rsidRPr="003941B7" w:rsidRDefault="004C52AC" w:rsidP="004C52AC">
      <w:pPr>
        <w:spacing w:line="276" w:lineRule="auto"/>
        <w:rPr>
          <w:rFonts w:ascii="Arial" w:eastAsia="Times New Roman" w:hAnsi="Arial" w:cs="Arial"/>
          <w:szCs w:val="26"/>
        </w:rPr>
      </w:pPr>
      <w:r w:rsidRPr="003941B7">
        <w:rPr>
          <w:rFonts w:ascii="Arial" w:eastAsia="Times New Roman" w:hAnsi="Arial" w:cs="Arial"/>
          <w:szCs w:val="26"/>
        </w:rPr>
        <w:t>TBA.</w:t>
      </w:r>
    </w:p>
    <w:p w14:paraId="25415BCC" w14:textId="77777777" w:rsidR="000214E5" w:rsidRDefault="000214E5" w:rsidP="00DF57AC">
      <w:pPr>
        <w:pStyle w:val="Heading2"/>
        <w:spacing w:before="120"/>
        <w:rPr>
          <w:rFonts w:ascii="Arial" w:hAnsi="Arial"/>
        </w:rPr>
      </w:pPr>
    </w:p>
    <w:p w14:paraId="576B6F8F" w14:textId="77777777" w:rsidR="00DF57AC" w:rsidRPr="003941B7" w:rsidRDefault="00DF57AC" w:rsidP="00DF57AC">
      <w:pPr>
        <w:pStyle w:val="Heading2"/>
        <w:spacing w:before="120"/>
        <w:rPr>
          <w:rFonts w:ascii="Arial" w:hAnsi="Arial"/>
        </w:rPr>
      </w:pPr>
      <w:r w:rsidRPr="003941B7">
        <w:rPr>
          <w:rFonts w:ascii="Arial" w:hAnsi="Arial"/>
        </w:rPr>
        <w:t>Essential requirements</w:t>
      </w:r>
    </w:p>
    <w:p w14:paraId="4A58262A" w14:textId="77777777" w:rsidR="00903CD2" w:rsidRPr="00903CD2" w:rsidRDefault="00903CD2" w:rsidP="00381ECB">
      <w:pPr>
        <w:pStyle w:val="TableText"/>
        <w:numPr>
          <w:ilvl w:val="0"/>
          <w:numId w:val="20"/>
        </w:numPr>
        <w:rPr>
          <w:rFonts w:cs="Arial"/>
          <w:sz w:val="22"/>
        </w:rPr>
      </w:pPr>
      <w:r w:rsidRPr="00903CD2">
        <w:rPr>
          <w:rFonts w:cs="Arial"/>
          <w:sz w:val="22"/>
        </w:rPr>
        <w:t>Substantial experience in Government including demonstrated experience managing Cluster engagement with the Cabinet process.</w:t>
      </w:r>
    </w:p>
    <w:p w14:paraId="32BD0262" w14:textId="77777777" w:rsidR="00903CD2" w:rsidRPr="00903CD2" w:rsidRDefault="00903CD2" w:rsidP="00381ECB">
      <w:pPr>
        <w:pStyle w:val="TableText"/>
        <w:numPr>
          <w:ilvl w:val="0"/>
          <w:numId w:val="20"/>
        </w:numPr>
        <w:rPr>
          <w:rFonts w:cs="Arial"/>
          <w:sz w:val="22"/>
        </w:rPr>
      </w:pPr>
      <w:r w:rsidRPr="00903CD2">
        <w:rPr>
          <w:rFonts w:cs="Arial"/>
          <w:sz w:val="22"/>
        </w:rPr>
        <w:t>High-level communication and negotiation skills with a demonstrated ability to communicate with influence to deliver results.</w:t>
      </w:r>
    </w:p>
    <w:p w14:paraId="18113D60" w14:textId="77777777" w:rsidR="00903CD2" w:rsidRPr="00903CD2" w:rsidRDefault="00903CD2" w:rsidP="00381ECB">
      <w:pPr>
        <w:pStyle w:val="TableText"/>
        <w:numPr>
          <w:ilvl w:val="0"/>
          <w:numId w:val="20"/>
        </w:numPr>
        <w:rPr>
          <w:rFonts w:cs="Arial"/>
          <w:sz w:val="22"/>
        </w:rPr>
      </w:pPr>
      <w:r w:rsidRPr="00903CD2">
        <w:rPr>
          <w:rFonts w:cs="Arial"/>
          <w:sz w:val="22"/>
        </w:rPr>
        <w:t>Advanced management skills including building staff capacity to address changing Government needs.</w:t>
      </w:r>
    </w:p>
    <w:p w14:paraId="686C4232" w14:textId="3951A696" w:rsidR="00903CD2" w:rsidRPr="00903CD2" w:rsidRDefault="00903CD2" w:rsidP="00381ECB">
      <w:pPr>
        <w:pStyle w:val="TableText"/>
        <w:numPr>
          <w:ilvl w:val="0"/>
          <w:numId w:val="20"/>
        </w:numPr>
        <w:rPr>
          <w:rFonts w:cs="Arial"/>
          <w:sz w:val="22"/>
        </w:rPr>
      </w:pPr>
      <w:r w:rsidRPr="00903CD2">
        <w:rPr>
          <w:rFonts w:cs="Arial"/>
          <w:sz w:val="22"/>
        </w:rPr>
        <w:t>Advanced organi</w:t>
      </w:r>
      <w:r w:rsidR="0063309E">
        <w:rPr>
          <w:rFonts w:cs="Arial"/>
          <w:sz w:val="22"/>
        </w:rPr>
        <w:t>s</w:t>
      </w:r>
      <w:r w:rsidRPr="00903CD2">
        <w:rPr>
          <w:rFonts w:cs="Arial"/>
          <w:sz w:val="22"/>
        </w:rPr>
        <w:t>ational skills with the ability to plan and manage work processes involving multiple stakeholders to meet multiple competing deadlines.</w:t>
      </w:r>
    </w:p>
    <w:p w14:paraId="1C346C75" w14:textId="77777777" w:rsidR="00903CD2" w:rsidRPr="00903CD2" w:rsidRDefault="00903CD2" w:rsidP="00381ECB">
      <w:pPr>
        <w:pStyle w:val="TableText"/>
        <w:numPr>
          <w:ilvl w:val="0"/>
          <w:numId w:val="20"/>
        </w:numPr>
        <w:rPr>
          <w:rFonts w:cs="Arial"/>
          <w:sz w:val="22"/>
        </w:rPr>
      </w:pPr>
      <w:r w:rsidRPr="00903CD2">
        <w:rPr>
          <w:rFonts w:cs="Arial"/>
          <w:sz w:val="22"/>
        </w:rPr>
        <w:t>High-level ability to anticipate stakeholder needs and use initiative to identify and proactively avoid risks and issues developing.</w:t>
      </w:r>
    </w:p>
    <w:p w14:paraId="22317463" w14:textId="77777777" w:rsidR="00903CD2" w:rsidRPr="00903CD2" w:rsidRDefault="00903CD2" w:rsidP="00381ECB">
      <w:pPr>
        <w:pStyle w:val="TableText"/>
        <w:numPr>
          <w:ilvl w:val="0"/>
          <w:numId w:val="20"/>
        </w:numPr>
        <w:rPr>
          <w:rFonts w:cs="Arial"/>
          <w:sz w:val="22"/>
        </w:rPr>
      </w:pPr>
      <w:r w:rsidRPr="00903CD2">
        <w:rPr>
          <w:rFonts w:cs="Arial"/>
          <w:sz w:val="22"/>
        </w:rPr>
        <w:t>Demonstrated ability to represent Treasury across a range of stakeholders at a senior level.</w:t>
      </w:r>
    </w:p>
    <w:p w14:paraId="5E4AB010" w14:textId="77777777" w:rsidR="00903CD2" w:rsidRPr="00903CD2" w:rsidRDefault="00903CD2" w:rsidP="00381ECB">
      <w:pPr>
        <w:pStyle w:val="TableText"/>
        <w:numPr>
          <w:ilvl w:val="0"/>
          <w:numId w:val="20"/>
        </w:numPr>
        <w:rPr>
          <w:rFonts w:cs="Arial"/>
          <w:sz w:val="22"/>
        </w:rPr>
      </w:pPr>
      <w:r w:rsidRPr="00903CD2">
        <w:rPr>
          <w:rFonts w:cs="Arial"/>
          <w:sz w:val="22"/>
        </w:rPr>
        <w:t xml:space="preserve">Advanced drafting skills and an understanding of the policy process in Government. </w:t>
      </w:r>
    </w:p>
    <w:p w14:paraId="72513532" w14:textId="34399D1B" w:rsidR="00903CD2" w:rsidRPr="00903CD2" w:rsidRDefault="00903CD2" w:rsidP="00381ECB">
      <w:pPr>
        <w:pStyle w:val="TableText"/>
        <w:numPr>
          <w:ilvl w:val="0"/>
          <w:numId w:val="20"/>
        </w:numPr>
        <w:rPr>
          <w:rFonts w:cs="Arial"/>
          <w:sz w:val="22"/>
        </w:rPr>
      </w:pPr>
      <w:r w:rsidRPr="00903CD2">
        <w:rPr>
          <w:rFonts w:cs="Arial"/>
          <w:sz w:val="22"/>
        </w:rPr>
        <w:t>Demonstrated ability to build organi</w:t>
      </w:r>
      <w:r w:rsidR="004F227F">
        <w:rPr>
          <w:rFonts w:cs="Arial"/>
          <w:sz w:val="22"/>
        </w:rPr>
        <w:t>s</w:t>
      </w:r>
      <w:r w:rsidRPr="00903CD2">
        <w:rPr>
          <w:rFonts w:cs="Arial"/>
          <w:sz w:val="22"/>
        </w:rPr>
        <w:t>ational capacity including through the delivery of staff presentations.</w:t>
      </w:r>
    </w:p>
    <w:p w14:paraId="3072A1C5" w14:textId="77777777" w:rsidR="00903CD2" w:rsidRPr="00903CD2" w:rsidRDefault="00903CD2" w:rsidP="00381ECB">
      <w:pPr>
        <w:pStyle w:val="TableText"/>
        <w:numPr>
          <w:ilvl w:val="0"/>
          <w:numId w:val="20"/>
        </w:numPr>
        <w:rPr>
          <w:rFonts w:cs="Arial"/>
          <w:sz w:val="22"/>
        </w:rPr>
      </w:pPr>
      <w:r w:rsidRPr="00903CD2">
        <w:rPr>
          <w:rFonts w:cs="Arial"/>
          <w:sz w:val="22"/>
        </w:rPr>
        <w:t>Excellent record keeping skills with attention to detail and a high level of accuracy.</w:t>
      </w:r>
    </w:p>
    <w:p w14:paraId="38B4DDE8" w14:textId="77777777" w:rsidR="00903CD2" w:rsidRPr="00903CD2" w:rsidRDefault="00903CD2" w:rsidP="00381ECB">
      <w:pPr>
        <w:pStyle w:val="TableText"/>
        <w:numPr>
          <w:ilvl w:val="0"/>
          <w:numId w:val="20"/>
        </w:numPr>
        <w:rPr>
          <w:rFonts w:cs="Arial"/>
          <w:sz w:val="22"/>
        </w:rPr>
      </w:pPr>
      <w:r w:rsidRPr="00903CD2">
        <w:rPr>
          <w:rFonts w:cs="Arial"/>
          <w:sz w:val="22"/>
        </w:rPr>
        <w:t>Resilient, with a demonstrated ability to lead and deliver outcomes under pressure.</w:t>
      </w:r>
    </w:p>
    <w:p w14:paraId="0DB1D0DF" w14:textId="77777777" w:rsidR="00903CD2" w:rsidRPr="00903CD2" w:rsidRDefault="00903CD2" w:rsidP="00381ECB">
      <w:pPr>
        <w:pStyle w:val="TableText"/>
        <w:numPr>
          <w:ilvl w:val="0"/>
          <w:numId w:val="20"/>
        </w:numPr>
        <w:rPr>
          <w:rFonts w:cs="Arial"/>
          <w:sz w:val="22"/>
        </w:rPr>
      </w:pPr>
      <w:r w:rsidRPr="00903CD2">
        <w:rPr>
          <w:rFonts w:cs="Arial"/>
          <w:sz w:val="22"/>
        </w:rPr>
        <w:t>Knowledge of the Treasury portfolio and the role of Executive Government.</w:t>
      </w:r>
    </w:p>
    <w:p w14:paraId="061C898F" w14:textId="6AFE0A51" w:rsidR="000214E5" w:rsidRPr="00903CD2" w:rsidRDefault="0004198C" w:rsidP="004F227F">
      <w:pPr>
        <w:rPr>
          <w:rFonts w:eastAsia="Georgia" w:cs="Georgia"/>
          <w:b/>
          <w:bCs/>
          <w:color w:val="000000"/>
          <w:kern w:val="32"/>
          <w:sz w:val="28"/>
          <w:szCs w:val="26"/>
          <w:u w:color="000000"/>
          <w:bdr w:val="nil"/>
          <w:lang w:val="en-US" w:eastAsia="en-AU"/>
        </w:rPr>
      </w:pPr>
      <w:r w:rsidRPr="00903CD2">
        <w:rPr>
          <w:rFonts w:cs="Arial"/>
          <w:sz w:val="24"/>
          <w:szCs w:val="22"/>
        </w:rPr>
        <w:t xml:space="preserve"> </w:t>
      </w:r>
    </w:p>
    <w:p w14:paraId="0FD5EA79" w14:textId="77777777" w:rsidR="002A749B" w:rsidRPr="002E3021" w:rsidRDefault="002A749B" w:rsidP="002A749B">
      <w:pPr>
        <w:pStyle w:val="Heading"/>
        <w:spacing w:before="120"/>
        <w:rPr>
          <w:rFonts w:ascii="Arial" w:hAnsi="Arial" w:cs="Arial"/>
        </w:rPr>
      </w:pPr>
      <w:r w:rsidRPr="002E3021">
        <w:rPr>
          <w:rFonts w:ascii="Arial" w:hAnsi="Arial" w:cs="Arial"/>
          <w:lang w:val="en-US"/>
        </w:rPr>
        <w:t>Capabilities for the role</w:t>
      </w:r>
    </w:p>
    <w:p w14:paraId="1C90EE4A" w14:textId="77777777" w:rsidR="002A749B" w:rsidRPr="002E3021" w:rsidRDefault="002A749B" w:rsidP="003E61D0">
      <w:pPr>
        <w:pStyle w:val="Body"/>
        <w:rPr>
          <w:rFonts w:ascii="Arial" w:eastAsia="Arial" w:hAnsi="Arial" w:cs="Arial"/>
          <w:sz w:val="20"/>
          <w:szCs w:val="20"/>
        </w:rPr>
      </w:pPr>
      <w:r w:rsidRPr="002E3021">
        <w:rPr>
          <w:rFonts w:ascii="Arial" w:hAnsi="Arial" w:cs="Arial"/>
          <w:sz w:val="20"/>
          <w:szCs w:val="20"/>
          <w:lang w:val="en-US"/>
        </w:rPr>
        <w:t xml:space="preserve">The NSW Public Sector Capability Framework applies to all NSW public sector employees. The Capability Framework is available at </w:t>
      </w:r>
      <w:r w:rsidRPr="002E3021">
        <w:rPr>
          <w:rStyle w:val="Link"/>
          <w:rFonts w:ascii="Arial" w:hAnsi="Arial" w:cs="Arial"/>
          <w:sz w:val="20"/>
          <w:szCs w:val="20"/>
          <w:lang w:val="en-US"/>
        </w:rPr>
        <w:t>www.psc.nsw.gov.au/capabilityframework</w:t>
      </w:r>
    </w:p>
    <w:p w14:paraId="7F12478C" w14:textId="77777777" w:rsidR="002A749B" w:rsidRPr="002E3021" w:rsidRDefault="002A749B" w:rsidP="002A749B">
      <w:pPr>
        <w:pStyle w:val="Heading2"/>
        <w:spacing w:before="120"/>
        <w:rPr>
          <w:rFonts w:ascii="Arial" w:hAnsi="Arial"/>
        </w:rPr>
      </w:pPr>
      <w:r w:rsidRPr="002E3021">
        <w:rPr>
          <w:rFonts w:ascii="Arial" w:hAnsi="Arial"/>
        </w:rPr>
        <w:t>Capability summary</w:t>
      </w:r>
    </w:p>
    <w:p w14:paraId="7B4FCEAD" w14:textId="77777777" w:rsidR="002A3EF8" w:rsidRDefault="002A749B" w:rsidP="003E61D0">
      <w:pPr>
        <w:pStyle w:val="Body"/>
        <w:rPr>
          <w:rFonts w:ascii="Arial" w:eastAsia="Arial" w:hAnsi="Arial" w:cs="Arial"/>
          <w:sz w:val="20"/>
          <w:szCs w:val="20"/>
        </w:rPr>
      </w:pPr>
      <w:r w:rsidRPr="002E3021">
        <w:rPr>
          <w:rFonts w:ascii="Arial" w:hAnsi="Arial" w:cs="Arial"/>
          <w:sz w:val="20"/>
          <w:szCs w:val="20"/>
          <w:lang w:val="en-US"/>
        </w:rPr>
        <w:t>Below is the full list of capabilities and the level required for this role. The capabilities in bold are the focus capabilities for this role. Refer to the next section for further information about the focus capabilities.</w:t>
      </w:r>
    </w:p>
    <w:p w14:paraId="3FB8B6C3" w14:textId="77777777" w:rsidR="00025D74" w:rsidRDefault="00025D74" w:rsidP="00025D74">
      <w:pPr>
        <w:rPr>
          <w:rFonts w:ascii="Arial" w:eastAsia="Georgia" w:hAnsi="Arial" w:cs="Arial"/>
          <w:color w:val="000000"/>
          <w:szCs w:val="22"/>
          <w:u w:color="000000"/>
          <w:lang w:eastAsia="en-AU"/>
        </w:rPr>
      </w:pP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347"/>
        <w:gridCol w:w="17"/>
        <w:gridCol w:w="5152"/>
        <w:gridCol w:w="12"/>
        <w:gridCol w:w="2960"/>
      </w:tblGrid>
      <w:tr w:rsidR="00025D74" w:rsidRPr="00080876" w14:paraId="61081EFF" w14:textId="77777777" w:rsidTr="00702E5C">
        <w:trPr>
          <w:tblHeader/>
        </w:trPr>
        <w:tc>
          <w:tcPr>
            <w:tcW w:w="10482" w:type="dxa"/>
            <w:gridSpan w:val="5"/>
            <w:shd w:val="clear" w:color="auto" w:fill="5F497A" w:themeFill="accent4" w:themeFillShade="BF"/>
          </w:tcPr>
          <w:tbl>
            <w:tblPr>
              <w:tblStyle w:val="PSCPurple1"/>
              <w:tblW w:w="10857" w:type="dxa"/>
              <w:tblBorders>
                <w:top w:val="single" w:sz="8" w:space="0" w:color="BCBEC0"/>
                <w:bottom w:val="single" w:sz="12" w:space="0" w:color="auto"/>
              </w:tblBorders>
              <w:tblLook w:val="04A0" w:firstRow="1" w:lastRow="0" w:firstColumn="1" w:lastColumn="0" w:noHBand="0" w:noVBand="1"/>
              <w:tblCaption w:val="PSC_CapabilityFrameworkTable"/>
            </w:tblPr>
            <w:tblGrid>
              <w:gridCol w:w="10857"/>
            </w:tblGrid>
            <w:tr w:rsidR="00025D74" w:rsidRPr="00080876" w14:paraId="688054E1" w14:textId="77777777" w:rsidTr="00702E5C">
              <w:trPr>
                <w:cnfStyle w:val="100000000000" w:firstRow="1" w:lastRow="0" w:firstColumn="0" w:lastColumn="0" w:oddVBand="0" w:evenVBand="0" w:oddHBand="0" w:evenHBand="0" w:firstRowFirstColumn="0" w:firstRowLastColumn="0" w:lastRowFirstColumn="0" w:lastRowLastColumn="0"/>
                <w:tblHeader/>
              </w:trPr>
              <w:tc>
                <w:tcPr>
                  <w:tcW w:w="108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4830AE" w14:textId="77777777" w:rsidR="00025D74" w:rsidRPr="00080876" w:rsidRDefault="00025D74" w:rsidP="00702E5C">
                  <w:pPr>
                    <w:pStyle w:val="TableTextWhite0"/>
                    <w:keepNext/>
                  </w:pPr>
                  <w:r w:rsidRPr="00080876">
                    <w:t>NSW Public Sector Capability Framework</w:t>
                  </w:r>
                </w:p>
              </w:tc>
            </w:tr>
          </w:tbl>
          <w:p w14:paraId="1E453B7E" w14:textId="77777777" w:rsidR="00025D74" w:rsidRPr="00080876" w:rsidRDefault="00025D74" w:rsidP="00702E5C">
            <w:pPr>
              <w:pStyle w:val="TableTextWhite0"/>
              <w:keepNext/>
              <w:rPr>
                <w:rFonts w:eastAsiaTheme="minorHAnsi"/>
                <w:bCs/>
              </w:rPr>
            </w:pPr>
          </w:p>
        </w:tc>
      </w:tr>
      <w:tr w:rsidR="00025D74" w:rsidRPr="00D86BC6" w14:paraId="77E1DDAD" w14:textId="77777777" w:rsidTr="00702E5C">
        <w:trPr>
          <w:tblHeader/>
        </w:trPr>
        <w:tc>
          <w:tcPr>
            <w:tcW w:w="1996" w:type="dxa"/>
            <w:tcBorders>
              <w:bottom w:val="single" w:sz="12" w:space="0" w:color="auto"/>
            </w:tcBorders>
            <w:shd w:val="clear" w:color="auto" w:fill="BCBEC0"/>
            <w:vAlign w:val="center"/>
          </w:tcPr>
          <w:p w14:paraId="0F9A0EC1" w14:textId="77777777" w:rsidR="00025D74" w:rsidRPr="00D86BC6" w:rsidRDefault="00025D74" w:rsidP="00702E5C">
            <w:pPr>
              <w:pStyle w:val="TableText"/>
              <w:keepNext/>
              <w:rPr>
                <w:rFonts w:cs="Arial"/>
                <w:b/>
                <w:sz w:val="24"/>
                <w:szCs w:val="24"/>
              </w:rPr>
            </w:pPr>
            <w:r w:rsidRPr="00D86BC6">
              <w:rPr>
                <w:rFonts w:cs="Arial"/>
                <w:b/>
              </w:rPr>
              <w:t>Capability Group</w:t>
            </w:r>
          </w:p>
        </w:tc>
        <w:tc>
          <w:tcPr>
            <w:tcW w:w="5256" w:type="dxa"/>
            <w:gridSpan w:val="3"/>
            <w:tcBorders>
              <w:bottom w:val="single" w:sz="12" w:space="0" w:color="auto"/>
            </w:tcBorders>
            <w:shd w:val="clear" w:color="auto" w:fill="BCBEC0"/>
          </w:tcPr>
          <w:p w14:paraId="2434CE18" w14:textId="77777777" w:rsidR="00025D74" w:rsidRPr="00D86BC6" w:rsidRDefault="00025D74" w:rsidP="00702E5C">
            <w:pPr>
              <w:pStyle w:val="TableText"/>
              <w:keepNext/>
              <w:rPr>
                <w:rFonts w:cs="Arial"/>
                <w:b/>
                <w:sz w:val="24"/>
                <w:szCs w:val="24"/>
              </w:rPr>
            </w:pPr>
            <w:r w:rsidRPr="00D86BC6">
              <w:rPr>
                <w:rFonts w:cs="Arial"/>
                <w:b/>
              </w:rPr>
              <w:t>Capability Name</w:t>
            </w:r>
          </w:p>
        </w:tc>
        <w:tc>
          <w:tcPr>
            <w:tcW w:w="3230" w:type="dxa"/>
            <w:tcBorders>
              <w:bottom w:val="single" w:sz="12" w:space="0" w:color="auto"/>
            </w:tcBorders>
            <w:shd w:val="clear" w:color="auto" w:fill="BCBEC0"/>
          </w:tcPr>
          <w:p w14:paraId="18D3293E" w14:textId="77777777" w:rsidR="00025D74" w:rsidRPr="00D86BC6" w:rsidRDefault="00025D74" w:rsidP="00702E5C">
            <w:pPr>
              <w:pStyle w:val="TableText"/>
              <w:keepNext/>
              <w:rPr>
                <w:rFonts w:cs="Arial"/>
                <w:b/>
                <w:sz w:val="24"/>
                <w:szCs w:val="24"/>
              </w:rPr>
            </w:pPr>
            <w:r w:rsidRPr="00D86BC6">
              <w:rPr>
                <w:rFonts w:cs="Arial"/>
                <w:b/>
              </w:rPr>
              <w:t>Level</w:t>
            </w:r>
          </w:p>
        </w:tc>
      </w:tr>
      <w:tr w:rsidR="00025D74" w:rsidRPr="00D86BC6" w14:paraId="59BE5064" w14:textId="77777777" w:rsidTr="00702E5C">
        <w:tc>
          <w:tcPr>
            <w:tcW w:w="2010" w:type="dxa"/>
            <w:gridSpan w:val="2"/>
            <w:vMerge w:val="restart"/>
            <w:tcBorders>
              <w:top w:val="gems" w:sz="8" w:space="0" w:color="BCBEC0"/>
              <w:bottom w:val="single" w:sz="8" w:space="0" w:color="BCBEC0"/>
            </w:tcBorders>
            <w:vAlign w:val="center"/>
          </w:tcPr>
          <w:p w14:paraId="2F0231DB" w14:textId="77777777" w:rsidR="00025D74" w:rsidRPr="00D86BC6" w:rsidRDefault="00025D74" w:rsidP="00702E5C">
            <w:pPr>
              <w:keepNext/>
              <w:rPr>
                <w:rFonts w:cs="Arial"/>
              </w:rPr>
            </w:pPr>
            <w:r w:rsidRPr="00D86BC6">
              <w:rPr>
                <w:rFonts w:cs="Arial"/>
                <w:noProof/>
                <w:lang w:eastAsia="en-AU"/>
              </w:rPr>
              <w:drawing>
                <wp:inline distT="0" distB="0" distL="0" distR="0" wp14:anchorId="53EBB702" wp14:editId="14D89CFF">
                  <wp:extent cx="881037" cy="881037"/>
                  <wp:effectExtent l="0" t="0" r="0" b="0"/>
                  <wp:docPr id="10" name="Picture2" descr="Personal Attributes" title="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235" w:type="dxa"/>
            <w:tcBorders>
              <w:top w:val="gems" w:sz="8" w:space="0" w:color="BCBEC0"/>
              <w:bottom w:val="single" w:sz="8" w:space="0" w:color="BCBEC0"/>
            </w:tcBorders>
          </w:tcPr>
          <w:p w14:paraId="023F69B7" w14:textId="77777777" w:rsidR="00025D74" w:rsidRPr="00761B70" w:rsidRDefault="00025D74" w:rsidP="00702E5C">
            <w:pPr>
              <w:pStyle w:val="TableText"/>
              <w:keepNext/>
              <w:rPr>
                <w:rFonts w:cs="Arial"/>
                <w:sz w:val="24"/>
                <w:szCs w:val="24"/>
              </w:rPr>
            </w:pPr>
            <w:r w:rsidRPr="00761B70">
              <w:rPr>
                <w:rFonts w:cs="Arial"/>
              </w:rPr>
              <w:t>Display Resilience and Courage</w:t>
            </w:r>
          </w:p>
        </w:tc>
        <w:tc>
          <w:tcPr>
            <w:tcW w:w="3237" w:type="dxa"/>
            <w:gridSpan w:val="2"/>
            <w:tcBorders>
              <w:top w:val="gems" w:sz="8" w:space="0" w:color="BCBEC0"/>
              <w:bottom w:val="single" w:sz="8" w:space="0" w:color="BCBEC0"/>
            </w:tcBorders>
          </w:tcPr>
          <w:p w14:paraId="55C74C13" w14:textId="77777777" w:rsidR="00025D74" w:rsidRPr="00761B70" w:rsidRDefault="00025D74" w:rsidP="00702E5C">
            <w:pPr>
              <w:pStyle w:val="TableText"/>
              <w:keepNext/>
              <w:rPr>
                <w:rFonts w:cs="Arial"/>
              </w:rPr>
            </w:pPr>
            <w:r w:rsidRPr="00761B70">
              <w:rPr>
                <w:rFonts w:cs="Arial"/>
              </w:rPr>
              <w:t>Advanced</w:t>
            </w:r>
          </w:p>
        </w:tc>
      </w:tr>
      <w:tr w:rsidR="00025D74" w:rsidRPr="00D86BC6" w14:paraId="037D79ED" w14:textId="77777777" w:rsidTr="00702E5C">
        <w:tc>
          <w:tcPr>
            <w:tcW w:w="2010" w:type="dxa"/>
            <w:gridSpan w:val="2"/>
            <w:vMerge/>
            <w:tcBorders>
              <w:bottom w:val="single" w:sz="4" w:space="0" w:color="BCBEC0"/>
            </w:tcBorders>
          </w:tcPr>
          <w:p w14:paraId="751EF4DA" w14:textId="77777777" w:rsidR="00025D74" w:rsidRPr="00D86BC6" w:rsidRDefault="00025D74" w:rsidP="00702E5C">
            <w:pPr>
              <w:keepNext/>
              <w:rPr>
                <w:rFonts w:cs="Arial"/>
              </w:rPr>
            </w:pPr>
          </w:p>
        </w:tc>
        <w:tc>
          <w:tcPr>
            <w:tcW w:w="5235" w:type="dxa"/>
            <w:tcBorders>
              <w:bottom w:val="single" w:sz="4" w:space="0" w:color="BCBEC0"/>
            </w:tcBorders>
          </w:tcPr>
          <w:p w14:paraId="3FA437F2" w14:textId="77777777" w:rsidR="00025D74" w:rsidRPr="00761B70" w:rsidRDefault="00025D74" w:rsidP="00702E5C">
            <w:pPr>
              <w:pStyle w:val="TableText"/>
              <w:keepNext/>
              <w:rPr>
                <w:rFonts w:cs="Arial"/>
                <w:b/>
                <w:sz w:val="24"/>
                <w:szCs w:val="24"/>
              </w:rPr>
            </w:pPr>
            <w:r w:rsidRPr="00761B70">
              <w:rPr>
                <w:rFonts w:cs="Arial"/>
                <w:b/>
              </w:rPr>
              <w:t>Act with Integrity</w:t>
            </w:r>
          </w:p>
        </w:tc>
        <w:tc>
          <w:tcPr>
            <w:tcW w:w="3237" w:type="dxa"/>
            <w:gridSpan w:val="2"/>
            <w:tcBorders>
              <w:bottom w:val="single" w:sz="4" w:space="0" w:color="BCBEC0"/>
            </w:tcBorders>
          </w:tcPr>
          <w:p w14:paraId="1A03165C" w14:textId="30028796" w:rsidR="00025D74" w:rsidRPr="00025D74" w:rsidRDefault="00E11738" w:rsidP="00702E5C">
            <w:pPr>
              <w:pStyle w:val="TableText"/>
              <w:keepNext/>
              <w:rPr>
                <w:rFonts w:cs="Arial"/>
              </w:rPr>
            </w:pPr>
            <w:r w:rsidRPr="00D86BC6">
              <w:rPr>
                <w:rFonts w:cs="Arial"/>
                <w:b/>
              </w:rPr>
              <w:t>Advanced</w:t>
            </w:r>
          </w:p>
        </w:tc>
      </w:tr>
      <w:tr w:rsidR="00025D74" w:rsidRPr="00D86BC6" w14:paraId="7FCD3EAC" w14:textId="77777777" w:rsidTr="00702E5C">
        <w:tc>
          <w:tcPr>
            <w:tcW w:w="2010" w:type="dxa"/>
            <w:gridSpan w:val="2"/>
            <w:vMerge/>
            <w:tcBorders>
              <w:top w:val="single" w:sz="8" w:space="0" w:color="BCBEC0"/>
            </w:tcBorders>
          </w:tcPr>
          <w:p w14:paraId="7FBB3CE7" w14:textId="77777777" w:rsidR="00025D74" w:rsidRPr="00D86BC6" w:rsidRDefault="00025D74" w:rsidP="00702E5C">
            <w:pPr>
              <w:keepNext/>
              <w:rPr>
                <w:rFonts w:cs="Arial"/>
              </w:rPr>
            </w:pPr>
          </w:p>
        </w:tc>
        <w:tc>
          <w:tcPr>
            <w:tcW w:w="5235" w:type="dxa"/>
            <w:tcBorders>
              <w:top w:val="single" w:sz="8" w:space="0" w:color="BCBEC0"/>
            </w:tcBorders>
          </w:tcPr>
          <w:p w14:paraId="4D1C78E1" w14:textId="77777777" w:rsidR="00025D74" w:rsidRPr="00761B70" w:rsidRDefault="00025D74" w:rsidP="00702E5C">
            <w:pPr>
              <w:pStyle w:val="TableText"/>
              <w:keepNext/>
              <w:rPr>
                <w:rFonts w:cs="Arial"/>
                <w:sz w:val="24"/>
                <w:szCs w:val="24"/>
              </w:rPr>
            </w:pPr>
            <w:r w:rsidRPr="00761B70">
              <w:rPr>
                <w:rFonts w:cs="Arial"/>
              </w:rPr>
              <w:t>Manage Self</w:t>
            </w:r>
          </w:p>
        </w:tc>
        <w:tc>
          <w:tcPr>
            <w:tcW w:w="3237" w:type="dxa"/>
            <w:gridSpan w:val="2"/>
            <w:tcBorders>
              <w:top w:val="single" w:sz="8" w:space="0" w:color="BCBEC0"/>
            </w:tcBorders>
          </w:tcPr>
          <w:p w14:paraId="58563F75" w14:textId="7B4251C0" w:rsidR="00025D74" w:rsidRPr="00761B70" w:rsidRDefault="00E11738" w:rsidP="00702E5C">
            <w:pPr>
              <w:pStyle w:val="TableText"/>
              <w:keepNext/>
              <w:rPr>
                <w:rFonts w:cs="Arial"/>
              </w:rPr>
            </w:pPr>
            <w:r w:rsidRPr="00761B70">
              <w:rPr>
                <w:rFonts w:cs="Arial"/>
              </w:rPr>
              <w:t>Advanced</w:t>
            </w:r>
          </w:p>
        </w:tc>
      </w:tr>
      <w:tr w:rsidR="00025D74" w:rsidRPr="00D86BC6" w14:paraId="452EBD76" w14:textId="77777777" w:rsidTr="00702E5C">
        <w:tc>
          <w:tcPr>
            <w:tcW w:w="2010" w:type="dxa"/>
            <w:gridSpan w:val="2"/>
            <w:vMerge/>
            <w:tcBorders>
              <w:top w:val="single" w:sz="8" w:space="0" w:color="BCBEC0"/>
            </w:tcBorders>
          </w:tcPr>
          <w:p w14:paraId="7FEA3E26" w14:textId="77777777" w:rsidR="00025D74" w:rsidRPr="00D86BC6" w:rsidRDefault="00025D74" w:rsidP="00702E5C">
            <w:pPr>
              <w:keepNext/>
              <w:rPr>
                <w:rFonts w:cs="Arial"/>
              </w:rPr>
            </w:pPr>
          </w:p>
        </w:tc>
        <w:tc>
          <w:tcPr>
            <w:tcW w:w="5235" w:type="dxa"/>
            <w:tcBorders>
              <w:top w:val="single" w:sz="8" w:space="0" w:color="BCBEC0"/>
            </w:tcBorders>
          </w:tcPr>
          <w:p w14:paraId="585F26C6" w14:textId="77777777" w:rsidR="00025D74" w:rsidRPr="00D86BC6" w:rsidRDefault="00025D74" w:rsidP="00702E5C">
            <w:pPr>
              <w:pStyle w:val="TableText"/>
              <w:keepNext/>
              <w:rPr>
                <w:rFonts w:cs="Arial"/>
                <w:sz w:val="24"/>
                <w:szCs w:val="24"/>
              </w:rPr>
            </w:pPr>
            <w:r w:rsidRPr="00D86BC6">
              <w:rPr>
                <w:rFonts w:cs="Arial"/>
              </w:rPr>
              <w:t>Value Diversity</w:t>
            </w:r>
          </w:p>
        </w:tc>
        <w:tc>
          <w:tcPr>
            <w:tcW w:w="3237" w:type="dxa"/>
            <w:gridSpan w:val="2"/>
            <w:tcBorders>
              <w:top w:val="single" w:sz="8" w:space="0" w:color="BCBEC0"/>
            </w:tcBorders>
          </w:tcPr>
          <w:p w14:paraId="555F5438" w14:textId="77777777" w:rsidR="00025D74" w:rsidRPr="00D86BC6" w:rsidRDefault="00025D74" w:rsidP="00702E5C">
            <w:pPr>
              <w:pStyle w:val="TableText"/>
              <w:keepNext/>
              <w:rPr>
                <w:rFonts w:cs="Arial"/>
              </w:rPr>
            </w:pPr>
            <w:r w:rsidRPr="00D86BC6">
              <w:rPr>
                <w:rFonts w:cs="Arial"/>
              </w:rPr>
              <w:t>Adept</w:t>
            </w:r>
          </w:p>
        </w:tc>
      </w:tr>
      <w:tr w:rsidR="00025D74" w:rsidRPr="00D86BC6" w14:paraId="0F6CBFD3" w14:textId="77777777" w:rsidTr="00702E5C">
        <w:tc>
          <w:tcPr>
            <w:tcW w:w="2010" w:type="dxa"/>
            <w:gridSpan w:val="2"/>
            <w:vMerge w:val="restart"/>
            <w:tcBorders>
              <w:top w:val="single" w:sz="12" w:space="0" w:color="auto"/>
              <w:bottom w:val="single" w:sz="8" w:space="0" w:color="BCBEC0"/>
            </w:tcBorders>
            <w:vAlign w:val="center"/>
          </w:tcPr>
          <w:p w14:paraId="2D273EE5" w14:textId="77777777" w:rsidR="00025D74" w:rsidRPr="00D86BC6" w:rsidRDefault="00025D74" w:rsidP="00702E5C">
            <w:pPr>
              <w:keepNext/>
              <w:rPr>
                <w:rFonts w:cs="Arial"/>
              </w:rPr>
            </w:pPr>
            <w:r w:rsidRPr="00D86BC6">
              <w:rPr>
                <w:rFonts w:cs="Arial"/>
                <w:noProof/>
                <w:lang w:eastAsia="en-AU"/>
              </w:rPr>
              <w:drawing>
                <wp:inline distT="0" distB="0" distL="0" distR="0" wp14:anchorId="550BB13C" wp14:editId="3C9B3964">
                  <wp:extent cx="881037" cy="881037"/>
                  <wp:effectExtent l="0" t="0" r="0" b="0"/>
                  <wp:docPr id="12" name="Picture2" descr="Relationships" titl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235" w:type="dxa"/>
            <w:tcBorders>
              <w:top w:val="single" w:sz="12" w:space="0" w:color="auto"/>
              <w:bottom w:val="single" w:sz="8" w:space="0" w:color="BCBEC0"/>
            </w:tcBorders>
          </w:tcPr>
          <w:p w14:paraId="55A4A7AA" w14:textId="77777777" w:rsidR="00025D74" w:rsidRPr="00D86BC6" w:rsidRDefault="00025D74" w:rsidP="00702E5C">
            <w:pPr>
              <w:pStyle w:val="TableText"/>
              <w:keepNext/>
              <w:rPr>
                <w:rFonts w:cs="Arial"/>
                <w:b/>
                <w:sz w:val="24"/>
                <w:szCs w:val="24"/>
              </w:rPr>
            </w:pPr>
            <w:r w:rsidRPr="00D86BC6">
              <w:rPr>
                <w:rFonts w:cs="Arial"/>
                <w:b/>
              </w:rPr>
              <w:t>Communicate Effectively</w:t>
            </w:r>
          </w:p>
        </w:tc>
        <w:tc>
          <w:tcPr>
            <w:tcW w:w="3237" w:type="dxa"/>
            <w:gridSpan w:val="2"/>
            <w:tcBorders>
              <w:top w:val="single" w:sz="12" w:space="0" w:color="auto"/>
              <w:bottom w:val="single" w:sz="8" w:space="0" w:color="BCBEC0"/>
            </w:tcBorders>
          </w:tcPr>
          <w:p w14:paraId="28C101BF" w14:textId="77777777" w:rsidR="00025D74" w:rsidRPr="00D86BC6" w:rsidRDefault="00025D74" w:rsidP="00702E5C">
            <w:pPr>
              <w:pStyle w:val="TableText"/>
              <w:keepNext/>
              <w:rPr>
                <w:rFonts w:cs="Arial"/>
                <w:b/>
              </w:rPr>
            </w:pPr>
            <w:r w:rsidRPr="00D86BC6">
              <w:rPr>
                <w:rFonts w:cs="Arial"/>
                <w:b/>
              </w:rPr>
              <w:t>Advanced</w:t>
            </w:r>
          </w:p>
        </w:tc>
      </w:tr>
      <w:tr w:rsidR="00025D74" w:rsidRPr="00D86BC6" w14:paraId="18C4FECC" w14:textId="77777777" w:rsidTr="00702E5C">
        <w:tc>
          <w:tcPr>
            <w:tcW w:w="2010" w:type="dxa"/>
            <w:gridSpan w:val="2"/>
            <w:vMerge/>
            <w:tcBorders>
              <w:top w:val="single" w:sz="8" w:space="0" w:color="BCBEC0"/>
            </w:tcBorders>
          </w:tcPr>
          <w:p w14:paraId="5A07C769" w14:textId="77777777" w:rsidR="00025D74" w:rsidRPr="00D86BC6" w:rsidRDefault="00025D74" w:rsidP="00702E5C">
            <w:pPr>
              <w:keepNext/>
              <w:rPr>
                <w:rFonts w:cs="Arial"/>
              </w:rPr>
            </w:pPr>
          </w:p>
        </w:tc>
        <w:tc>
          <w:tcPr>
            <w:tcW w:w="5235" w:type="dxa"/>
            <w:tcBorders>
              <w:top w:val="single" w:sz="8" w:space="0" w:color="BCBEC0"/>
            </w:tcBorders>
          </w:tcPr>
          <w:p w14:paraId="7779E51A" w14:textId="77777777" w:rsidR="00025D74" w:rsidRPr="0050796D" w:rsidRDefault="00025D74" w:rsidP="00702E5C">
            <w:pPr>
              <w:pStyle w:val="TableText"/>
              <w:keepNext/>
              <w:rPr>
                <w:rFonts w:cs="Arial"/>
                <w:sz w:val="24"/>
                <w:szCs w:val="24"/>
              </w:rPr>
            </w:pPr>
            <w:r w:rsidRPr="0050796D">
              <w:rPr>
                <w:rFonts w:cs="Arial"/>
              </w:rPr>
              <w:t>Commit to Customer Service</w:t>
            </w:r>
          </w:p>
        </w:tc>
        <w:tc>
          <w:tcPr>
            <w:tcW w:w="3237" w:type="dxa"/>
            <w:gridSpan w:val="2"/>
            <w:tcBorders>
              <w:top w:val="single" w:sz="8" w:space="0" w:color="BCBEC0"/>
            </w:tcBorders>
          </w:tcPr>
          <w:p w14:paraId="1A570E1C" w14:textId="4D6F3788" w:rsidR="00025D74" w:rsidRPr="00025D74" w:rsidRDefault="0056651A" w:rsidP="00702E5C">
            <w:pPr>
              <w:pStyle w:val="TableText"/>
              <w:keepNext/>
              <w:rPr>
                <w:rFonts w:cs="Arial"/>
                <w:b/>
              </w:rPr>
            </w:pPr>
            <w:r w:rsidRPr="00761B70">
              <w:rPr>
                <w:rFonts w:cs="Arial"/>
              </w:rPr>
              <w:t>Advanced</w:t>
            </w:r>
          </w:p>
        </w:tc>
      </w:tr>
      <w:tr w:rsidR="00025D74" w:rsidRPr="00D86BC6" w14:paraId="0888E0B9" w14:textId="77777777" w:rsidTr="00702E5C">
        <w:tc>
          <w:tcPr>
            <w:tcW w:w="2010" w:type="dxa"/>
            <w:gridSpan w:val="2"/>
            <w:vMerge/>
            <w:tcBorders>
              <w:top w:val="single" w:sz="8" w:space="0" w:color="BCBEC0"/>
            </w:tcBorders>
          </w:tcPr>
          <w:p w14:paraId="586F9B8B" w14:textId="77777777" w:rsidR="00025D74" w:rsidRPr="00D86BC6" w:rsidRDefault="00025D74" w:rsidP="00702E5C">
            <w:pPr>
              <w:keepNext/>
              <w:rPr>
                <w:rFonts w:cs="Arial"/>
              </w:rPr>
            </w:pPr>
          </w:p>
        </w:tc>
        <w:tc>
          <w:tcPr>
            <w:tcW w:w="5235" w:type="dxa"/>
            <w:tcBorders>
              <w:top w:val="single" w:sz="8" w:space="0" w:color="BCBEC0"/>
            </w:tcBorders>
          </w:tcPr>
          <w:p w14:paraId="4CAF0F9E" w14:textId="77777777" w:rsidR="00025D74" w:rsidRPr="00D86BC6" w:rsidRDefault="00025D74" w:rsidP="00702E5C">
            <w:pPr>
              <w:pStyle w:val="TableText"/>
              <w:keepNext/>
              <w:rPr>
                <w:rFonts w:cs="Arial"/>
                <w:sz w:val="24"/>
                <w:szCs w:val="24"/>
              </w:rPr>
            </w:pPr>
            <w:r w:rsidRPr="00D86BC6">
              <w:rPr>
                <w:rFonts w:cs="Arial"/>
              </w:rPr>
              <w:t>Work Collaboratively</w:t>
            </w:r>
          </w:p>
        </w:tc>
        <w:tc>
          <w:tcPr>
            <w:tcW w:w="3237" w:type="dxa"/>
            <w:gridSpan w:val="2"/>
            <w:tcBorders>
              <w:top w:val="single" w:sz="8" w:space="0" w:color="BCBEC0"/>
            </w:tcBorders>
          </w:tcPr>
          <w:p w14:paraId="72F6FE5B" w14:textId="4003BF05" w:rsidR="00025D74" w:rsidRPr="00D86BC6" w:rsidRDefault="0056651A" w:rsidP="00702E5C">
            <w:pPr>
              <w:pStyle w:val="TableText"/>
              <w:keepNext/>
              <w:rPr>
                <w:rFonts w:cs="Arial"/>
              </w:rPr>
            </w:pPr>
            <w:r w:rsidRPr="00761B70">
              <w:rPr>
                <w:rFonts w:cs="Arial"/>
              </w:rPr>
              <w:t>Advanced</w:t>
            </w:r>
          </w:p>
        </w:tc>
      </w:tr>
      <w:tr w:rsidR="00025D74" w:rsidRPr="00D86BC6" w14:paraId="4F811B89" w14:textId="77777777" w:rsidTr="00702E5C">
        <w:tc>
          <w:tcPr>
            <w:tcW w:w="2010" w:type="dxa"/>
            <w:gridSpan w:val="2"/>
            <w:vMerge/>
            <w:tcBorders>
              <w:bottom w:val="single" w:sz="4" w:space="0" w:color="BCBEC0"/>
            </w:tcBorders>
          </w:tcPr>
          <w:p w14:paraId="0621CFD5" w14:textId="77777777" w:rsidR="00025D74" w:rsidRPr="00D86BC6" w:rsidRDefault="00025D74" w:rsidP="00702E5C">
            <w:pPr>
              <w:keepNext/>
              <w:rPr>
                <w:rFonts w:cs="Arial"/>
              </w:rPr>
            </w:pPr>
          </w:p>
        </w:tc>
        <w:tc>
          <w:tcPr>
            <w:tcW w:w="5235" w:type="dxa"/>
            <w:tcBorders>
              <w:bottom w:val="single" w:sz="4" w:space="0" w:color="BCBEC0"/>
            </w:tcBorders>
          </w:tcPr>
          <w:p w14:paraId="5A2EE1D0" w14:textId="77777777" w:rsidR="00025D74" w:rsidRPr="00025D74" w:rsidRDefault="00025D74" w:rsidP="00702E5C">
            <w:pPr>
              <w:pStyle w:val="TableText"/>
              <w:keepNext/>
              <w:rPr>
                <w:rFonts w:cs="Arial"/>
                <w:sz w:val="24"/>
                <w:szCs w:val="24"/>
              </w:rPr>
            </w:pPr>
            <w:r w:rsidRPr="00025D74">
              <w:rPr>
                <w:rFonts w:cs="Arial"/>
              </w:rPr>
              <w:t>Influence and Negotiate</w:t>
            </w:r>
          </w:p>
        </w:tc>
        <w:tc>
          <w:tcPr>
            <w:tcW w:w="3237" w:type="dxa"/>
            <w:gridSpan w:val="2"/>
            <w:tcBorders>
              <w:bottom w:val="single" w:sz="4" w:space="0" w:color="BCBEC0"/>
            </w:tcBorders>
          </w:tcPr>
          <w:p w14:paraId="5399D4AF" w14:textId="7DF3F15A" w:rsidR="00025D74" w:rsidRPr="00025D74" w:rsidRDefault="0056651A" w:rsidP="00702E5C">
            <w:pPr>
              <w:pStyle w:val="TableText"/>
              <w:keepNext/>
              <w:rPr>
                <w:rFonts w:cs="Arial"/>
              </w:rPr>
            </w:pPr>
            <w:r w:rsidRPr="00761B70">
              <w:rPr>
                <w:rFonts w:cs="Arial"/>
              </w:rPr>
              <w:t>Advanced</w:t>
            </w:r>
          </w:p>
        </w:tc>
      </w:tr>
      <w:tr w:rsidR="00025D74" w:rsidRPr="00D86BC6" w14:paraId="77F25787" w14:textId="77777777" w:rsidTr="00702E5C">
        <w:tc>
          <w:tcPr>
            <w:tcW w:w="2010" w:type="dxa"/>
            <w:gridSpan w:val="2"/>
            <w:vMerge w:val="restart"/>
            <w:tcBorders>
              <w:top w:val="single" w:sz="12" w:space="0" w:color="auto"/>
              <w:bottom w:val="single" w:sz="8" w:space="0" w:color="BCBEC0"/>
            </w:tcBorders>
            <w:vAlign w:val="center"/>
          </w:tcPr>
          <w:p w14:paraId="270A2812" w14:textId="77777777" w:rsidR="00025D74" w:rsidRPr="00D86BC6" w:rsidRDefault="00025D74" w:rsidP="00702E5C">
            <w:pPr>
              <w:keepNext/>
              <w:rPr>
                <w:rFonts w:cs="Arial"/>
              </w:rPr>
            </w:pPr>
            <w:r w:rsidRPr="00D86BC6">
              <w:rPr>
                <w:rFonts w:cs="Arial"/>
                <w:noProof/>
                <w:lang w:eastAsia="en-AU"/>
              </w:rPr>
              <w:drawing>
                <wp:inline distT="0" distB="0" distL="0" distR="0" wp14:anchorId="29F58F11" wp14:editId="4C7E3B91">
                  <wp:extent cx="881037" cy="881037"/>
                  <wp:effectExtent l="0" t="0" r="0" b="0"/>
                  <wp:docPr id="13" name="Picture2" descr="Results" titl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5" cstate="print">
                            <a:extLst/>
                          </a:blip>
                          <a:stretch>
                            <a:fillRect/>
                          </a:stretch>
                        </pic:blipFill>
                        <pic:spPr>
                          <a:xfrm>
                            <a:off x="0" y="0"/>
                            <a:ext cx="881037" cy="881037"/>
                          </a:xfrm>
                          <a:prstGeom prst="rect">
                            <a:avLst/>
                          </a:prstGeom>
                        </pic:spPr>
                      </pic:pic>
                    </a:graphicData>
                  </a:graphic>
                </wp:inline>
              </w:drawing>
            </w:r>
          </w:p>
        </w:tc>
        <w:tc>
          <w:tcPr>
            <w:tcW w:w="5235" w:type="dxa"/>
            <w:tcBorders>
              <w:top w:val="single" w:sz="12" w:space="0" w:color="auto"/>
              <w:bottom w:val="single" w:sz="8" w:space="0" w:color="BCBEC0"/>
            </w:tcBorders>
          </w:tcPr>
          <w:p w14:paraId="4BAFF116" w14:textId="77777777" w:rsidR="00025D74" w:rsidRPr="00025D74" w:rsidRDefault="00025D74" w:rsidP="00702E5C">
            <w:pPr>
              <w:pStyle w:val="TableText"/>
              <w:keepNext/>
              <w:rPr>
                <w:rFonts w:cs="Arial"/>
                <w:sz w:val="24"/>
                <w:szCs w:val="24"/>
              </w:rPr>
            </w:pPr>
            <w:r w:rsidRPr="00025D74">
              <w:rPr>
                <w:rFonts w:cs="Arial"/>
              </w:rPr>
              <w:t>Deliver Results</w:t>
            </w:r>
          </w:p>
        </w:tc>
        <w:tc>
          <w:tcPr>
            <w:tcW w:w="3237" w:type="dxa"/>
            <w:gridSpan w:val="2"/>
            <w:tcBorders>
              <w:top w:val="single" w:sz="12" w:space="0" w:color="auto"/>
              <w:bottom w:val="single" w:sz="8" w:space="0" w:color="BCBEC0"/>
            </w:tcBorders>
          </w:tcPr>
          <w:p w14:paraId="37C0BBD3" w14:textId="671977BC" w:rsidR="00025D74" w:rsidRPr="00025D74" w:rsidRDefault="007238C1" w:rsidP="00702E5C">
            <w:pPr>
              <w:pStyle w:val="TableText"/>
              <w:keepNext/>
              <w:rPr>
                <w:rFonts w:cs="Arial"/>
              </w:rPr>
            </w:pPr>
            <w:r w:rsidRPr="00761B70">
              <w:rPr>
                <w:rFonts w:cs="Arial"/>
              </w:rPr>
              <w:t>Advanced</w:t>
            </w:r>
          </w:p>
        </w:tc>
      </w:tr>
      <w:tr w:rsidR="00025D74" w:rsidRPr="00D86BC6" w14:paraId="7E11B6DB" w14:textId="77777777" w:rsidTr="00702E5C">
        <w:tc>
          <w:tcPr>
            <w:tcW w:w="2010" w:type="dxa"/>
            <w:gridSpan w:val="2"/>
            <w:vMerge/>
            <w:tcBorders>
              <w:top w:val="single" w:sz="8" w:space="0" w:color="BCBEC0"/>
            </w:tcBorders>
          </w:tcPr>
          <w:p w14:paraId="2714D9FE" w14:textId="77777777" w:rsidR="00025D74" w:rsidRPr="00D86BC6" w:rsidRDefault="00025D74" w:rsidP="00702E5C">
            <w:pPr>
              <w:keepNext/>
              <w:rPr>
                <w:rFonts w:cs="Arial"/>
              </w:rPr>
            </w:pPr>
          </w:p>
        </w:tc>
        <w:tc>
          <w:tcPr>
            <w:tcW w:w="5235" w:type="dxa"/>
            <w:tcBorders>
              <w:top w:val="single" w:sz="8" w:space="0" w:color="BCBEC0"/>
            </w:tcBorders>
          </w:tcPr>
          <w:p w14:paraId="65FBBA2A" w14:textId="77777777" w:rsidR="00025D74" w:rsidRPr="00025D74" w:rsidRDefault="00025D74" w:rsidP="00702E5C">
            <w:pPr>
              <w:pStyle w:val="TableText"/>
              <w:keepNext/>
              <w:rPr>
                <w:rFonts w:cs="Arial"/>
                <w:b/>
                <w:sz w:val="24"/>
                <w:szCs w:val="24"/>
              </w:rPr>
            </w:pPr>
            <w:r w:rsidRPr="00025D74">
              <w:rPr>
                <w:rFonts w:cs="Arial"/>
                <w:b/>
              </w:rPr>
              <w:t>Plan and Prioritise</w:t>
            </w:r>
          </w:p>
        </w:tc>
        <w:tc>
          <w:tcPr>
            <w:tcW w:w="3237" w:type="dxa"/>
            <w:gridSpan w:val="2"/>
            <w:tcBorders>
              <w:top w:val="single" w:sz="8" w:space="0" w:color="BCBEC0"/>
            </w:tcBorders>
          </w:tcPr>
          <w:p w14:paraId="0521D5BF" w14:textId="4F7021AF" w:rsidR="00025D74" w:rsidRPr="001D44D9" w:rsidRDefault="001D44D9" w:rsidP="00702E5C">
            <w:pPr>
              <w:pStyle w:val="TableText"/>
              <w:keepNext/>
              <w:rPr>
                <w:rFonts w:cs="Arial"/>
                <w:b/>
              </w:rPr>
            </w:pPr>
            <w:r w:rsidRPr="001D44D9">
              <w:rPr>
                <w:rFonts w:cs="Arial"/>
                <w:b/>
              </w:rPr>
              <w:t>Advanced</w:t>
            </w:r>
          </w:p>
        </w:tc>
      </w:tr>
      <w:tr w:rsidR="00025D74" w:rsidRPr="00D86BC6" w14:paraId="33F48BAA" w14:textId="77777777" w:rsidTr="00702E5C">
        <w:tc>
          <w:tcPr>
            <w:tcW w:w="2010" w:type="dxa"/>
            <w:gridSpan w:val="2"/>
            <w:vMerge/>
            <w:tcBorders>
              <w:bottom w:val="single" w:sz="4" w:space="0" w:color="BCBEC0"/>
            </w:tcBorders>
          </w:tcPr>
          <w:p w14:paraId="08A0F1CA" w14:textId="77777777" w:rsidR="00025D74" w:rsidRPr="00D86BC6" w:rsidRDefault="00025D74" w:rsidP="00702E5C">
            <w:pPr>
              <w:keepNext/>
              <w:rPr>
                <w:rFonts w:cs="Arial"/>
              </w:rPr>
            </w:pPr>
          </w:p>
        </w:tc>
        <w:tc>
          <w:tcPr>
            <w:tcW w:w="5235" w:type="dxa"/>
            <w:tcBorders>
              <w:bottom w:val="single" w:sz="4" w:space="0" w:color="BCBEC0"/>
            </w:tcBorders>
          </w:tcPr>
          <w:p w14:paraId="21687A2C" w14:textId="77777777" w:rsidR="00025D74" w:rsidRPr="00025D74" w:rsidRDefault="00025D74" w:rsidP="00702E5C">
            <w:pPr>
              <w:pStyle w:val="TableText"/>
              <w:keepNext/>
              <w:rPr>
                <w:rFonts w:cs="Arial"/>
                <w:sz w:val="24"/>
                <w:szCs w:val="24"/>
              </w:rPr>
            </w:pPr>
            <w:r w:rsidRPr="00025D74">
              <w:rPr>
                <w:rFonts w:cs="Arial"/>
              </w:rPr>
              <w:t>Think and Solve Problems</w:t>
            </w:r>
          </w:p>
        </w:tc>
        <w:tc>
          <w:tcPr>
            <w:tcW w:w="3237" w:type="dxa"/>
            <w:gridSpan w:val="2"/>
            <w:tcBorders>
              <w:bottom w:val="single" w:sz="4" w:space="0" w:color="BCBEC0"/>
            </w:tcBorders>
          </w:tcPr>
          <w:p w14:paraId="4023AEC5" w14:textId="1C4E8401" w:rsidR="00025D74" w:rsidRPr="00025D74" w:rsidRDefault="007238C1" w:rsidP="00702E5C">
            <w:pPr>
              <w:pStyle w:val="TableText"/>
              <w:keepNext/>
              <w:rPr>
                <w:rFonts w:cs="Arial"/>
              </w:rPr>
            </w:pPr>
            <w:r w:rsidRPr="00761B70">
              <w:rPr>
                <w:rFonts w:cs="Arial"/>
              </w:rPr>
              <w:t>Advanced</w:t>
            </w:r>
          </w:p>
        </w:tc>
      </w:tr>
      <w:tr w:rsidR="00025D74" w:rsidRPr="00D86BC6" w14:paraId="3671C2A3" w14:textId="77777777" w:rsidTr="00702E5C">
        <w:tc>
          <w:tcPr>
            <w:tcW w:w="2010" w:type="dxa"/>
            <w:gridSpan w:val="2"/>
            <w:vMerge/>
            <w:tcBorders>
              <w:top w:val="single" w:sz="8" w:space="0" w:color="BCBEC0"/>
            </w:tcBorders>
          </w:tcPr>
          <w:p w14:paraId="479ED944" w14:textId="77777777" w:rsidR="00025D74" w:rsidRPr="00D86BC6" w:rsidRDefault="00025D74" w:rsidP="00702E5C">
            <w:pPr>
              <w:keepNext/>
              <w:rPr>
                <w:rFonts w:cs="Arial"/>
              </w:rPr>
            </w:pPr>
          </w:p>
        </w:tc>
        <w:tc>
          <w:tcPr>
            <w:tcW w:w="5235" w:type="dxa"/>
            <w:tcBorders>
              <w:top w:val="single" w:sz="8" w:space="0" w:color="BCBEC0"/>
            </w:tcBorders>
          </w:tcPr>
          <w:p w14:paraId="3401DDBF" w14:textId="77777777" w:rsidR="00025D74" w:rsidRPr="001D44D9" w:rsidRDefault="00025D74" w:rsidP="00702E5C">
            <w:pPr>
              <w:pStyle w:val="TableText"/>
              <w:keepNext/>
              <w:rPr>
                <w:rFonts w:cs="Arial"/>
                <w:sz w:val="24"/>
                <w:szCs w:val="24"/>
              </w:rPr>
            </w:pPr>
            <w:r w:rsidRPr="001D44D9">
              <w:rPr>
                <w:rFonts w:cs="Arial"/>
              </w:rPr>
              <w:t>Demonstrate Accountability</w:t>
            </w:r>
          </w:p>
        </w:tc>
        <w:tc>
          <w:tcPr>
            <w:tcW w:w="3237" w:type="dxa"/>
            <w:gridSpan w:val="2"/>
            <w:tcBorders>
              <w:top w:val="single" w:sz="8" w:space="0" w:color="BCBEC0"/>
            </w:tcBorders>
          </w:tcPr>
          <w:p w14:paraId="46A4AC46" w14:textId="07AE1A2C" w:rsidR="00025D74" w:rsidRPr="00025D74" w:rsidRDefault="007238C1" w:rsidP="00702E5C">
            <w:pPr>
              <w:pStyle w:val="TableText"/>
              <w:keepNext/>
              <w:rPr>
                <w:rFonts w:cs="Arial"/>
                <w:b/>
              </w:rPr>
            </w:pPr>
            <w:r w:rsidRPr="00761B70">
              <w:rPr>
                <w:rFonts w:cs="Arial"/>
              </w:rPr>
              <w:t>Advanced</w:t>
            </w:r>
          </w:p>
        </w:tc>
      </w:tr>
      <w:tr w:rsidR="00025D74" w:rsidRPr="00D86BC6" w14:paraId="22E7C944" w14:textId="77777777" w:rsidTr="00702E5C">
        <w:tc>
          <w:tcPr>
            <w:tcW w:w="2010" w:type="dxa"/>
            <w:gridSpan w:val="2"/>
            <w:vMerge w:val="restart"/>
            <w:tcBorders>
              <w:top w:val="single" w:sz="12" w:space="0" w:color="auto"/>
              <w:bottom w:val="single" w:sz="8" w:space="0" w:color="BCBEC0"/>
            </w:tcBorders>
            <w:vAlign w:val="center"/>
          </w:tcPr>
          <w:p w14:paraId="4544AC73" w14:textId="77777777" w:rsidR="00025D74" w:rsidRPr="00D86BC6" w:rsidRDefault="00025D74" w:rsidP="00702E5C">
            <w:pPr>
              <w:keepNext/>
              <w:rPr>
                <w:rFonts w:cs="Arial"/>
              </w:rPr>
            </w:pPr>
            <w:r w:rsidRPr="00D86BC6">
              <w:rPr>
                <w:rFonts w:cs="Arial"/>
                <w:noProof/>
                <w:lang w:eastAsia="en-AU"/>
              </w:rPr>
              <w:drawing>
                <wp:inline distT="0" distB="0" distL="0" distR="0" wp14:anchorId="21C012F4" wp14:editId="60A3D5FB">
                  <wp:extent cx="881037" cy="881037"/>
                  <wp:effectExtent l="0" t="0" r="0" b="0"/>
                  <wp:docPr id="14" name="Picture2" descr="Business Enablers" title="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6" cstate="print">
                            <a:extLst/>
                          </a:blip>
                          <a:stretch>
                            <a:fillRect/>
                          </a:stretch>
                        </pic:blipFill>
                        <pic:spPr>
                          <a:xfrm>
                            <a:off x="0" y="0"/>
                            <a:ext cx="881037" cy="881037"/>
                          </a:xfrm>
                          <a:prstGeom prst="rect">
                            <a:avLst/>
                          </a:prstGeom>
                        </pic:spPr>
                      </pic:pic>
                    </a:graphicData>
                  </a:graphic>
                </wp:inline>
              </w:drawing>
            </w:r>
          </w:p>
        </w:tc>
        <w:tc>
          <w:tcPr>
            <w:tcW w:w="5235" w:type="dxa"/>
            <w:tcBorders>
              <w:top w:val="single" w:sz="12" w:space="0" w:color="auto"/>
              <w:bottom w:val="single" w:sz="8" w:space="0" w:color="BCBEC0"/>
            </w:tcBorders>
          </w:tcPr>
          <w:p w14:paraId="76988B52" w14:textId="77777777" w:rsidR="00025D74" w:rsidRPr="00D86BC6" w:rsidRDefault="00025D74" w:rsidP="00702E5C">
            <w:pPr>
              <w:pStyle w:val="TableText"/>
              <w:keepNext/>
              <w:rPr>
                <w:rFonts w:cs="Arial"/>
                <w:sz w:val="24"/>
                <w:szCs w:val="24"/>
              </w:rPr>
            </w:pPr>
            <w:r w:rsidRPr="00D86BC6">
              <w:rPr>
                <w:rFonts w:cs="Arial"/>
              </w:rPr>
              <w:t>Finance</w:t>
            </w:r>
          </w:p>
        </w:tc>
        <w:tc>
          <w:tcPr>
            <w:tcW w:w="3237" w:type="dxa"/>
            <w:gridSpan w:val="2"/>
            <w:tcBorders>
              <w:top w:val="single" w:sz="12" w:space="0" w:color="auto"/>
              <w:bottom w:val="single" w:sz="8" w:space="0" w:color="BCBEC0"/>
            </w:tcBorders>
          </w:tcPr>
          <w:p w14:paraId="5525B6EF" w14:textId="3F32D1B5" w:rsidR="00025D74" w:rsidRPr="00D86BC6" w:rsidRDefault="00660720" w:rsidP="00702E5C">
            <w:pPr>
              <w:pStyle w:val="TableText"/>
              <w:keepNext/>
              <w:rPr>
                <w:rFonts w:cs="Arial"/>
              </w:rPr>
            </w:pPr>
            <w:r w:rsidRPr="00025D74">
              <w:rPr>
                <w:rFonts w:cs="Arial"/>
              </w:rPr>
              <w:t>Adept</w:t>
            </w:r>
          </w:p>
        </w:tc>
      </w:tr>
      <w:tr w:rsidR="00025D74" w:rsidRPr="00D86BC6" w14:paraId="70924270" w14:textId="77777777" w:rsidTr="00702E5C">
        <w:tc>
          <w:tcPr>
            <w:tcW w:w="2010" w:type="dxa"/>
            <w:gridSpan w:val="2"/>
            <w:vMerge/>
            <w:tcBorders>
              <w:top w:val="single" w:sz="8" w:space="0" w:color="BCBEC0"/>
            </w:tcBorders>
          </w:tcPr>
          <w:p w14:paraId="3120F265" w14:textId="77777777" w:rsidR="00025D74" w:rsidRPr="00D86BC6" w:rsidRDefault="00025D74" w:rsidP="00702E5C">
            <w:pPr>
              <w:keepNext/>
              <w:rPr>
                <w:rFonts w:cs="Arial"/>
              </w:rPr>
            </w:pPr>
          </w:p>
        </w:tc>
        <w:tc>
          <w:tcPr>
            <w:tcW w:w="5235" w:type="dxa"/>
            <w:tcBorders>
              <w:top w:val="single" w:sz="8" w:space="0" w:color="BCBEC0"/>
            </w:tcBorders>
          </w:tcPr>
          <w:p w14:paraId="57FFEB79" w14:textId="77777777" w:rsidR="00025D74" w:rsidRPr="00D86BC6" w:rsidRDefault="00025D74" w:rsidP="00702E5C">
            <w:pPr>
              <w:pStyle w:val="TableText"/>
              <w:keepNext/>
              <w:rPr>
                <w:rFonts w:cs="Arial"/>
                <w:sz w:val="24"/>
                <w:szCs w:val="24"/>
              </w:rPr>
            </w:pPr>
            <w:r w:rsidRPr="00175060">
              <w:rPr>
                <w:rFonts w:cs="Arial"/>
                <w:b/>
              </w:rPr>
              <w:t>Technology</w:t>
            </w:r>
          </w:p>
        </w:tc>
        <w:tc>
          <w:tcPr>
            <w:tcW w:w="3237" w:type="dxa"/>
            <w:gridSpan w:val="2"/>
            <w:tcBorders>
              <w:top w:val="single" w:sz="8" w:space="0" w:color="BCBEC0"/>
            </w:tcBorders>
          </w:tcPr>
          <w:p w14:paraId="0FF9788C" w14:textId="3638B1DD" w:rsidR="00025D74" w:rsidRPr="00D86BC6" w:rsidRDefault="003E5126" w:rsidP="00702E5C">
            <w:pPr>
              <w:pStyle w:val="TableText"/>
              <w:keepNext/>
              <w:rPr>
                <w:rFonts w:cs="Arial"/>
              </w:rPr>
            </w:pPr>
            <w:r>
              <w:rPr>
                <w:rFonts w:cs="Arial"/>
                <w:b/>
              </w:rPr>
              <w:t>Adept</w:t>
            </w:r>
          </w:p>
        </w:tc>
      </w:tr>
      <w:tr w:rsidR="00025D74" w:rsidRPr="00D86BC6" w14:paraId="6BAD69A6" w14:textId="77777777" w:rsidTr="00702E5C">
        <w:tc>
          <w:tcPr>
            <w:tcW w:w="2010" w:type="dxa"/>
            <w:gridSpan w:val="2"/>
            <w:vMerge/>
            <w:tcBorders>
              <w:top w:val="single" w:sz="8" w:space="0" w:color="BCBEC0"/>
            </w:tcBorders>
          </w:tcPr>
          <w:p w14:paraId="360BA9A4" w14:textId="77777777" w:rsidR="00025D74" w:rsidRPr="00D86BC6" w:rsidRDefault="00025D74" w:rsidP="00702E5C">
            <w:pPr>
              <w:keepNext/>
              <w:rPr>
                <w:rFonts w:cs="Arial"/>
              </w:rPr>
            </w:pPr>
          </w:p>
        </w:tc>
        <w:tc>
          <w:tcPr>
            <w:tcW w:w="5235" w:type="dxa"/>
            <w:tcBorders>
              <w:top w:val="single" w:sz="8" w:space="0" w:color="BCBEC0"/>
            </w:tcBorders>
          </w:tcPr>
          <w:p w14:paraId="7877C23B" w14:textId="77777777" w:rsidR="00025D74" w:rsidRPr="00D86BC6" w:rsidRDefault="00025D74" w:rsidP="00702E5C">
            <w:pPr>
              <w:pStyle w:val="TableText"/>
              <w:keepNext/>
              <w:rPr>
                <w:rFonts w:cs="Arial"/>
                <w:sz w:val="24"/>
                <w:szCs w:val="24"/>
              </w:rPr>
            </w:pPr>
            <w:r w:rsidRPr="00D86BC6">
              <w:rPr>
                <w:rFonts w:cs="Arial"/>
              </w:rPr>
              <w:t>Procurement and Contract Management</w:t>
            </w:r>
          </w:p>
        </w:tc>
        <w:tc>
          <w:tcPr>
            <w:tcW w:w="3237" w:type="dxa"/>
            <w:gridSpan w:val="2"/>
            <w:tcBorders>
              <w:top w:val="single" w:sz="8" w:space="0" w:color="BCBEC0"/>
            </w:tcBorders>
          </w:tcPr>
          <w:p w14:paraId="2563407B" w14:textId="7B6494C8" w:rsidR="00025D74" w:rsidRPr="00D86BC6" w:rsidRDefault="00660720" w:rsidP="00702E5C">
            <w:pPr>
              <w:pStyle w:val="TableText"/>
              <w:keepNext/>
              <w:rPr>
                <w:rFonts w:cs="Arial"/>
              </w:rPr>
            </w:pPr>
            <w:r w:rsidRPr="00025D74">
              <w:rPr>
                <w:rFonts w:cs="Arial"/>
              </w:rPr>
              <w:t>Adept</w:t>
            </w:r>
          </w:p>
        </w:tc>
      </w:tr>
      <w:tr w:rsidR="00025D74" w:rsidRPr="00D86BC6" w14:paraId="7063C5CB" w14:textId="77777777" w:rsidTr="00702E5C">
        <w:tc>
          <w:tcPr>
            <w:tcW w:w="2010" w:type="dxa"/>
            <w:gridSpan w:val="2"/>
            <w:vMerge/>
            <w:tcBorders>
              <w:bottom w:val="single" w:sz="4" w:space="0" w:color="BCBEC0"/>
            </w:tcBorders>
          </w:tcPr>
          <w:p w14:paraId="76BB03A1" w14:textId="77777777" w:rsidR="00025D74" w:rsidRPr="00D86BC6" w:rsidRDefault="00025D74" w:rsidP="00702E5C">
            <w:pPr>
              <w:keepNext/>
              <w:rPr>
                <w:rFonts w:cs="Arial"/>
              </w:rPr>
            </w:pPr>
          </w:p>
        </w:tc>
        <w:tc>
          <w:tcPr>
            <w:tcW w:w="5235" w:type="dxa"/>
            <w:tcBorders>
              <w:bottom w:val="single" w:sz="4" w:space="0" w:color="BCBEC0"/>
            </w:tcBorders>
          </w:tcPr>
          <w:p w14:paraId="7F874147" w14:textId="77777777" w:rsidR="00025D74" w:rsidRPr="00025D74" w:rsidRDefault="00025D74" w:rsidP="00702E5C">
            <w:pPr>
              <w:pStyle w:val="TableText"/>
              <w:keepNext/>
              <w:rPr>
                <w:rFonts w:cs="Arial"/>
                <w:sz w:val="24"/>
                <w:szCs w:val="24"/>
              </w:rPr>
            </w:pPr>
            <w:r w:rsidRPr="00025D74">
              <w:rPr>
                <w:rFonts w:cs="Arial"/>
              </w:rPr>
              <w:t>Project Management</w:t>
            </w:r>
          </w:p>
        </w:tc>
        <w:tc>
          <w:tcPr>
            <w:tcW w:w="3237" w:type="dxa"/>
            <w:gridSpan w:val="2"/>
            <w:tcBorders>
              <w:bottom w:val="single" w:sz="4" w:space="0" w:color="BCBEC0"/>
            </w:tcBorders>
          </w:tcPr>
          <w:p w14:paraId="02E0427F" w14:textId="698B5907" w:rsidR="00025D74" w:rsidRPr="00025D74" w:rsidRDefault="00660720" w:rsidP="00702E5C">
            <w:pPr>
              <w:pStyle w:val="TableText"/>
              <w:keepNext/>
              <w:rPr>
                <w:rFonts w:cs="Arial"/>
              </w:rPr>
            </w:pPr>
            <w:r w:rsidRPr="00025D74">
              <w:rPr>
                <w:rFonts w:cs="Arial"/>
              </w:rPr>
              <w:t>Adept</w:t>
            </w:r>
          </w:p>
        </w:tc>
      </w:tr>
      <w:tr w:rsidR="00025D74" w:rsidRPr="00D86BC6" w14:paraId="7E5ADCE6" w14:textId="77777777" w:rsidTr="00702E5C">
        <w:tc>
          <w:tcPr>
            <w:tcW w:w="2010" w:type="dxa"/>
            <w:gridSpan w:val="2"/>
            <w:vMerge w:val="restart"/>
            <w:tcBorders>
              <w:top w:val="single" w:sz="12" w:space="0" w:color="auto"/>
              <w:bottom w:val="single" w:sz="8" w:space="0" w:color="BCBEC0"/>
            </w:tcBorders>
            <w:vAlign w:val="center"/>
          </w:tcPr>
          <w:p w14:paraId="3EA7FDC6" w14:textId="77777777" w:rsidR="00025D74" w:rsidRPr="00D86BC6" w:rsidRDefault="00025D74" w:rsidP="00702E5C">
            <w:pPr>
              <w:keepNext/>
              <w:rPr>
                <w:rFonts w:cs="Arial"/>
              </w:rPr>
            </w:pPr>
            <w:r w:rsidRPr="00D86BC6">
              <w:rPr>
                <w:rFonts w:cs="Arial"/>
                <w:noProof/>
                <w:lang w:eastAsia="en-AU"/>
              </w:rPr>
              <w:drawing>
                <wp:inline distT="0" distB="0" distL="0" distR="0" wp14:anchorId="0854F8FF" wp14:editId="3EE0F6F3">
                  <wp:extent cx="881037" cy="881037"/>
                  <wp:effectExtent l="0" t="0" r="0" b="0"/>
                  <wp:docPr id="15" name="Picture2" descr="People Management" title="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7" cstate="print">
                            <a:extLst/>
                          </a:blip>
                          <a:stretch>
                            <a:fillRect/>
                          </a:stretch>
                        </pic:blipFill>
                        <pic:spPr>
                          <a:xfrm>
                            <a:off x="0" y="0"/>
                            <a:ext cx="881037" cy="881037"/>
                          </a:xfrm>
                          <a:prstGeom prst="rect">
                            <a:avLst/>
                          </a:prstGeom>
                        </pic:spPr>
                      </pic:pic>
                    </a:graphicData>
                  </a:graphic>
                </wp:inline>
              </w:drawing>
            </w:r>
          </w:p>
        </w:tc>
        <w:tc>
          <w:tcPr>
            <w:tcW w:w="5235" w:type="dxa"/>
            <w:tcBorders>
              <w:top w:val="single" w:sz="12" w:space="0" w:color="auto"/>
              <w:bottom w:val="single" w:sz="8" w:space="0" w:color="BCBEC0"/>
            </w:tcBorders>
          </w:tcPr>
          <w:p w14:paraId="4DBF7D9B" w14:textId="77777777" w:rsidR="00025D74" w:rsidRPr="003D0DC9" w:rsidRDefault="00025D74" w:rsidP="00702E5C">
            <w:pPr>
              <w:pStyle w:val="TableText"/>
              <w:keepNext/>
              <w:rPr>
                <w:rFonts w:cs="Arial"/>
                <w:b/>
                <w:sz w:val="24"/>
                <w:szCs w:val="24"/>
              </w:rPr>
            </w:pPr>
            <w:r w:rsidRPr="003D0DC9">
              <w:rPr>
                <w:rFonts w:cs="Arial"/>
                <w:b/>
              </w:rPr>
              <w:t>Manage and Develop People</w:t>
            </w:r>
          </w:p>
        </w:tc>
        <w:tc>
          <w:tcPr>
            <w:tcW w:w="3237" w:type="dxa"/>
            <w:gridSpan w:val="2"/>
            <w:tcBorders>
              <w:top w:val="single" w:sz="12" w:space="0" w:color="auto"/>
              <w:bottom w:val="single" w:sz="8" w:space="0" w:color="BCBEC0"/>
            </w:tcBorders>
          </w:tcPr>
          <w:p w14:paraId="464273A2" w14:textId="7A4D9275" w:rsidR="00025D74" w:rsidRPr="00025D74" w:rsidRDefault="00813956" w:rsidP="00702E5C">
            <w:pPr>
              <w:pStyle w:val="TableText"/>
              <w:keepNext/>
              <w:rPr>
                <w:rFonts w:cs="Arial"/>
              </w:rPr>
            </w:pPr>
            <w:r w:rsidRPr="003D0DC9">
              <w:rPr>
                <w:rFonts w:cs="Arial"/>
                <w:b/>
              </w:rPr>
              <w:t>Advanced</w:t>
            </w:r>
          </w:p>
        </w:tc>
      </w:tr>
      <w:tr w:rsidR="00025D74" w:rsidRPr="00D86BC6" w14:paraId="647A3BCB" w14:textId="77777777" w:rsidTr="00702E5C">
        <w:tc>
          <w:tcPr>
            <w:tcW w:w="2010" w:type="dxa"/>
            <w:gridSpan w:val="2"/>
            <w:vMerge/>
            <w:tcBorders>
              <w:top w:val="single" w:sz="8" w:space="0" w:color="BCBEC0"/>
            </w:tcBorders>
          </w:tcPr>
          <w:p w14:paraId="7ED95598" w14:textId="77777777" w:rsidR="00025D74" w:rsidRPr="00D86BC6" w:rsidRDefault="00025D74" w:rsidP="00702E5C">
            <w:pPr>
              <w:keepNext/>
              <w:rPr>
                <w:rFonts w:cs="Arial"/>
              </w:rPr>
            </w:pPr>
          </w:p>
        </w:tc>
        <w:tc>
          <w:tcPr>
            <w:tcW w:w="5235" w:type="dxa"/>
            <w:tcBorders>
              <w:top w:val="single" w:sz="8" w:space="0" w:color="BCBEC0"/>
            </w:tcBorders>
          </w:tcPr>
          <w:p w14:paraId="72B593BD" w14:textId="77777777" w:rsidR="00025D74" w:rsidRPr="00D86BC6" w:rsidRDefault="00025D74" w:rsidP="00702E5C">
            <w:pPr>
              <w:pStyle w:val="TableText"/>
              <w:keepNext/>
              <w:rPr>
                <w:rFonts w:cs="Arial"/>
                <w:sz w:val="24"/>
                <w:szCs w:val="24"/>
              </w:rPr>
            </w:pPr>
            <w:r w:rsidRPr="00D86BC6">
              <w:rPr>
                <w:rFonts w:cs="Arial"/>
              </w:rPr>
              <w:t>Inspire Direction and Purpose</w:t>
            </w:r>
          </w:p>
        </w:tc>
        <w:tc>
          <w:tcPr>
            <w:tcW w:w="3237" w:type="dxa"/>
            <w:gridSpan w:val="2"/>
            <w:tcBorders>
              <w:top w:val="single" w:sz="8" w:space="0" w:color="BCBEC0"/>
            </w:tcBorders>
          </w:tcPr>
          <w:p w14:paraId="3AF1ACAD" w14:textId="360D07EB" w:rsidR="00025D74" w:rsidRPr="00D86BC6" w:rsidRDefault="00813956" w:rsidP="00702E5C">
            <w:pPr>
              <w:pStyle w:val="TableText"/>
              <w:keepNext/>
              <w:rPr>
                <w:rFonts w:cs="Arial"/>
              </w:rPr>
            </w:pPr>
            <w:r w:rsidRPr="00761B70">
              <w:rPr>
                <w:rFonts w:cs="Arial"/>
              </w:rPr>
              <w:t>Advanced</w:t>
            </w:r>
          </w:p>
        </w:tc>
      </w:tr>
      <w:tr w:rsidR="00025D74" w:rsidRPr="00D86BC6" w14:paraId="252C2A71" w14:textId="77777777" w:rsidTr="00702E5C">
        <w:tc>
          <w:tcPr>
            <w:tcW w:w="2010" w:type="dxa"/>
            <w:gridSpan w:val="2"/>
            <w:vMerge/>
            <w:tcBorders>
              <w:top w:val="single" w:sz="8" w:space="0" w:color="BCBEC0"/>
            </w:tcBorders>
          </w:tcPr>
          <w:p w14:paraId="4054B782" w14:textId="77777777" w:rsidR="00025D74" w:rsidRPr="00D86BC6" w:rsidRDefault="00025D74" w:rsidP="00702E5C">
            <w:pPr>
              <w:keepNext/>
              <w:rPr>
                <w:rFonts w:cs="Arial"/>
              </w:rPr>
            </w:pPr>
          </w:p>
        </w:tc>
        <w:tc>
          <w:tcPr>
            <w:tcW w:w="5235" w:type="dxa"/>
            <w:tcBorders>
              <w:top w:val="single" w:sz="8" w:space="0" w:color="BCBEC0"/>
            </w:tcBorders>
          </w:tcPr>
          <w:p w14:paraId="0D10CB20" w14:textId="77777777" w:rsidR="00025D74" w:rsidRPr="003D0DC9" w:rsidRDefault="00025D74" w:rsidP="00702E5C">
            <w:pPr>
              <w:pStyle w:val="TableText"/>
              <w:keepNext/>
              <w:rPr>
                <w:rFonts w:cs="Arial"/>
                <w:sz w:val="24"/>
                <w:szCs w:val="24"/>
              </w:rPr>
            </w:pPr>
            <w:r w:rsidRPr="003D0DC9">
              <w:rPr>
                <w:rFonts w:cs="Arial"/>
              </w:rPr>
              <w:t>Optimise Business Outcomes</w:t>
            </w:r>
          </w:p>
        </w:tc>
        <w:tc>
          <w:tcPr>
            <w:tcW w:w="3237" w:type="dxa"/>
            <w:gridSpan w:val="2"/>
            <w:tcBorders>
              <w:top w:val="single" w:sz="8" w:space="0" w:color="BCBEC0"/>
            </w:tcBorders>
          </w:tcPr>
          <w:p w14:paraId="584D3662" w14:textId="627CD78F" w:rsidR="00025D74" w:rsidRPr="00025D74" w:rsidRDefault="00813956" w:rsidP="00702E5C">
            <w:pPr>
              <w:pStyle w:val="TableText"/>
              <w:keepNext/>
              <w:rPr>
                <w:rFonts w:cs="Arial"/>
                <w:b/>
              </w:rPr>
            </w:pPr>
            <w:r w:rsidRPr="00761B70">
              <w:rPr>
                <w:rFonts w:cs="Arial"/>
              </w:rPr>
              <w:t>Advanced</w:t>
            </w:r>
          </w:p>
        </w:tc>
      </w:tr>
      <w:tr w:rsidR="00025D74" w:rsidRPr="00D86BC6" w14:paraId="05009FB7" w14:textId="77777777" w:rsidTr="00702E5C">
        <w:tc>
          <w:tcPr>
            <w:tcW w:w="2010" w:type="dxa"/>
            <w:gridSpan w:val="2"/>
            <w:vMerge/>
            <w:tcBorders>
              <w:top w:val="single" w:sz="8" w:space="0" w:color="BCBEC0"/>
            </w:tcBorders>
          </w:tcPr>
          <w:p w14:paraId="2A64E68D" w14:textId="77777777" w:rsidR="00025D74" w:rsidRPr="00D86BC6" w:rsidRDefault="00025D74" w:rsidP="00702E5C">
            <w:pPr>
              <w:keepNext/>
              <w:rPr>
                <w:rFonts w:cs="Arial"/>
              </w:rPr>
            </w:pPr>
          </w:p>
        </w:tc>
        <w:tc>
          <w:tcPr>
            <w:tcW w:w="5235" w:type="dxa"/>
            <w:tcBorders>
              <w:top w:val="single" w:sz="8" w:space="0" w:color="BCBEC0"/>
            </w:tcBorders>
          </w:tcPr>
          <w:p w14:paraId="7BED7D38" w14:textId="77777777" w:rsidR="00025D74" w:rsidRPr="00D86BC6" w:rsidRDefault="00025D74" w:rsidP="00702E5C">
            <w:pPr>
              <w:pStyle w:val="TableText"/>
              <w:keepNext/>
              <w:rPr>
                <w:rFonts w:cs="Arial"/>
                <w:sz w:val="24"/>
                <w:szCs w:val="24"/>
              </w:rPr>
            </w:pPr>
            <w:r w:rsidRPr="00D86BC6">
              <w:rPr>
                <w:rFonts w:cs="Arial"/>
              </w:rPr>
              <w:t>Manage Reform and Change</w:t>
            </w:r>
          </w:p>
        </w:tc>
        <w:tc>
          <w:tcPr>
            <w:tcW w:w="3237" w:type="dxa"/>
            <w:gridSpan w:val="2"/>
            <w:tcBorders>
              <w:top w:val="single" w:sz="8" w:space="0" w:color="BCBEC0"/>
            </w:tcBorders>
          </w:tcPr>
          <w:p w14:paraId="60E9D0EB" w14:textId="778672EB" w:rsidR="00025D74" w:rsidRPr="00D86BC6" w:rsidRDefault="00813956" w:rsidP="00702E5C">
            <w:pPr>
              <w:pStyle w:val="TableText"/>
              <w:keepNext/>
              <w:rPr>
                <w:rFonts w:cs="Arial"/>
              </w:rPr>
            </w:pPr>
            <w:r w:rsidRPr="00761B70">
              <w:rPr>
                <w:rFonts w:cs="Arial"/>
              </w:rPr>
              <w:t>Advanced</w:t>
            </w:r>
          </w:p>
        </w:tc>
      </w:tr>
    </w:tbl>
    <w:p w14:paraId="03FBE8E1" w14:textId="77777777" w:rsidR="00025D74" w:rsidRDefault="00025D74" w:rsidP="00025D74">
      <w:pPr>
        <w:pStyle w:val="Heading2"/>
        <w:rPr>
          <w:rFonts w:ascii="Arial" w:eastAsiaTheme="minorHAnsi" w:hAnsi="Arial"/>
          <w:iCs w:val="0"/>
        </w:rPr>
      </w:pPr>
    </w:p>
    <w:p w14:paraId="7221B875" w14:textId="77777777" w:rsidR="00025D74" w:rsidRDefault="00025D74" w:rsidP="00025D74">
      <w:pPr>
        <w:rPr>
          <w:rFonts w:ascii="Arial" w:eastAsiaTheme="minorHAnsi" w:hAnsi="Arial" w:cs="Arial"/>
          <w:b/>
          <w:bCs/>
          <w:iCs/>
          <w:color w:val="6D6E71"/>
          <w:szCs w:val="28"/>
          <w:u w:color="6D6E71"/>
        </w:rPr>
      </w:pPr>
      <w:r>
        <w:rPr>
          <w:rFonts w:ascii="Arial" w:eastAsiaTheme="minorHAnsi" w:hAnsi="Arial" w:cs="Arial"/>
          <w:iCs/>
          <w:szCs w:val="28"/>
        </w:rPr>
        <w:br w:type="page"/>
      </w:r>
    </w:p>
    <w:p w14:paraId="12AE4D9A" w14:textId="77777777" w:rsidR="008946C7" w:rsidRPr="00025D74" w:rsidRDefault="008946C7" w:rsidP="008946C7">
      <w:pPr>
        <w:pStyle w:val="Heading2"/>
        <w:rPr>
          <w:rFonts w:ascii="Arial" w:hAnsi="Arial"/>
          <w:szCs w:val="24"/>
        </w:rPr>
      </w:pPr>
      <w:r w:rsidRPr="00025D74">
        <w:rPr>
          <w:rFonts w:ascii="Arial" w:hAnsi="Arial"/>
          <w:szCs w:val="24"/>
        </w:rPr>
        <w:t>Focus capabilities</w:t>
      </w:r>
    </w:p>
    <w:p w14:paraId="43E3D267" w14:textId="77777777" w:rsidR="00025D74" w:rsidRPr="00025D74" w:rsidRDefault="008946C7" w:rsidP="008946C7">
      <w:pPr>
        <w:rPr>
          <w:rFonts w:ascii="Arial" w:hAnsi="Arial" w:cs="Arial"/>
          <w:szCs w:val="22"/>
        </w:rPr>
      </w:pPr>
      <w:r w:rsidRPr="00025D74">
        <w:rPr>
          <w:rFonts w:ascii="Arial" w:hAnsi="Arial" w:cs="Arial"/>
          <w:szCs w:val="22"/>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r w:rsidR="00025D74">
        <w:rPr>
          <w:rFonts w:ascii="Arial" w:hAnsi="Arial" w:cs="Arial"/>
          <w:szCs w:val="22"/>
        </w:rPr>
        <w:br/>
      </w:r>
    </w:p>
    <w:tbl>
      <w:tblPr>
        <w:tblW w:w="0" w:type="auto"/>
        <w:tblBorders>
          <w:top w:val="single" w:sz="8" w:space="0" w:color="auto"/>
          <w:bottom w:val="single" w:sz="8" w:space="0" w:color="BCBEC0"/>
          <w:insideH w:val="single" w:sz="8" w:space="0" w:color="BCBEC0"/>
        </w:tblBorders>
        <w:tblCellMar>
          <w:left w:w="57" w:type="dxa"/>
          <w:right w:w="0" w:type="dxa"/>
        </w:tblCellMar>
        <w:tblLook w:val="00A0" w:firstRow="1" w:lastRow="0" w:firstColumn="1" w:lastColumn="0" w:noHBand="0" w:noVBand="0"/>
      </w:tblPr>
      <w:tblGrid>
        <w:gridCol w:w="2314"/>
        <w:gridCol w:w="1834"/>
        <w:gridCol w:w="6340"/>
      </w:tblGrid>
      <w:tr w:rsidR="002A749B" w:rsidRPr="00855393" w14:paraId="574DA36E" w14:textId="77777777" w:rsidTr="00175312">
        <w:trPr>
          <w:cantSplit/>
          <w:tblHeader/>
        </w:trPr>
        <w:tc>
          <w:tcPr>
            <w:tcW w:w="10545" w:type="dxa"/>
            <w:gridSpan w:val="3"/>
            <w:tcBorders>
              <w:top w:val="single" w:sz="8" w:space="0" w:color="auto"/>
              <w:left w:val="nil"/>
              <w:right w:val="nil"/>
            </w:tcBorders>
            <w:shd w:val="clear" w:color="auto" w:fill="6D276A"/>
          </w:tcPr>
          <w:p w14:paraId="160BA1DF" w14:textId="77777777" w:rsidR="002A749B" w:rsidRPr="00855393" w:rsidRDefault="002A749B" w:rsidP="00175312">
            <w:pPr>
              <w:pStyle w:val="TableTextWhite0"/>
              <w:keepNext/>
              <w:rPr>
                <w:sz w:val="20"/>
              </w:rPr>
            </w:pPr>
            <w:r w:rsidRPr="00855393">
              <w:rPr>
                <w:sz w:val="20"/>
              </w:rPr>
              <w:t>NSW Public Sector Capability Framework</w:t>
            </w:r>
          </w:p>
        </w:tc>
      </w:tr>
      <w:tr w:rsidR="002A749B" w:rsidRPr="00855393" w14:paraId="44F8B7DD" w14:textId="77777777" w:rsidTr="00175312">
        <w:trPr>
          <w:cantSplit/>
          <w:tblHeader/>
        </w:trPr>
        <w:tc>
          <w:tcPr>
            <w:tcW w:w="2324" w:type="dxa"/>
            <w:tcBorders>
              <w:left w:val="nil"/>
              <w:right w:val="nil"/>
            </w:tcBorders>
            <w:shd w:val="clear" w:color="auto" w:fill="BCBEC0"/>
          </w:tcPr>
          <w:p w14:paraId="58838E5F" w14:textId="77777777" w:rsidR="002A749B" w:rsidRPr="00855393" w:rsidRDefault="002A749B" w:rsidP="00175312">
            <w:pPr>
              <w:pStyle w:val="TableText"/>
              <w:rPr>
                <w:b/>
              </w:rPr>
            </w:pPr>
            <w:r w:rsidRPr="00855393">
              <w:rPr>
                <w:b/>
              </w:rPr>
              <w:t>Group and Capability</w:t>
            </w:r>
          </w:p>
        </w:tc>
        <w:tc>
          <w:tcPr>
            <w:tcW w:w="1843" w:type="dxa"/>
            <w:tcBorders>
              <w:left w:val="nil"/>
              <w:right w:val="nil"/>
            </w:tcBorders>
            <w:shd w:val="clear" w:color="auto" w:fill="BCBEC0"/>
          </w:tcPr>
          <w:p w14:paraId="49F9C36E" w14:textId="77777777" w:rsidR="002A749B" w:rsidRPr="00855393" w:rsidRDefault="002A749B" w:rsidP="00175312">
            <w:pPr>
              <w:pStyle w:val="TableText"/>
              <w:rPr>
                <w:b/>
              </w:rPr>
            </w:pPr>
            <w:r w:rsidRPr="00855393">
              <w:rPr>
                <w:b/>
              </w:rPr>
              <w:t>Level</w:t>
            </w:r>
          </w:p>
        </w:tc>
        <w:tc>
          <w:tcPr>
            <w:tcW w:w="6378" w:type="dxa"/>
            <w:tcBorders>
              <w:left w:val="nil"/>
              <w:right w:val="nil"/>
            </w:tcBorders>
            <w:shd w:val="clear" w:color="auto" w:fill="BCBEC0"/>
          </w:tcPr>
          <w:p w14:paraId="0DCB228A" w14:textId="77777777" w:rsidR="002A749B" w:rsidRPr="00855393" w:rsidRDefault="002A749B" w:rsidP="00175312">
            <w:pPr>
              <w:pStyle w:val="TableText"/>
              <w:rPr>
                <w:b/>
              </w:rPr>
            </w:pPr>
            <w:r w:rsidRPr="00855393">
              <w:rPr>
                <w:b/>
              </w:rPr>
              <w:t>Behavioural Indicators</w:t>
            </w:r>
          </w:p>
        </w:tc>
      </w:tr>
    </w:tbl>
    <w:tbl>
      <w:tblPr>
        <w:tblStyle w:val="PSCPurple"/>
        <w:tblW w:w="0" w:type="auto"/>
        <w:tblLook w:val="04A0" w:firstRow="1" w:lastRow="0" w:firstColumn="1" w:lastColumn="0" w:noHBand="0" w:noVBand="1"/>
      </w:tblPr>
      <w:tblGrid>
        <w:gridCol w:w="2315"/>
        <w:gridCol w:w="1835"/>
        <w:gridCol w:w="6338"/>
      </w:tblGrid>
      <w:tr w:rsidR="002A749B" w:rsidRPr="00C978B9" w14:paraId="58D26308" w14:textId="77777777" w:rsidTr="008574B1">
        <w:trPr>
          <w:trHeight w:val="2602"/>
        </w:trPr>
        <w:tc>
          <w:tcPr>
            <w:tcW w:w="2315" w:type="dxa"/>
          </w:tcPr>
          <w:p w14:paraId="14B267D0" w14:textId="77777777" w:rsidR="002A749B" w:rsidRPr="00B7717D" w:rsidRDefault="002A749B" w:rsidP="00175312">
            <w:pPr>
              <w:pStyle w:val="TableText"/>
              <w:rPr>
                <w:rFonts w:cs="Arial"/>
                <w:b/>
              </w:rPr>
            </w:pPr>
            <w:r w:rsidRPr="00B7717D">
              <w:rPr>
                <w:rFonts w:cs="Arial"/>
                <w:b/>
              </w:rPr>
              <w:t>Personal Attributes</w:t>
            </w:r>
          </w:p>
          <w:p w14:paraId="1B4557D4" w14:textId="65A9CC8E" w:rsidR="002A749B" w:rsidRPr="00B5079D" w:rsidRDefault="00B00319" w:rsidP="00175312">
            <w:pPr>
              <w:pStyle w:val="TableText"/>
              <w:rPr>
                <w:rFonts w:cs="Arial"/>
              </w:rPr>
            </w:pPr>
            <w:r>
              <w:t>Act with Integrity</w:t>
            </w:r>
          </w:p>
        </w:tc>
        <w:tc>
          <w:tcPr>
            <w:tcW w:w="1835" w:type="dxa"/>
          </w:tcPr>
          <w:p w14:paraId="4E471B82" w14:textId="77777777" w:rsidR="002A749B" w:rsidRDefault="002A3EF8" w:rsidP="00175312">
            <w:pPr>
              <w:pStyle w:val="TableText"/>
              <w:rPr>
                <w:rFonts w:cs="Arial"/>
              </w:rPr>
            </w:pPr>
            <w:r>
              <w:rPr>
                <w:rFonts w:cs="Arial"/>
                <w:color w:val="000000"/>
              </w:rPr>
              <w:t>Advanced</w:t>
            </w:r>
          </w:p>
          <w:p w14:paraId="18F72C9C" w14:textId="77777777" w:rsidR="002A749B" w:rsidRDefault="002A749B" w:rsidP="00175312">
            <w:pPr>
              <w:pStyle w:val="TableText"/>
              <w:rPr>
                <w:rFonts w:cs="Arial"/>
              </w:rPr>
            </w:pPr>
          </w:p>
          <w:p w14:paraId="5D77231A" w14:textId="77777777" w:rsidR="002A749B" w:rsidRPr="00B7717D" w:rsidRDefault="002A749B" w:rsidP="00175312">
            <w:pPr>
              <w:pStyle w:val="TableText"/>
              <w:rPr>
                <w:rFonts w:cs="Arial"/>
              </w:rPr>
            </w:pPr>
          </w:p>
        </w:tc>
        <w:tc>
          <w:tcPr>
            <w:tcW w:w="6338" w:type="dxa"/>
          </w:tcPr>
          <w:p w14:paraId="2F3BC0B6" w14:textId="77777777" w:rsidR="000E733C" w:rsidRPr="000E733C" w:rsidRDefault="000E733C" w:rsidP="000E733C">
            <w:pPr>
              <w:pStyle w:val="TableBullet"/>
              <w:numPr>
                <w:ilvl w:val="0"/>
                <w:numId w:val="1"/>
              </w:numPr>
              <w:rPr>
                <w:rFonts w:ascii="Arial" w:hAnsi="Arial" w:cs="Arial"/>
              </w:rPr>
            </w:pPr>
            <w:r w:rsidRPr="000E733C">
              <w:rPr>
                <w:rFonts w:ascii="Arial" w:hAnsi="Arial" w:cs="Arial"/>
              </w:rPr>
              <w:t>Model the highest standards of ethical behaviour and reinforce them in others</w:t>
            </w:r>
          </w:p>
          <w:p w14:paraId="225CCEE0" w14:textId="77777777" w:rsidR="000E733C" w:rsidRPr="000E733C" w:rsidRDefault="000E733C" w:rsidP="000E733C">
            <w:pPr>
              <w:pStyle w:val="TableBullet"/>
              <w:numPr>
                <w:ilvl w:val="0"/>
                <w:numId w:val="1"/>
              </w:numPr>
              <w:rPr>
                <w:rFonts w:ascii="Arial" w:hAnsi="Arial" w:cs="Arial"/>
              </w:rPr>
            </w:pPr>
            <w:r w:rsidRPr="000E733C">
              <w:rPr>
                <w:rFonts w:ascii="Arial" w:hAnsi="Arial" w:cs="Arial"/>
              </w:rPr>
              <w:t>Represent the organisation in an honest, ethical and professional way and set an example for others to follow</w:t>
            </w:r>
          </w:p>
          <w:p w14:paraId="5D792929" w14:textId="77777777" w:rsidR="000E733C" w:rsidRPr="000E733C" w:rsidRDefault="000E733C" w:rsidP="000E733C">
            <w:pPr>
              <w:pStyle w:val="TableBullet"/>
              <w:numPr>
                <w:ilvl w:val="0"/>
                <w:numId w:val="1"/>
              </w:numPr>
              <w:rPr>
                <w:rFonts w:ascii="Arial" w:hAnsi="Arial" w:cs="Arial"/>
              </w:rPr>
            </w:pPr>
            <w:r w:rsidRPr="000E733C">
              <w:rPr>
                <w:rFonts w:ascii="Arial" w:hAnsi="Arial" w:cs="Arial"/>
              </w:rPr>
              <w:t>Ensure that others have a working understanding of the legislation and policy framework within which they operate</w:t>
            </w:r>
          </w:p>
          <w:p w14:paraId="0C2CF62B" w14:textId="77777777" w:rsidR="000E733C" w:rsidRPr="000E733C" w:rsidRDefault="000E733C" w:rsidP="000E733C">
            <w:pPr>
              <w:pStyle w:val="TableBullet"/>
              <w:numPr>
                <w:ilvl w:val="0"/>
                <w:numId w:val="1"/>
              </w:numPr>
              <w:rPr>
                <w:rFonts w:ascii="Arial" w:hAnsi="Arial" w:cs="Arial"/>
              </w:rPr>
            </w:pPr>
            <w:r w:rsidRPr="000E733C">
              <w:rPr>
                <w:rFonts w:ascii="Arial" w:hAnsi="Arial" w:cs="Arial"/>
              </w:rPr>
              <w:t>Promote a culture of integrity and professionalism within the organisation and in dealings external to government</w:t>
            </w:r>
          </w:p>
          <w:p w14:paraId="33EC9528" w14:textId="77777777" w:rsidR="000E733C" w:rsidRPr="000E733C" w:rsidRDefault="000E733C" w:rsidP="000E733C">
            <w:pPr>
              <w:pStyle w:val="TableBullet"/>
              <w:numPr>
                <w:ilvl w:val="0"/>
                <w:numId w:val="1"/>
              </w:numPr>
              <w:rPr>
                <w:rFonts w:ascii="Arial" w:hAnsi="Arial" w:cs="Arial"/>
              </w:rPr>
            </w:pPr>
            <w:r w:rsidRPr="000E733C">
              <w:rPr>
                <w:rFonts w:ascii="Arial" w:hAnsi="Arial" w:cs="Arial"/>
              </w:rPr>
              <w:t>Monitor ethical practices, standards and systems and reinforce their use</w:t>
            </w:r>
          </w:p>
          <w:p w14:paraId="0155EF85" w14:textId="1622E897" w:rsidR="002A3EF8" w:rsidRPr="00B5079D" w:rsidRDefault="000E733C" w:rsidP="000E733C">
            <w:pPr>
              <w:pStyle w:val="TableBullet"/>
              <w:numPr>
                <w:ilvl w:val="0"/>
                <w:numId w:val="1"/>
              </w:numPr>
              <w:rPr>
                <w:rFonts w:ascii="Arial" w:hAnsi="Arial" w:cs="Arial"/>
              </w:rPr>
            </w:pPr>
            <w:r w:rsidRPr="000E733C">
              <w:rPr>
                <w:rFonts w:ascii="Arial" w:hAnsi="Arial" w:cs="Arial"/>
              </w:rPr>
              <w:t>Act on reported breaches of rules, policies and guidelines</w:t>
            </w:r>
          </w:p>
        </w:tc>
      </w:tr>
      <w:tr w:rsidR="002A749B" w:rsidRPr="00C978B9" w14:paraId="69A9E52F" w14:textId="77777777" w:rsidTr="00775AFD">
        <w:tc>
          <w:tcPr>
            <w:tcW w:w="2315" w:type="dxa"/>
          </w:tcPr>
          <w:p w14:paraId="13D63EB2" w14:textId="77777777" w:rsidR="002A749B" w:rsidRPr="00B7717D" w:rsidRDefault="002A749B" w:rsidP="00175312">
            <w:pPr>
              <w:pStyle w:val="TableText"/>
              <w:rPr>
                <w:rFonts w:cs="Arial"/>
                <w:b/>
              </w:rPr>
            </w:pPr>
            <w:r w:rsidRPr="00B7717D">
              <w:rPr>
                <w:rFonts w:cs="Arial"/>
                <w:b/>
              </w:rPr>
              <w:t>Relationships</w:t>
            </w:r>
          </w:p>
          <w:p w14:paraId="1D2FFF05" w14:textId="77777777" w:rsidR="002A749B" w:rsidRDefault="002A749B" w:rsidP="00175312">
            <w:pPr>
              <w:pStyle w:val="TableText"/>
              <w:rPr>
                <w:rFonts w:cs="Arial"/>
              </w:rPr>
            </w:pPr>
            <w:r w:rsidRPr="00B7717D">
              <w:rPr>
                <w:rFonts w:cs="Arial"/>
              </w:rPr>
              <w:t>Communicate</w:t>
            </w:r>
            <w:r w:rsidRPr="00B7717D">
              <w:rPr>
                <w:rFonts w:cs="Arial"/>
              </w:rPr>
              <w:br/>
              <w:t>Effectively</w:t>
            </w:r>
          </w:p>
          <w:p w14:paraId="555719D0" w14:textId="77777777" w:rsidR="002A749B" w:rsidRDefault="002A749B" w:rsidP="00175312">
            <w:pPr>
              <w:pStyle w:val="TableText"/>
              <w:rPr>
                <w:rFonts w:cs="Arial"/>
              </w:rPr>
            </w:pPr>
          </w:p>
          <w:p w14:paraId="098626D8" w14:textId="77777777" w:rsidR="002A749B" w:rsidRDefault="002A749B" w:rsidP="00175312">
            <w:pPr>
              <w:pStyle w:val="TableText"/>
              <w:rPr>
                <w:rFonts w:cs="Arial"/>
              </w:rPr>
            </w:pPr>
          </w:p>
          <w:p w14:paraId="7A8CDD9E" w14:textId="77777777" w:rsidR="002A749B" w:rsidRDefault="002A749B" w:rsidP="00175312">
            <w:pPr>
              <w:pStyle w:val="TableText"/>
              <w:rPr>
                <w:rFonts w:cs="Arial"/>
              </w:rPr>
            </w:pPr>
          </w:p>
          <w:p w14:paraId="091EFC99" w14:textId="77777777" w:rsidR="002A749B" w:rsidRDefault="002A749B" w:rsidP="00175312">
            <w:pPr>
              <w:pStyle w:val="TableText"/>
              <w:rPr>
                <w:rFonts w:cs="Arial"/>
              </w:rPr>
            </w:pPr>
          </w:p>
          <w:p w14:paraId="04CD395A" w14:textId="77777777" w:rsidR="002A749B" w:rsidRPr="00B7717D" w:rsidRDefault="002A749B" w:rsidP="00175312">
            <w:pPr>
              <w:pStyle w:val="TableText"/>
              <w:rPr>
                <w:rFonts w:cs="Arial"/>
              </w:rPr>
            </w:pPr>
          </w:p>
        </w:tc>
        <w:tc>
          <w:tcPr>
            <w:tcW w:w="1835" w:type="dxa"/>
          </w:tcPr>
          <w:p w14:paraId="501DD4E9" w14:textId="77777777" w:rsidR="002A749B" w:rsidRDefault="002A749B" w:rsidP="00175312">
            <w:pPr>
              <w:pStyle w:val="TableText"/>
              <w:rPr>
                <w:rFonts w:cs="Arial"/>
              </w:rPr>
            </w:pPr>
            <w:r>
              <w:rPr>
                <w:rFonts w:cs="Arial"/>
              </w:rPr>
              <w:t>Advanced</w:t>
            </w:r>
          </w:p>
          <w:p w14:paraId="237DD6B9" w14:textId="77777777" w:rsidR="002A749B" w:rsidRDefault="002A749B" w:rsidP="00175312">
            <w:pPr>
              <w:pStyle w:val="TableText"/>
              <w:rPr>
                <w:rFonts w:cs="Arial"/>
              </w:rPr>
            </w:pPr>
          </w:p>
          <w:p w14:paraId="2DA33626" w14:textId="77777777" w:rsidR="002A749B" w:rsidRDefault="002A749B" w:rsidP="00175312">
            <w:pPr>
              <w:pStyle w:val="TableText"/>
              <w:rPr>
                <w:rFonts w:cs="Arial"/>
              </w:rPr>
            </w:pPr>
          </w:p>
          <w:p w14:paraId="69611975" w14:textId="77777777" w:rsidR="002A749B" w:rsidRDefault="002A749B" w:rsidP="00175312">
            <w:pPr>
              <w:pStyle w:val="TableText"/>
              <w:rPr>
                <w:rFonts w:cs="Arial"/>
              </w:rPr>
            </w:pPr>
          </w:p>
          <w:p w14:paraId="4D1A8C8C" w14:textId="77777777" w:rsidR="002A749B" w:rsidRDefault="002A749B" w:rsidP="00175312">
            <w:pPr>
              <w:pStyle w:val="TableText"/>
              <w:rPr>
                <w:rFonts w:cs="Arial"/>
              </w:rPr>
            </w:pPr>
          </w:p>
          <w:p w14:paraId="0E8EB80B" w14:textId="77777777" w:rsidR="002A749B" w:rsidRDefault="002A749B" w:rsidP="00175312">
            <w:pPr>
              <w:pStyle w:val="TableText"/>
              <w:rPr>
                <w:rFonts w:cs="Arial"/>
              </w:rPr>
            </w:pPr>
          </w:p>
          <w:p w14:paraId="14374807" w14:textId="77777777" w:rsidR="002A749B" w:rsidRPr="00B7717D" w:rsidRDefault="002A749B" w:rsidP="00175312">
            <w:pPr>
              <w:pStyle w:val="TableText"/>
              <w:rPr>
                <w:rFonts w:cs="Arial"/>
              </w:rPr>
            </w:pPr>
          </w:p>
        </w:tc>
        <w:tc>
          <w:tcPr>
            <w:tcW w:w="6338" w:type="dxa"/>
          </w:tcPr>
          <w:p w14:paraId="27D2F9B4" w14:textId="77777777" w:rsidR="002A749B" w:rsidRPr="00BE0A50" w:rsidRDefault="002A749B" w:rsidP="002A749B">
            <w:pPr>
              <w:pStyle w:val="TableBullet"/>
              <w:numPr>
                <w:ilvl w:val="0"/>
                <w:numId w:val="1"/>
              </w:numPr>
              <w:ind w:left="284" w:hanging="284"/>
              <w:rPr>
                <w:rFonts w:ascii="Arial" w:hAnsi="Arial" w:cs="Arial"/>
              </w:rPr>
            </w:pPr>
            <w:r w:rsidRPr="00BE0A50">
              <w:rPr>
                <w:rFonts w:ascii="Arial" w:hAnsi="Arial" w:cs="Arial"/>
              </w:rPr>
              <w:t>Present with credibility, engage varied audiences and test levels of understanding</w:t>
            </w:r>
          </w:p>
          <w:p w14:paraId="63C23AF7" w14:textId="77777777" w:rsidR="002A749B" w:rsidRPr="00BE0A50" w:rsidRDefault="002A749B" w:rsidP="002A749B">
            <w:pPr>
              <w:pStyle w:val="TableBullet"/>
              <w:numPr>
                <w:ilvl w:val="0"/>
                <w:numId w:val="1"/>
              </w:numPr>
              <w:ind w:left="284" w:hanging="284"/>
              <w:rPr>
                <w:rFonts w:ascii="Arial" w:hAnsi="Arial" w:cs="Arial"/>
              </w:rPr>
            </w:pPr>
            <w:r w:rsidRPr="00BE0A50">
              <w:rPr>
                <w:rFonts w:ascii="Arial" w:hAnsi="Arial" w:cs="Arial"/>
              </w:rPr>
              <w:t>Translate technical and complex information concisely for diverse audiences</w:t>
            </w:r>
          </w:p>
          <w:p w14:paraId="2D5D07FF" w14:textId="77777777" w:rsidR="002A749B" w:rsidRPr="00BE0A50" w:rsidRDefault="002A749B" w:rsidP="002A749B">
            <w:pPr>
              <w:pStyle w:val="TableBullet"/>
              <w:numPr>
                <w:ilvl w:val="0"/>
                <w:numId w:val="1"/>
              </w:numPr>
              <w:ind w:left="284" w:hanging="284"/>
              <w:rPr>
                <w:rFonts w:ascii="Arial" w:hAnsi="Arial" w:cs="Arial"/>
              </w:rPr>
            </w:pPr>
            <w:r w:rsidRPr="00BE0A50">
              <w:rPr>
                <w:rFonts w:ascii="Arial" w:hAnsi="Arial" w:cs="Arial"/>
              </w:rPr>
              <w:t>Create opportunities for others to contribute to discussion and debate</w:t>
            </w:r>
          </w:p>
          <w:p w14:paraId="65089B8C" w14:textId="77777777" w:rsidR="002A749B" w:rsidRPr="00BE0A50" w:rsidRDefault="002A749B" w:rsidP="002A749B">
            <w:pPr>
              <w:pStyle w:val="TableBullet"/>
              <w:numPr>
                <w:ilvl w:val="0"/>
                <w:numId w:val="1"/>
              </w:numPr>
              <w:ind w:left="284" w:hanging="284"/>
              <w:rPr>
                <w:rFonts w:ascii="Arial" w:hAnsi="Arial" w:cs="Arial"/>
              </w:rPr>
            </w:pPr>
            <w:r w:rsidRPr="00BE0A50">
              <w:rPr>
                <w:rFonts w:ascii="Arial" w:hAnsi="Arial" w:cs="Arial"/>
              </w:rPr>
              <w:t>Actively listen and encourage others to contribute inputs</w:t>
            </w:r>
          </w:p>
          <w:p w14:paraId="164448DE" w14:textId="77777777" w:rsidR="002A749B" w:rsidRPr="00BE0A50" w:rsidRDefault="002A749B" w:rsidP="002A749B">
            <w:pPr>
              <w:pStyle w:val="TableBullet"/>
              <w:numPr>
                <w:ilvl w:val="0"/>
                <w:numId w:val="1"/>
              </w:numPr>
              <w:ind w:left="284" w:hanging="284"/>
              <w:rPr>
                <w:rFonts w:ascii="Arial" w:hAnsi="Arial" w:cs="Arial"/>
              </w:rPr>
            </w:pPr>
            <w:r w:rsidRPr="00BE0A50">
              <w:rPr>
                <w:rFonts w:ascii="Arial" w:hAnsi="Arial" w:cs="Arial"/>
              </w:rPr>
              <w:t>Adjust style and approach to optimise outcomes</w:t>
            </w:r>
          </w:p>
          <w:p w14:paraId="54AC1B8D" w14:textId="77777777" w:rsidR="002A749B" w:rsidRPr="00CC46F4" w:rsidRDefault="002A749B" w:rsidP="00CC46F4">
            <w:pPr>
              <w:pStyle w:val="TableBullet"/>
              <w:numPr>
                <w:ilvl w:val="0"/>
                <w:numId w:val="1"/>
              </w:numPr>
              <w:ind w:left="284" w:hanging="284"/>
              <w:rPr>
                <w:rFonts w:ascii="Arial" w:hAnsi="Arial" w:cs="Arial"/>
              </w:rPr>
            </w:pPr>
            <w:r w:rsidRPr="00BE0A50">
              <w:rPr>
                <w:rFonts w:ascii="Arial" w:hAnsi="Arial" w:cs="Arial"/>
              </w:rPr>
              <w:t>Write fluently and persuasively in a range of styles and formats</w:t>
            </w:r>
          </w:p>
        </w:tc>
      </w:tr>
      <w:tr w:rsidR="002A749B" w:rsidRPr="00C978B9" w14:paraId="3828C5A2" w14:textId="77777777" w:rsidTr="00775AFD">
        <w:tc>
          <w:tcPr>
            <w:tcW w:w="2315" w:type="dxa"/>
          </w:tcPr>
          <w:p w14:paraId="27CAD0B0" w14:textId="77777777" w:rsidR="002A749B" w:rsidRPr="00B7717D" w:rsidRDefault="002A749B" w:rsidP="00175312">
            <w:pPr>
              <w:pStyle w:val="TableText"/>
              <w:rPr>
                <w:rFonts w:cs="Arial"/>
                <w:b/>
              </w:rPr>
            </w:pPr>
            <w:r w:rsidRPr="00B7717D">
              <w:rPr>
                <w:rFonts w:cs="Arial"/>
                <w:b/>
              </w:rPr>
              <w:t>Results</w:t>
            </w:r>
          </w:p>
          <w:p w14:paraId="2AB4BDA4" w14:textId="77777777" w:rsidR="002A749B" w:rsidRPr="00B7717D" w:rsidRDefault="00BB2A31" w:rsidP="00175312">
            <w:pPr>
              <w:pStyle w:val="TableText"/>
              <w:rPr>
                <w:rFonts w:cs="Arial"/>
              </w:rPr>
            </w:pPr>
            <w:r>
              <w:rPr>
                <w:rFonts w:cs="Arial"/>
              </w:rPr>
              <w:t>P</w:t>
            </w:r>
            <w:r w:rsidR="002A749B" w:rsidRPr="00B7717D">
              <w:rPr>
                <w:rFonts w:cs="Arial"/>
              </w:rPr>
              <w:t>lan and Prioritise</w:t>
            </w:r>
          </w:p>
        </w:tc>
        <w:tc>
          <w:tcPr>
            <w:tcW w:w="1835" w:type="dxa"/>
          </w:tcPr>
          <w:p w14:paraId="72DBFDEA" w14:textId="3ABFE826" w:rsidR="002A749B" w:rsidRDefault="001D21FC" w:rsidP="00175312">
            <w:pPr>
              <w:pStyle w:val="TableText"/>
              <w:rPr>
                <w:rFonts w:cs="Arial"/>
              </w:rPr>
            </w:pPr>
            <w:r>
              <w:rPr>
                <w:rFonts w:cs="Arial"/>
              </w:rPr>
              <w:t>Advanced</w:t>
            </w:r>
          </w:p>
          <w:p w14:paraId="7CA8E2D4" w14:textId="77777777" w:rsidR="002A749B" w:rsidRDefault="002A749B" w:rsidP="00175312">
            <w:pPr>
              <w:pStyle w:val="TableText"/>
              <w:rPr>
                <w:rFonts w:cs="Arial"/>
              </w:rPr>
            </w:pPr>
          </w:p>
          <w:p w14:paraId="7612E3B6" w14:textId="77777777" w:rsidR="002A749B" w:rsidRDefault="002A749B" w:rsidP="00175312">
            <w:pPr>
              <w:pStyle w:val="TableText"/>
              <w:rPr>
                <w:rFonts w:cs="Arial"/>
              </w:rPr>
            </w:pPr>
          </w:p>
          <w:p w14:paraId="4DB6B155" w14:textId="77777777" w:rsidR="002A749B" w:rsidRDefault="002A749B" w:rsidP="00175312">
            <w:pPr>
              <w:pStyle w:val="TableText"/>
              <w:rPr>
                <w:rFonts w:cs="Arial"/>
              </w:rPr>
            </w:pPr>
          </w:p>
          <w:p w14:paraId="74BDD93A" w14:textId="77777777" w:rsidR="002A749B" w:rsidRDefault="002A749B" w:rsidP="00175312">
            <w:pPr>
              <w:pStyle w:val="TableText"/>
              <w:rPr>
                <w:rFonts w:cs="Arial"/>
              </w:rPr>
            </w:pPr>
          </w:p>
          <w:p w14:paraId="32436D9F" w14:textId="77777777" w:rsidR="002A749B" w:rsidRDefault="002A749B" w:rsidP="00175312">
            <w:pPr>
              <w:pStyle w:val="TableText"/>
              <w:rPr>
                <w:rFonts w:cs="Arial"/>
              </w:rPr>
            </w:pPr>
          </w:p>
          <w:p w14:paraId="5FD147CC" w14:textId="77777777" w:rsidR="002A749B" w:rsidRDefault="002A749B" w:rsidP="00175312">
            <w:pPr>
              <w:pStyle w:val="TableText"/>
              <w:rPr>
                <w:rFonts w:cs="Arial"/>
              </w:rPr>
            </w:pPr>
          </w:p>
          <w:p w14:paraId="7ABC518B" w14:textId="77777777" w:rsidR="002A749B" w:rsidRDefault="002A749B" w:rsidP="00175312">
            <w:pPr>
              <w:pStyle w:val="TableText"/>
              <w:rPr>
                <w:rFonts w:cs="Arial"/>
              </w:rPr>
            </w:pPr>
          </w:p>
          <w:p w14:paraId="25914C0A" w14:textId="77777777" w:rsidR="002A749B" w:rsidRDefault="002A749B" w:rsidP="00175312">
            <w:pPr>
              <w:pStyle w:val="TableText"/>
              <w:rPr>
                <w:rFonts w:cs="Arial"/>
              </w:rPr>
            </w:pPr>
          </w:p>
          <w:p w14:paraId="521EEFED" w14:textId="77777777" w:rsidR="002A749B" w:rsidRPr="00B7717D" w:rsidRDefault="002A749B" w:rsidP="00175312">
            <w:pPr>
              <w:pStyle w:val="TableText"/>
              <w:rPr>
                <w:rFonts w:cs="Arial"/>
              </w:rPr>
            </w:pPr>
          </w:p>
        </w:tc>
        <w:tc>
          <w:tcPr>
            <w:tcW w:w="6338" w:type="dxa"/>
          </w:tcPr>
          <w:p w14:paraId="77AEAB0E" w14:textId="77777777" w:rsidR="00DD0C37" w:rsidRPr="00DD0C37" w:rsidRDefault="00DD0C37" w:rsidP="00DD0C37">
            <w:pPr>
              <w:pStyle w:val="TableBullet"/>
              <w:numPr>
                <w:ilvl w:val="0"/>
                <w:numId w:val="1"/>
              </w:numPr>
              <w:rPr>
                <w:rFonts w:ascii="Arial" w:hAnsi="Arial" w:cs="Arial"/>
              </w:rPr>
            </w:pPr>
            <w:r w:rsidRPr="00DD0C37">
              <w:rPr>
                <w:rFonts w:ascii="Arial" w:hAnsi="Arial" w:cs="Arial"/>
              </w:rPr>
              <w:t>Understand the links between the business unit, organisation and the whole-of-government agenda</w:t>
            </w:r>
          </w:p>
          <w:p w14:paraId="02E53A17" w14:textId="77777777" w:rsidR="00DD0C37" w:rsidRPr="00DD0C37" w:rsidRDefault="00DD0C37" w:rsidP="00DD0C37">
            <w:pPr>
              <w:pStyle w:val="TableBullet"/>
              <w:numPr>
                <w:ilvl w:val="0"/>
                <w:numId w:val="1"/>
              </w:numPr>
              <w:rPr>
                <w:rFonts w:ascii="Arial" w:hAnsi="Arial" w:cs="Arial"/>
              </w:rPr>
            </w:pPr>
            <w:r w:rsidRPr="00DD0C37">
              <w:rPr>
                <w:rFonts w:ascii="Arial" w:hAnsi="Arial" w:cs="Arial"/>
              </w:rPr>
              <w:t>Ensure business plan goals are clear and appropriate including contingency provisions</w:t>
            </w:r>
          </w:p>
          <w:p w14:paraId="2EF23D87" w14:textId="77777777" w:rsidR="00DD0C37" w:rsidRPr="00DD0C37" w:rsidRDefault="00DD0C37" w:rsidP="00DD0C37">
            <w:pPr>
              <w:pStyle w:val="TableBullet"/>
              <w:numPr>
                <w:ilvl w:val="0"/>
                <w:numId w:val="1"/>
              </w:numPr>
              <w:rPr>
                <w:rFonts w:ascii="Arial" w:hAnsi="Arial" w:cs="Arial"/>
              </w:rPr>
            </w:pPr>
            <w:r w:rsidRPr="00DD0C37">
              <w:rPr>
                <w:rFonts w:ascii="Arial" w:hAnsi="Arial" w:cs="Arial"/>
              </w:rPr>
              <w:t>Monitor progress of initiatives and make necessary adjustments</w:t>
            </w:r>
          </w:p>
          <w:p w14:paraId="1E2F2E3A" w14:textId="77777777" w:rsidR="00DD0C37" w:rsidRPr="00DD0C37" w:rsidRDefault="00DD0C37" w:rsidP="00DD0C37">
            <w:pPr>
              <w:pStyle w:val="TableBullet"/>
              <w:numPr>
                <w:ilvl w:val="0"/>
                <w:numId w:val="1"/>
              </w:numPr>
              <w:rPr>
                <w:rFonts w:ascii="Arial" w:hAnsi="Arial" w:cs="Arial"/>
              </w:rPr>
            </w:pPr>
            <w:r w:rsidRPr="00DD0C37">
              <w:rPr>
                <w:rFonts w:ascii="Arial" w:hAnsi="Arial" w:cs="Arial"/>
              </w:rPr>
              <w:t>Anticipate and assess the impact of changes, such as government policy/economic conditions, to business plans and initiatives, and respond appropriately</w:t>
            </w:r>
          </w:p>
          <w:p w14:paraId="130D2ACF" w14:textId="77777777" w:rsidR="00DD0C37" w:rsidRPr="00DD0C37" w:rsidRDefault="00DD0C37" w:rsidP="00DD0C37">
            <w:pPr>
              <w:pStyle w:val="TableBullet"/>
              <w:numPr>
                <w:ilvl w:val="0"/>
                <w:numId w:val="1"/>
              </w:numPr>
              <w:rPr>
                <w:rFonts w:ascii="Arial" w:hAnsi="Arial" w:cs="Arial"/>
              </w:rPr>
            </w:pPr>
            <w:r w:rsidRPr="00DD0C37">
              <w:rPr>
                <w:rFonts w:ascii="Arial" w:hAnsi="Arial" w:cs="Arial"/>
              </w:rPr>
              <w:t>Consider the implications of a wide range of complex issues, and shift business priorities when necessary</w:t>
            </w:r>
          </w:p>
          <w:p w14:paraId="43F8BAF3" w14:textId="7B300277" w:rsidR="002A749B" w:rsidRPr="008574B1" w:rsidRDefault="00DD0C37" w:rsidP="00DD0C37">
            <w:pPr>
              <w:pStyle w:val="TableBullet"/>
              <w:numPr>
                <w:ilvl w:val="0"/>
                <w:numId w:val="1"/>
              </w:numPr>
              <w:rPr>
                <w:rFonts w:ascii="Arial" w:hAnsi="Arial" w:cs="Arial"/>
              </w:rPr>
            </w:pPr>
            <w:r w:rsidRPr="00DD0C37">
              <w:rPr>
                <w:rFonts w:ascii="Arial" w:hAnsi="Arial" w:cs="Arial"/>
              </w:rPr>
              <w:t>Undertake planning to transition the organisation through change initiatives and evaluate progress and outcome to inform future planning</w:t>
            </w:r>
          </w:p>
        </w:tc>
      </w:tr>
      <w:tr w:rsidR="002A749B" w:rsidRPr="00C978B9" w14:paraId="54AFA8C0" w14:textId="77777777" w:rsidTr="00775AFD">
        <w:tc>
          <w:tcPr>
            <w:tcW w:w="2315" w:type="dxa"/>
          </w:tcPr>
          <w:p w14:paraId="3789B653" w14:textId="77777777" w:rsidR="002A749B" w:rsidRPr="00B7717D" w:rsidRDefault="002A749B" w:rsidP="00175312">
            <w:pPr>
              <w:pStyle w:val="TableText"/>
              <w:rPr>
                <w:rFonts w:cs="Arial"/>
                <w:b/>
              </w:rPr>
            </w:pPr>
            <w:r w:rsidRPr="00B7717D">
              <w:rPr>
                <w:rFonts w:cs="Arial"/>
                <w:b/>
              </w:rPr>
              <w:t>Business Enablers</w:t>
            </w:r>
          </w:p>
          <w:p w14:paraId="3924585A" w14:textId="77777777" w:rsidR="002A749B" w:rsidRDefault="002A749B" w:rsidP="00175312">
            <w:pPr>
              <w:pStyle w:val="TableText"/>
              <w:rPr>
                <w:rFonts w:cs="Arial"/>
              </w:rPr>
            </w:pPr>
            <w:r w:rsidRPr="00B7717D">
              <w:rPr>
                <w:rFonts w:cs="Arial"/>
              </w:rPr>
              <w:t>Technology</w:t>
            </w:r>
          </w:p>
          <w:p w14:paraId="425E3FEC" w14:textId="77777777" w:rsidR="002A749B" w:rsidRDefault="002A749B" w:rsidP="00175312">
            <w:pPr>
              <w:pStyle w:val="TableText"/>
              <w:rPr>
                <w:rFonts w:cs="Arial"/>
              </w:rPr>
            </w:pPr>
          </w:p>
          <w:p w14:paraId="34C728A9" w14:textId="77777777" w:rsidR="002A749B" w:rsidRDefault="002A749B" w:rsidP="00175312">
            <w:pPr>
              <w:pStyle w:val="TableText"/>
              <w:rPr>
                <w:rFonts w:cs="Arial"/>
              </w:rPr>
            </w:pPr>
          </w:p>
          <w:p w14:paraId="576FB2C3" w14:textId="77777777" w:rsidR="002A749B" w:rsidRDefault="002A749B" w:rsidP="00175312">
            <w:pPr>
              <w:pStyle w:val="TableText"/>
              <w:rPr>
                <w:rFonts w:cs="Arial"/>
              </w:rPr>
            </w:pPr>
          </w:p>
          <w:p w14:paraId="7329B4BC" w14:textId="77777777" w:rsidR="002A749B" w:rsidRDefault="002A749B" w:rsidP="00175312">
            <w:pPr>
              <w:pStyle w:val="TableText"/>
              <w:rPr>
                <w:rFonts w:cs="Arial"/>
              </w:rPr>
            </w:pPr>
          </w:p>
          <w:p w14:paraId="22077E98" w14:textId="77777777" w:rsidR="002A749B" w:rsidRPr="00421767" w:rsidRDefault="002A749B" w:rsidP="00175312">
            <w:pPr>
              <w:pStyle w:val="TableText"/>
            </w:pPr>
          </w:p>
        </w:tc>
        <w:tc>
          <w:tcPr>
            <w:tcW w:w="1835" w:type="dxa"/>
          </w:tcPr>
          <w:p w14:paraId="14904F15" w14:textId="514299BF" w:rsidR="002A749B" w:rsidRDefault="00AE2A42" w:rsidP="00175312">
            <w:pPr>
              <w:pStyle w:val="TableText"/>
              <w:rPr>
                <w:rFonts w:cs="Arial"/>
              </w:rPr>
            </w:pPr>
            <w:r>
              <w:rPr>
                <w:rFonts w:cs="Arial"/>
              </w:rPr>
              <w:t>Adept</w:t>
            </w:r>
          </w:p>
          <w:p w14:paraId="7F36A580" w14:textId="77777777" w:rsidR="002A749B" w:rsidRDefault="002A749B" w:rsidP="00175312">
            <w:pPr>
              <w:pStyle w:val="TableText"/>
              <w:rPr>
                <w:rFonts w:cs="Arial"/>
              </w:rPr>
            </w:pPr>
          </w:p>
          <w:p w14:paraId="6E782DA3" w14:textId="77777777" w:rsidR="002A749B" w:rsidRDefault="002A749B" w:rsidP="00175312">
            <w:pPr>
              <w:pStyle w:val="TableText"/>
              <w:rPr>
                <w:rFonts w:cs="Arial"/>
              </w:rPr>
            </w:pPr>
          </w:p>
          <w:p w14:paraId="137BB616" w14:textId="77777777" w:rsidR="002A749B" w:rsidRDefault="002A749B" w:rsidP="00175312">
            <w:pPr>
              <w:pStyle w:val="TableText"/>
              <w:rPr>
                <w:rFonts w:cs="Arial"/>
              </w:rPr>
            </w:pPr>
          </w:p>
          <w:p w14:paraId="0C0524D0" w14:textId="77777777" w:rsidR="002A749B" w:rsidRDefault="002A749B" w:rsidP="00175312">
            <w:pPr>
              <w:pStyle w:val="TableText"/>
              <w:rPr>
                <w:rFonts w:cs="Arial"/>
              </w:rPr>
            </w:pPr>
          </w:p>
          <w:p w14:paraId="3C620998" w14:textId="77777777" w:rsidR="002A749B" w:rsidRDefault="002A749B" w:rsidP="00175312">
            <w:pPr>
              <w:pStyle w:val="TableText"/>
              <w:rPr>
                <w:rFonts w:cs="Arial"/>
              </w:rPr>
            </w:pPr>
          </w:p>
          <w:p w14:paraId="1816D161" w14:textId="77777777" w:rsidR="002A749B" w:rsidRDefault="002A749B" w:rsidP="00175312">
            <w:pPr>
              <w:pStyle w:val="TableText"/>
              <w:rPr>
                <w:rFonts w:cs="Arial"/>
              </w:rPr>
            </w:pPr>
          </w:p>
          <w:p w14:paraId="3E6B42D1" w14:textId="77777777" w:rsidR="002A749B" w:rsidRPr="00B7717D" w:rsidRDefault="002A749B" w:rsidP="00175312">
            <w:pPr>
              <w:pStyle w:val="TableText"/>
              <w:rPr>
                <w:rFonts w:cs="Arial"/>
              </w:rPr>
            </w:pPr>
          </w:p>
        </w:tc>
        <w:tc>
          <w:tcPr>
            <w:tcW w:w="6338" w:type="dxa"/>
          </w:tcPr>
          <w:p w14:paraId="7473A260" w14:textId="77777777" w:rsidR="00AE2A42" w:rsidRPr="00AE2A42" w:rsidRDefault="00AE2A42" w:rsidP="00AE2A42">
            <w:pPr>
              <w:pStyle w:val="TableBullet"/>
              <w:numPr>
                <w:ilvl w:val="0"/>
                <w:numId w:val="1"/>
              </w:numPr>
              <w:rPr>
                <w:rFonts w:ascii="Arial" w:hAnsi="Arial" w:cs="Arial"/>
              </w:rPr>
            </w:pPr>
            <w:r w:rsidRPr="00AE2A42">
              <w:rPr>
                <w:rFonts w:ascii="Arial" w:hAnsi="Arial" w:cs="Arial"/>
              </w:rPr>
              <w:t>Demonstrate a sound understanding of technology relevant to the work unit, and identify and select the most appropriate technology for assigned tasks</w:t>
            </w:r>
          </w:p>
          <w:p w14:paraId="1329210F" w14:textId="77777777" w:rsidR="00AE2A42" w:rsidRPr="00AE2A42" w:rsidRDefault="00AE2A42" w:rsidP="00AE2A42">
            <w:pPr>
              <w:pStyle w:val="TableBullet"/>
              <w:numPr>
                <w:ilvl w:val="0"/>
                <w:numId w:val="1"/>
              </w:numPr>
              <w:rPr>
                <w:rFonts w:ascii="Arial" w:hAnsi="Arial" w:cs="Arial"/>
              </w:rPr>
            </w:pPr>
            <w:r w:rsidRPr="00AE2A42">
              <w:rPr>
                <w:rFonts w:ascii="Arial" w:hAnsi="Arial" w:cs="Arial"/>
              </w:rPr>
              <w:t>Identify opportunities to use a broad range of communications technologies to deliver effective messages</w:t>
            </w:r>
          </w:p>
          <w:p w14:paraId="2BE5EA62" w14:textId="77777777" w:rsidR="00AE2A42" w:rsidRPr="00AE2A42" w:rsidRDefault="00AE2A42" w:rsidP="00AE2A42">
            <w:pPr>
              <w:pStyle w:val="TableBullet"/>
              <w:numPr>
                <w:ilvl w:val="0"/>
                <w:numId w:val="1"/>
              </w:numPr>
              <w:rPr>
                <w:rFonts w:ascii="Arial" w:hAnsi="Arial" w:cs="Arial"/>
              </w:rPr>
            </w:pPr>
            <w:r w:rsidRPr="00AE2A42">
              <w:rPr>
                <w:rFonts w:ascii="Arial" w:hAnsi="Arial" w:cs="Arial"/>
              </w:rPr>
              <w:t>Understand, act on and monitor compliance with information and communications security and use policies</w:t>
            </w:r>
          </w:p>
          <w:p w14:paraId="2E5D7257" w14:textId="77777777" w:rsidR="00AE2A42" w:rsidRPr="00AE2A42" w:rsidRDefault="00AE2A42" w:rsidP="00AE2A42">
            <w:pPr>
              <w:pStyle w:val="TableBullet"/>
              <w:numPr>
                <w:ilvl w:val="0"/>
                <w:numId w:val="1"/>
              </w:numPr>
              <w:rPr>
                <w:rFonts w:ascii="Arial" w:hAnsi="Arial" w:cs="Arial"/>
              </w:rPr>
            </w:pPr>
            <w:r w:rsidRPr="00AE2A42">
              <w:rPr>
                <w:rFonts w:ascii="Arial" w:hAnsi="Arial" w:cs="Arial"/>
              </w:rPr>
              <w:t>Identify ways to leverage the value of technology to achieve team/unit outcomes, using the existing technology of the business</w:t>
            </w:r>
          </w:p>
          <w:p w14:paraId="686A64F3" w14:textId="51F84B0C" w:rsidR="002A749B" w:rsidRPr="00421767" w:rsidRDefault="00AE2A42" w:rsidP="00AE2A42">
            <w:pPr>
              <w:pStyle w:val="TableBullet"/>
              <w:numPr>
                <w:ilvl w:val="0"/>
                <w:numId w:val="1"/>
              </w:numPr>
              <w:rPr>
                <w:rFonts w:ascii="Arial" w:hAnsi="Arial" w:cs="Arial"/>
              </w:rPr>
            </w:pPr>
            <w:r w:rsidRPr="00AE2A42">
              <w:rPr>
                <w:rFonts w:ascii="Arial" w:hAnsi="Arial" w:cs="Arial"/>
              </w:rPr>
              <w:t>Support compliance with the records, information and knowledge management requirements of the organisation</w:t>
            </w:r>
          </w:p>
        </w:tc>
      </w:tr>
      <w:tr w:rsidR="00E72804" w:rsidRPr="00BB3B69" w14:paraId="1DCC337D" w14:textId="77777777" w:rsidTr="00F14818">
        <w:tc>
          <w:tcPr>
            <w:tcW w:w="2315" w:type="dxa"/>
          </w:tcPr>
          <w:p w14:paraId="71E9ABDB" w14:textId="77777777" w:rsidR="00E72804" w:rsidRPr="00BB3B69" w:rsidRDefault="00E72804" w:rsidP="00E72804">
            <w:pPr>
              <w:pStyle w:val="TableText"/>
              <w:rPr>
                <w:rFonts w:cs="Arial"/>
                <w:b/>
              </w:rPr>
            </w:pPr>
            <w:r w:rsidRPr="00BB3B69">
              <w:rPr>
                <w:rFonts w:cs="Arial"/>
                <w:b/>
              </w:rPr>
              <w:t>People Management</w:t>
            </w:r>
          </w:p>
          <w:p w14:paraId="2C72F628" w14:textId="689BFE8D" w:rsidR="00E72804" w:rsidRPr="00CC46F4" w:rsidRDefault="0090115D" w:rsidP="00E72804">
            <w:pPr>
              <w:pStyle w:val="TableText"/>
            </w:pPr>
            <w:r>
              <w:t>Manage and Develop People</w:t>
            </w:r>
          </w:p>
        </w:tc>
        <w:tc>
          <w:tcPr>
            <w:tcW w:w="1835" w:type="dxa"/>
          </w:tcPr>
          <w:p w14:paraId="515A3146" w14:textId="25C6AD20" w:rsidR="00E72804" w:rsidRDefault="0090115D" w:rsidP="00E72804">
            <w:pPr>
              <w:pStyle w:val="TableText"/>
              <w:rPr>
                <w:rFonts w:cs="Arial"/>
              </w:rPr>
            </w:pPr>
            <w:r>
              <w:rPr>
                <w:rFonts w:cs="Arial"/>
              </w:rPr>
              <w:t>Advanced</w:t>
            </w:r>
          </w:p>
          <w:p w14:paraId="0C2134FB" w14:textId="77777777" w:rsidR="00E72804" w:rsidRDefault="00E72804" w:rsidP="00E72804">
            <w:pPr>
              <w:pStyle w:val="TableText"/>
              <w:rPr>
                <w:rFonts w:cs="Arial"/>
              </w:rPr>
            </w:pPr>
          </w:p>
          <w:p w14:paraId="70FA3FE5" w14:textId="77777777" w:rsidR="00E72804" w:rsidRDefault="00E72804" w:rsidP="00E72804">
            <w:pPr>
              <w:pStyle w:val="TableText"/>
              <w:rPr>
                <w:rFonts w:cs="Arial"/>
              </w:rPr>
            </w:pPr>
          </w:p>
          <w:p w14:paraId="4B7235AB" w14:textId="77777777" w:rsidR="00E72804" w:rsidRDefault="00E72804" w:rsidP="00E72804">
            <w:pPr>
              <w:pStyle w:val="TableText"/>
              <w:rPr>
                <w:rFonts w:cs="Arial"/>
              </w:rPr>
            </w:pPr>
          </w:p>
          <w:p w14:paraId="7781B629" w14:textId="77777777" w:rsidR="00E72804" w:rsidRDefault="00E72804" w:rsidP="00E72804">
            <w:pPr>
              <w:pStyle w:val="TableText"/>
              <w:rPr>
                <w:rFonts w:cs="Arial"/>
              </w:rPr>
            </w:pPr>
          </w:p>
          <w:p w14:paraId="46364951" w14:textId="77777777" w:rsidR="00E72804" w:rsidRDefault="00E72804" w:rsidP="00E72804">
            <w:pPr>
              <w:pStyle w:val="TableText"/>
              <w:rPr>
                <w:rFonts w:cs="Arial"/>
              </w:rPr>
            </w:pPr>
          </w:p>
          <w:p w14:paraId="2BA77D2C" w14:textId="77777777" w:rsidR="00E72804" w:rsidRDefault="00E72804" w:rsidP="00E72804">
            <w:pPr>
              <w:pStyle w:val="TableText"/>
              <w:rPr>
                <w:rFonts w:cs="Arial"/>
              </w:rPr>
            </w:pPr>
          </w:p>
          <w:p w14:paraId="5379C52B" w14:textId="77777777" w:rsidR="00E72804" w:rsidRPr="00B7717D" w:rsidRDefault="00E72804" w:rsidP="00E72804">
            <w:pPr>
              <w:pStyle w:val="TableText"/>
              <w:rPr>
                <w:rFonts w:cs="Arial"/>
              </w:rPr>
            </w:pPr>
          </w:p>
        </w:tc>
        <w:tc>
          <w:tcPr>
            <w:tcW w:w="6338" w:type="dxa"/>
          </w:tcPr>
          <w:p w14:paraId="16754445" w14:textId="77777777" w:rsidR="00775447" w:rsidRPr="00775447" w:rsidRDefault="00775447" w:rsidP="00775447">
            <w:pPr>
              <w:pStyle w:val="TableBullet"/>
              <w:numPr>
                <w:ilvl w:val="0"/>
                <w:numId w:val="1"/>
              </w:numPr>
              <w:rPr>
                <w:rFonts w:ascii="Arial" w:hAnsi="Arial" w:cs="Arial"/>
              </w:rPr>
            </w:pPr>
            <w:r w:rsidRPr="00775447">
              <w:rPr>
                <w:rFonts w:ascii="Arial" w:hAnsi="Arial" w:cs="Arial"/>
              </w:rPr>
              <w:t>Refine roles and responsibilities over time to achieve better business outcomes</w:t>
            </w:r>
          </w:p>
          <w:p w14:paraId="2BC8B866" w14:textId="77777777" w:rsidR="00775447" w:rsidRPr="00775447" w:rsidRDefault="00775447" w:rsidP="00775447">
            <w:pPr>
              <w:pStyle w:val="TableBullet"/>
              <w:numPr>
                <w:ilvl w:val="0"/>
                <w:numId w:val="1"/>
              </w:numPr>
              <w:rPr>
                <w:rFonts w:ascii="Arial" w:hAnsi="Arial" w:cs="Arial"/>
              </w:rPr>
            </w:pPr>
            <w:r w:rsidRPr="00775447">
              <w:rPr>
                <w:rFonts w:ascii="Arial" w:hAnsi="Arial" w:cs="Arial"/>
              </w:rPr>
              <w:t>Recognise talent, develop team capability and undertake succession planning</w:t>
            </w:r>
          </w:p>
          <w:p w14:paraId="4E56F6C6" w14:textId="77777777" w:rsidR="00775447" w:rsidRPr="00775447" w:rsidRDefault="00775447" w:rsidP="00775447">
            <w:pPr>
              <w:pStyle w:val="TableBullet"/>
              <w:numPr>
                <w:ilvl w:val="0"/>
                <w:numId w:val="1"/>
              </w:numPr>
              <w:rPr>
                <w:rFonts w:ascii="Arial" w:hAnsi="Arial" w:cs="Arial"/>
              </w:rPr>
            </w:pPr>
            <w:r w:rsidRPr="00775447">
              <w:rPr>
                <w:rFonts w:ascii="Arial" w:hAnsi="Arial" w:cs="Arial"/>
              </w:rPr>
              <w:t>Coach and mentor staff and encourage professional development and continuous learning</w:t>
            </w:r>
          </w:p>
          <w:p w14:paraId="7945DBF9" w14:textId="77777777" w:rsidR="00775447" w:rsidRPr="00775447" w:rsidRDefault="00775447" w:rsidP="00775447">
            <w:pPr>
              <w:pStyle w:val="TableBullet"/>
              <w:numPr>
                <w:ilvl w:val="0"/>
                <w:numId w:val="1"/>
              </w:numPr>
              <w:rPr>
                <w:rFonts w:ascii="Arial" w:hAnsi="Arial" w:cs="Arial"/>
              </w:rPr>
            </w:pPr>
            <w:r w:rsidRPr="00775447">
              <w:rPr>
                <w:rFonts w:ascii="Arial" w:hAnsi="Arial" w:cs="Arial"/>
              </w:rPr>
              <w:t>Provide timely, constructive and objective feedback to staff</w:t>
            </w:r>
          </w:p>
          <w:p w14:paraId="0814DBB1" w14:textId="77777777" w:rsidR="00775447" w:rsidRPr="00775447" w:rsidRDefault="00775447" w:rsidP="00775447">
            <w:pPr>
              <w:pStyle w:val="TableBullet"/>
              <w:numPr>
                <w:ilvl w:val="0"/>
                <w:numId w:val="1"/>
              </w:numPr>
              <w:rPr>
                <w:rFonts w:ascii="Arial" w:hAnsi="Arial" w:cs="Arial"/>
              </w:rPr>
            </w:pPr>
            <w:r w:rsidRPr="00775447">
              <w:rPr>
                <w:rFonts w:ascii="Arial" w:hAnsi="Arial" w:cs="Arial"/>
              </w:rPr>
              <w:t>Address and resolve team and individual performance issues, including serious unsatisfactory performance, in a timely and effective way</w:t>
            </w:r>
          </w:p>
          <w:p w14:paraId="368EC299" w14:textId="233CCF13" w:rsidR="00E72804" w:rsidRPr="00BB3B69" w:rsidRDefault="00775447" w:rsidP="00775447">
            <w:pPr>
              <w:pStyle w:val="TableBullet"/>
              <w:numPr>
                <w:ilvl w:val="0"/>
                <w:numId w:val="1"/>
              </w:numPr>
              <w:rPr>
                <w:rFonts w:ascii="Arial" w:hAnsi="Arial" w:cs="Arial"/>
              </w:rPr>
            </w:pPr>
            <w:r w:rsidRPr="00775447">
              <w:rPr>
                <w:rFonts w:ascii="Arial" w:hAnsi="Arial" w:cs="Arial"/>
              </w:rPr>
              <w:t>Implement performance development frameworks to align workforce capability with the organisation’s current and future priorities and objectives</w:t>
            </w:r>
          </w:p>
        </w:tc>
      </w:tr>
    </w:tbl>
    <w:p w14:paraId="3DDFF5F6" w14:textId="77777777" w:rsidR="008B0CB9" w:rsidRDefault="00F14818" w:rsidP="002A749B">
      <w:pPr>
        <w:spacing w:before="100" w:beforeAutospacing="1" w:after="100" w:afterAutospacing="1"/>
      </w:pPr>
      <w:r>
        <w:tab/>
      </w:r>
    </w:p>
    <w:sectPr w:rsidR="008B0CB9" w:rsidSect="00132B59">
      <w:headerReference w:type="even" r:id="rId18"/>
      <w:headerReference w:type="default" r:id="rId19"/>
      <w:footerReference w:type="even" r:id="rId20"/>
      <w:footerReference w:type="default" r:id="rId21"/>
      <w:headerReference w:type="first" r:id="rId22"/>
      <w:footerReference w:type="first" r:id="rId23"/>
      <w:pgSz w:w="11906" w:h="16838"/>
      <w:pgMar w:top="1347" w:right="709" w:bottom="1135" w:left="709" w:header="5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A8DA0" w14:textId="77777777" w:rsidR="001D601E" w:rsidRDefault="001D601E" w:rsidP="003F1001">
      <w:pPr>
        <w:spacing w:after="0" w:line="240" w:lineRule="auto"/>
      </w:pPr>
      <w:r>
        <w:separator/>
      </w:r>
    </w:p>
  </w:endnote>
  <w:endnote w:type="continuationSeparator" w:id="0">
    <w:p w14:paraId="269CCEF2" w14:textId="77777777" w:rsidR="001D601E" w:rsidRDefault="001D601E" w:rsidP="003F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FEFC" w14:textId="77777777" w:rsidR="0094579A" w:rsidRDefault="0094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0A0" w:firstRow="1" w:lastRow="0" w:firstColumn="1" w:lastColumn="0" w:noHBand="0" w:noVBand="0"/>
    </w:tblPr>
    <w:tblGrid>
      <w:gridCol w:w="9709"/>
      <w:gridCol w:w="851"/>
    </w:tblGrid>
    <w:tr w:rsidR="00EE2E40" w:rsidRPr="00855393" w14:paraId="0CD9B6E6" w14:textId="77777777" w:rsidTr="00CD6BA6">
      <w:tc>
        <w:tcPr>
          <w:tcW w:w="9709" w:type="dxa"/>
          <w:vAlign w:val="bottom"/>
        </w:tcPr>
        <w:p w14:paraId="6E84FE90" w14:textId="5CD72B24" w:rsidR="00EE2E40" w:rsidRPr="00855393" w:rsidRDefault="00E047BC" w:rsidP="00A063C8">
          <w:pPr>
            <w:pStyle w:val="Footer"/>
            <w:tabs>
              <w:tab w:val="clear" w:pos="4513"/>
              <w:tab w:val="center" w:pos="5315"/>
            </w:tabs>
          </w:pPr>
          <w:r w:rsidRPr="006D067B">
            <w:rPr>
              <w:rFonts w:ascii="Arial" w:hAnsi="Arial" w:cs="Arial"/>
            </w:rPr>
            <w:t>Role Description</w:t>
          </w:r>
          <w:r w:rsidRPr="006D067B">
            <w:rPr>
              <w:rFonts w:ascii="Arial" w:hAnsi="Arial" w:cs="Arial"/>
              <w:color w:val="595959" w:themeColor="text1" w:themeTint="A6"/>
            </w:rPr>
            <w:t xml:space="preserve"> </w:t>
          </w:r>
          <w:r w:rsidR="008B2848">
            <w:rPr>
              <w:rFonts w:ascii="Arial" w:hAnsi="Arial" w:cs="Arial"/>
              <w:color w:val="595959" w:themeColor="text1" w:themeTint="A6"/>
            </w:rPr>
            <w:t>Associate Director, Cabinet Unit</w:t>
          </w:r>
          <w:r w:rsidR="00EE2E40" w:rsidRPr="00855393">
            <w:rPr>
              <w:color w:val="000000"/>
            </w:rPr>
            <w:tab/>
          </w:r>
          <w:r w:rsidR="00EE2E40" w:rsidRPr="00855393">
            <w:rPr>
              <w:noProof/>
              <w:lang w:eastAsia="en-AU"/>
            </w:rPr>
            <w:fldChar w:fldCharType="begin"/>
          </w:r>
          <w:r w:rsidR="00EE2E40" w:rsidRPr="00855393">
            <w:rPr>
              <w:noProof/>
              <w:lang w:eastAsia="en-AU"/>
            </w:rPr>
            <w:instrText xml:space="preserve"> PAGE  \* Arabic </w:instrText>
          </w:r>
          <w:r w:rsidR="00EE2E40" w:rsidRPr="00855393">
            <w:rPr>
              <w:noProof/>
              <w:lang w:eastAsia="en-AU"/>
            </w:rPr>
            <w:fldChar w:fldCharType="separate"/>
          </w:r>
          <w:r w:rsidR="000A15E7">
            <w:rPr>
              <w:noProof/>
              <w:lang w:eastAsia="en-AU"/>
            </w:rPr>
            <w:t>6</w:t>
          </w:r>
          <w:r w:rsidR="00EE2E40" w:rsidRPr="00855393">
            <w:rPr>
              <w:noProof/>
              <w:lang w:eastAsia="en-AU"/>
            </w:rPr>
            <w:fldChar w:fldCharType="end"/>
          </w:r>
        </w:p>
      </w:tc>
      <w:tc>
        <w:tcPr>
          <w:tcW w:w="851" w:type="dxa"/>
        </w:tcPr>
        <w:p w14:paraId="7F26C17C" w14:textId="77777777" w:rsidR="00EE2E40" w:rsidRPr="00855393" w:rsidRDefault="00EE2E40" w:rsidP="00CD6BA6">
          <w:pPr>
            <w:pStyle w:val="Footer"/>
            <w:jc w:val="right"/>
          </w:pPr>
        </w:p>
      </w:tc>
    </w:tr>
  </w:tbl>
  <w:p w14:paraId="174A4AFB" w14:textId="77777777" w:rsidR="00EE2E40" w:rsidRPr="001E2B26" w:rsidRDefault="000E7C3F" w:rsidP="00051237">
    <w:pPr>
      <w:pStyle w:val="Footer"/>
      <w:rPr>
        <w:sz w:val="12"/>
        <w:szCs w:val="12"/>
      </w:rPr>
    </w:pPr>
    <w:r>
      <w:rPr>
        <w:noProof/>
      </w:rPr>
      <w:drawing>
        <wp:anchor distT="0" distB="0" distL="114300" distR="114300" simplePos="0" relativeHeight="251663360" behindDoc="0" locked="0" layoutInCell="1" allowOverlap="1" wp14:anchorId="256CB676" wp14:editId="56A08523">
          <wp:simplePos x="0" y="0"/>
          <wp:positionH relativeFrom="margin">
            <wp:posOffset>6229668</wp:posOffset>
          </wp:positionH>
          <wp:positionV relativeFrom="paragraph">
            <wp:posOffset>-387350</wp:posOffset>
          </wp:positionV>
          <wp:extent cx="400050" cy="420370"/>
          <wp:effectExtent l="0" t="0" r="0" b="0"/>
          <wp:wrapNone/>
          <wp:docPr id="1" name="Picture 1" descr="I work for NSW logo" title="I work for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I_Work_For_NSW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203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70" w:type="dxa"/>
      <w:tblLayout w:type="fixed"/>
      <w:tblCellMar>
        <w:left w:w="0" w:type="dxa"/>
        <w:right w:w="0" w:type="dxa"/>
      </w:tblCellMar>
      <w:tblLook w:val="00A0" w:firstRow="1" w:lastRow="0" w:firstColumn="1" w:lastColumn="0" w:noHBand="0" w:noVBand="0"/>
    </w:tblPr>
    <w:tblGrid>
      <w:gridCol w:w="9709"/>
      <w:gridCol w:w="851"/>
    </w:tblGrid>
    <w:tr w:rsidR="00EE2E40" w:rsidRPr="00855393" w14:paraId="1C9D5F7F" w14:textId="77777777" w:rsidTr="00732229">
      <w:tc>
        <w:tcPr>
          <w:tcW w:w="9709" w:type="dxa"/>
          <w:vAlign w:val="bottom"/>
        </w:tcPr>
        <w:p w14:paraId="1698D4B4" w14:textId="77777777" w:rsidR="00EE2E40" w:rsidRPr="00855393" w:rsidRDefault="00EE2E40" w:rsidP="00732229">
          <w:pPr>
            <w:pStyle w:val="Footer"/>
            <w:tabs>
              <w:tab w:val="clear" w:pos="4513"/>
              <w:tab w:val="center" w:pos="5315"/>
            </w:tabs>
          </w:pPr>
          <w:r w:rsidRPr="00855393">
            <w:rPr>
              <w:color w:val="000000"/>
            </w:rPr>
            <w:tab/>
          </w:r>
          <w:r w:rsidRPr="00855393">
            <w:rPr>
              <w:noProof/>
              <w:lang w:eastAsia="en-AU"/>
            </w:rPr>
            <w:fldChar w:fldCharType="begin"/>
          </w:r>
          <w:r w:rsidRPr="00855393">
            <w:rPr>
              <w:noProof/>
              <w:lang w:eastAsia="en-AU"/>
            </w:rPr>
            <w:instrText xml:space="preserve"> PAGE  \* Arabic </w:instrText>
          </w:r>
          <w:r w:rsidRPr="00855393">
            <w:rPr>
              <w:noProof/>
              <w:lang w:eastAsia="en-AU"/>
            </w:rPr>
            <w:fldChar w:fldCharType="separate"/>
          </w:r>
          <w:r w:rsidR="000A15E7">
            <w:rPr>
              <w:noProof/>
              <w:lang w:eastAsia="en-AU"/>
            </w:rPr>
            <w:t>1</w:t>
          </w:r>
          <w:r w:rsidRPr="00855393">
            <w:rPr>
              <w:noProof/>
              <w:lang w:eastAsia="en-AU"/>
            </w:rPr>
            <w:fldChar w:fldCharType="end"/>
          </w:r>
        </w:p>
      </w:tc>
      <w:tc>
        <w:tcPr>
          <w:tcW w:w="851" w:type="dxa"/>
        </w:tcPr>
        <w:p w14:paraId="0024BE18" w14:textId="77777777" w:rsidR="00EE2E40" w:rsidRPr="00855393" w:rsidRDefault="00EE2E40" w:rsidP="00732229">
          <w:pPr>
            <w:pStyle w:val="Footer"/>
            <w:jc w:val="right"/>
          </w:pPr>
        </w:p>
      </w:tc>
    </w:tr>
  </w:tbl>
  <w:p w14:paraId="5C6552E1" w14:textId="77777777" w:rsidR="00EE2E40" w:rsidRDefault="000E7C3F">
    <w:pPr>
      <w:pStyle w:val="Footer"/>
    </w:pPr>
    <w:r>
      <w:rPr>
        <w:noProof/>
      </w:rPr>
      <w:drawing>
        <wp:anchor distT="0" distB="0" distL="114300" distR="114300" simplePos="0" relativeHeight="251661312" behindDoc="0" locked="0" layoutInCell="1" allowOverlap="1" wp14:anchorId="27308A4C" wp14:editId="0C365629">
          <wp:simplePos x="0" y="0"/>
          <wp:positionH relativeFrom="margin">
            <wp:align>right</wp:align>
          </wp:positionH>
          <wp:positionV relativeFrom="paragraph">
            <wp:posOffset>-304800</wp:posOffset>
          </wp:positionV>
          <wp:extent cx="400050" cy="420370"/>
          <wp:effectExtent l="0" t="0" r="0" b="0"/>
          <wp:wrapNone/>
          <wp:docPr id="19" name="Picture 19" descr="I work for NSW logo" title="I work for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Downloads\I_Work_For_NSW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203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5AB7" w14:textId="77777777" w:rsidR="001D601E" w:rsidRDefault="001D601E" w:rsidP="003F1001">
      <w:pPr>
        <w:spacing w:after="0" w:line="240" w:lineRule="auto"/>
      </w:pPr>
      <w:r>
        <w:separator/>
      </w:r>
    </w:p>
  </w:footnote>
  <w:footnote w:type="continuationSeparator" w:id="0">
    <w:p w14:paraId="5B81811D" w14:textId="77777777" w:rsidR="001D601E" w:rsidRDefault="001D601E" w:rsidP="003F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2523" w14:textId="77777777" w:rsidR="0094579A" w:rsidRDefault="00945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705E" w14:textId="77777777" w:rsidR="0094579A" w:rsidRDefault="00945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4C52AC" w14:paraId="00963CFC" w14:textId="77777777" w:rsidTr="004726EC">
      <w:trPr>
        <w:trHeight w:val="1134"/>
      </w:trPr>
      <w:tc>
        <w:tcPr>
          <w:tcW w:w="7038" w:type="dxa"/>
        </w:tcPr>
        <w:p w14:paraId="4F318D50" w14:textId="77777777" w:rsidR="004C52AC" w:rsidRPr="001E49B2" w:rsidRDefault="004C52AC" w:rsidP="004C52AC">
          <w:pPr>
            <w:pStyle w:val="TitleSub"/>
            <w:spacing w:after="0"/>
            <w:rPr>
              <w:rFonts w:ascii="Arial" w:hAnsi="Arial" w:cs="Arial"/>
            </w:rPr>
          </w:pPr>
          <w:r w:rsidRPr="001E49B2">
            <w:rPr>
              <w:rFonts w:ascii="Arial" w:hAnsi="Arial" w:cs="Arial"/>
            </w:rPr>
            <w:t xml:space="preserve">Role Description </w:t>
          </w:r>
        </w:p>
        <w:p w14:paraId="3B070E07" w14:textId="6AC2BC5F" w:rsidR="004C52AC" w:rsidRPr="001E49B2" w:rsidRDefault="004C52AC" w:rsidP="004C52AC">
          <w:pPr>
            <w:pStyle w:val="TitleSub"/>
            <w:spacing w:after="0"/>
            <w:rPr>
              <w:rFonts w:ascii="Arial" w:hAnsi="Arial" w:cs="Arial"/>
              <w:b/>
            </w:rPr>
          </w:pPr>
          <w:r>
            <w:rPr>
              <w:rFonts w:ascii="Arial" w:hAnsi="Arial" w:cs="Arial"/>
              <w:b/>
            </w:rPr>
            <w:t xml:space="preserve">Associate Director, </w:t>
          </w:r>
          <w:r w:rsidR="0094579A">
            <w:rPr>
              <w:rFonts w:ascii="Arial" w:hAnsi="Arial" w:cs="Arial"/>
              <w:b/>
            </w:rPr>
            <w:t>Cabinet U</w:t>
          </w:r>
          <w:r w:rsidR="006C2761">
            <w:rPr>
              <w:rFonts w:ascii="Arial" w:hAnsi="Arial" w:cs="Arial"/>
              <w:b/>
            </w:rPr>
            <w:t>n</w:t>
          </w:r>
          <w:r w:rsidR="0094579A">
            <w:rPr>
              <w:rFonts w:ascii="Arial" w:hAnsi="Arial" w:cs="Arial"/>
              <w:b/>
            </w:rPr>
            <w:t>it</w:t>
          </w:r>
        </w:p>
      </w:tc>
      <w:tc>
        <w:tcPr>
          <w:tcW w:w="3665" w:type="dxa"/>
        </w:tcPr>
        <w:p w14:paraId="18B205D3" w14:textId="77777777" w:rsidR="004C52AC" w:rsidRPr="000477E1" w:rsidRDefault="004C52AC" w:rsidP="004C52AC">
          <w:pPr>
            <w:jc w:val="right"/>
          </w:pPr>
          <w:r>
            <w:rPr>
              <w:rFonts w:cs="Arial"/>
              <w:noProof/>
            </w:rPr>
            <w:drawing>
              <wp:anchor distT="0" distB="0" distL="114300" distR="114300" simplePos="0" relativeHeight="251659264" behindDoc="0" locked="0" layoutInCell="1" allowOverlap="1" wp14:anchorId="6720795D" wp14:editId="63DCC2F8">
                <wp:simplePos x="0" y="0"/>
                <wp:positionH relativeFrom="column">
                  <wp:posOffset>-51435</wp:posOffset>
                </wp:positionH>
                <wp:positionV relativeFrom="paragraph">
                  <wp:posOffset>-194310</wp:posOffset>
                </wp:positionV>
                <wp:extent cx="2333625" cy="10538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easury_Logo_-_CMYK.png"/>
                        <pic:cNvPicPr/>
                      </pic:nvPicPr>
                      <pic:blipFill>
                        <a:blip r:embed="rId1">
                          <a:extLst>
                            <a:ext uri="{28A0092B-C50C-407E-A947-70E740481C1C}">
                              <a14:useLocalDpi xmlns:a14="http://schemas.microsoft.com/office/drawing/2010/main" val="0"/>
                            </a:ext>
                          </a:extLst>
                        </a:blip>
                        <a:stretch>
                          <a:fillRect/>
                        </a:stretch>
                      </pic:blipFill>
                      <pic:spPr>
                        <a:xfrm>
                          <a:off x="0" y="0"/>
                          <a:ext cx="2333625" cy="1053895"/>
                        </a:xfrm>
                        <a:prstGeom prst="rect">
                          <a:avLst/>
                        </a:prstGeom>
                      </pic:spPr>
                    </pic:pic>
                  </a:graphicData>
                </a:graphic>
                <wp14:sizeRelH relativeFrom="page">
                  <wp14:pctWidth>0</wp14:pctWidth>
                </wp14:sizeRelH>
                <wp14:sizeRelV relativeFrom="page">
                  <wp14:pctHeight>0</wp14:pctHeight>
                </wp14:sizeRelV>
              </wp:anchor>
            </w:drawing>
          </w:r>
        </w:p>
      </w:tc>
    </w:tr>
  </w:tbl>
  <w:p w14:paraId="1EAE2E0C" w14:textId="77777777" w:rsidR="00EE2E40" w:rsidRPr="00500D4C" w:rsidRDefault="00EE2E40" w:rsidP="00297CDF">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9461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253E4"/>
    <w:multiLevelType w:val="hybridMultilevel"/>
    <w:tmpl w:val="2EACE34C"/>
    <w:styleLink w:val="ImportedStyle5"/>
    <w:lvl w:ilvl="0" w:tplc="71AAEAF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BAB2">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6E20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0EA5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A8FAE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CD8E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42B88">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A2F8C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4446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B6308"/>
    <w:multiLevelType w:val="hybridMultilevel"/>
    <w:tmpl w:val="F958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840F9"/>
    <w:multiLevelType w:val="hybridMultilevel"/>
    <w:tmpl w:val="9E105EC0"/>
    <w:styleLink w:val="ImportedStyle3"/>
    <w:lvl w:ilvl="0" w:tplc="4438A1DC">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2C8FE">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27A5E">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0267E">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AF2A6">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86C09E">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EC786">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BF26">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AF9A8">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DA2830"/>
    <w:multiLevelType w:val="hybridMultilevel"/>
    <w:tmpl w:val="FBF0B51C"/>
    <w:styleLink w:val="ImportedStyle2"/>
    <w:lvl w:ilvl="0" w:tplc="8ABCE0CE">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6E03D6">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EA09F0">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05048">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60F11E">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88A22">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E71D4">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288436">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40E">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7601B4"/>
    <w:multiLevelType w:val="multilevel"/>
    <w:tmpl w:val="0DD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E39EE"/>
    <w:multiLevelType w:val="multilevel"/>
    <w:tmpl w:val="5D2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F4835"/>
    <w:multiLevelType w:val="hybridMultilevel"/>
    <w:tmpl w:val="9E105EC0"/>
    <w:numStyleLink w:val="ImportedStyle3"/>
  </w:abstractNum>
  <w:abstractNum w:abstractNumId="9" w15:restartNumberingAfterBreak="0">
    <w:nsid w:val="430C5B80"/>
    <w:multiLevelType w:val="hybridMultilevel"/>
    <w:tmpl w:val="718450E8"/>
    <w:lvl w:ilvl="0" w:tplc="0456BA78">
      <w:start w:val="1"/>
      <w:numFmt w:val="bullet"/>
      <w:pStyle w:val="List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0225F8"/>
    <w:multiLevelType w:val="hybridMultilevel"/>
    <w:tmpl w:val="8D86CC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5014E"/>
    <w:multiLevelType w:val="hybridMultilevel"/>
    <w:tmpl w:val="9584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E55FA"/>
    <w:multiLevelType w:val="multilevel"/>
    <w:tmpl w:val="1A3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C28CB"/>
    <w:multiLevelType w:val="hybridMultilevel"/>
    <w:tmpl w:val="4FAE4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A50994"/>
    <w:multiLevelType w:val="hybridMultilevel"/>
    <w:tmpl w:val="6C741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202AA8"/>
    <w:multiLevelType w:val="hybridMultilevel"/>
    <w:tmpl w:val="FBF0B51C"/>
    <w:numStyleLink w:val="ImportedStyle2"/>
  </w:abstractNum>
  <w:abstractNum w:abstractNumId="16" w15:restartNumberingAfterBreak="0">
    <w:nsid w:val="7F401DCE"/>
    <w:multiLevelType w:val="hybridMultilevel"/>
    <w:tmpl w:val="2EACE34C"/>
    <w:numStyleLink w:val="ImportedStyle5"/>
  </w:abstractNum>
  <w:num w:numId="1">
    <w:abstractNumId w:val="0"/>
  </w:num>
  <w:num w:numId="2">
    <w:abstractNumId w:val="9"/>
  </w:num>
  <w:num w:numId="3">
    <w:abstractNumId w:val="10"/>
  </w:num>
  <w:num w:numId="4">
    <w:abstractNumId w:val="11"/>
  </w:num>
  <w:num w:numId="5">
    <w:abstractNumId w:val="13"/>
  </w:num>
  <w:num w:numId="6">
    <w:abstractNumId w:val="12"/>
  </w:num>
  <w:num w:numId="7">
    <w:abstractNumId w:val="6"/>
  </w:num>
  <w:num w:numId="8">
    <w:abstractNumId w:val="7"/>
  </w:num>
  <w:num w:numId="9">
    <w:abstractNumId w:val="9"/>
  </w:num>
  <w:num w:numId="10">
    <w:abstractNumId w:val="9"/>
  </w:num>
  <w:num w:numId="11">
    <w:abstractNumId w:val="9"/>
  </w:num>
  <w:num w:numId="12">
    <w:abstractNumId w:val="1"/>
  </w:num>
  <w:num w:numId="13">
    <w:abstractNumId w:val="16"/>
  </w:num>
  <w:num w:numId="14">
    <w:abstractNumId w:val="3"/>
  </w:num>
  <w:num w:numId="15">
    <w:abstractNumId w:val="9"/>
  </w:num>
  <w:num w:numId="16">
    <w:abstractNumId w:val="5"/>
  </w:num>
  <w:num w:numId="17">
    <w:abstractNumId w:val="15"/>
  </w:num>
  <w:num w:numId="18">
    <w:abstractNumId w:val="4"/>
  </w:num>
  <w:num w:numId="19">
    <w:abstractNumId w:val="8"/>
  </w:num>
  <w:num w:numId="20">
    <w:abstractNumId w:val="2"/>
  </w:num>
  <w:num w:numId="2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jQxMTc2MDM0NTFT0lEKTi0uzszPAykwrAUAa0tq/SwAAAA="/>
  </w:docVars>
  <w:rsids>
    <w:rsidRoot w:val="0017648B"/>
    <w:rsid w:val="00001F82"/>
    <w:rsid w:val="000103AE"/>
    <w:rsid w:val="000111A1"/>
    <w:rsid w:val="000214E5"/>
    <w:rsid w:val="00025D74"/>
    <w:rsid w:val="0003299A"/>
    <w:rsid w:val="00040B56"/>
    <w:rsid w:val="0004198C"/>
    <w:rsid w:val="00051237"/>
    <w:rsid w:val="00052553"/>
    <w:rsid w:val="000529C2"/>
    <w:rsid w:val="000554F9"/>
    <w:rsid w:val="00057CB3"/>
    <w:rsid w:val="00060663"/>
    <w:rsid w:val="00062D4A"/>
    <w:rsid w:val="000638D4"/>
    <w:rsid w:val="000750B3"/>
    <w:rsid w:val="00076C8D"/>
    <w:rsid w:val="00094D44"/>
    <w:rsid w:val="000A15E7"/>
    <w:rsid w:val="000B0A11"/>
    <w:rsid w:val="000D23DB"/>
    <w:rsid w:val="000D67DF"/>
    <w:rsid w:val="000E733C"/>
    <w:rsid w:val="000E7C3F"/>
    <w:rsid w:val="00101C18"/>
    <w:rsid w:val="001076E4"/>
    <w:rsid w:val="0011326A"/>
    <w:rsid w:val="00132B59"/>
    <w:rsid w:val="00133C5E"/>
    <w:rsid w:val="00146579"/>
    <w:rsid w:val="001603BD"/>
    <w:rsid w:val="00163557"/>
    <w:rsid w:val="00166B70"/>
    <w:rsid w:val="001707D3"/>
    <w:rsid w:val="0017648B"/>
    <w:rsid w:val="00187ABD"/>
    <w:rsid w:val="001916FD"/>
    <w:rsid w:val="001C0E9A"/>
    <w:rsid w:val="001D21FC"/>
    <w:rsid w:val="001D44D9"/>
    <w:rsid w:val="001D601E"/>
    <w:rsid w:val="001E2B26"/>
    <w:rsid w:val="001E38E7"/>
    <w:rsid w:val="001F2650"/>
    <w:rsid w:val="001F36FF"/>
    <w:rsid w:val="001F58EF"/>
    <w:rsid w:val="001F6245"/>
    <w:rsid w:val="001F683B"/>
    <w:rsid w:val="002025C4"/>
    <w:rsid w:val="002046CF"/>
    <w:rsid w:val="00206BB4"/>
    <w:rsid w:val="00214371"/>
    <w:rsid w:val="002300FA"/>
    <w:rsid w:val="00233F18"/>
    <w:rsid w:val="002424A5"/>
    <w:rsid w:val="00257ADF"/>
    <w:rsid w:val="00260444"/>
    <w:rsid w:val="00277DDC"/>
    <w:rsid w:val="00294962"/>
    <w:rsid w:val="002949B6"/>
    <w:rsid w:val="0029661D"/>
    <w:rsid w:val="002975A8"/>
    <w:rsid w:val="00297CDF"/>
    <w:rsid w:val="002A3EF8"/>
    <w:rsid w:val="002A749B"/>
    <w:rsid w:val="002B36FE"/>
    <w:rsid w:val="002C6F27"/>
    <w:rsid w:val="002C745C"/>
    <w:rsid w:val="002D1D3E"/>
    <w:rsid w:val="002E3021"/>
    <w:rsid w:val="002F3169"/>
    <w:rsid w:val="00304BD1"/>
    <w:rsid w:val="00307E80"/>
    <w:rsid w:val="003208CA"/>
    <w:rsid w:val="00326B6C"/>
    <w:rsid w:val="003365E0"/>
    <w:rsid w:val="00342E94"/>
    <w:rsid w:val="0034704F"/>
    <w:rsid w:val="003717D7"/>
    <w:rsid w:val="00371996"/>
    <w:rsid w:val="00372B33"/>
    <w:rsid w:val="00381ECB"/>
    <w:rsid w:val="00384028"/>
    <w:rsid w:val="003941B7"/>
    <w:rsid w:val="003B17BA"/>
    <w:rsid w:val="003C7647"/>
    <w:rsid w:val="003D0DC9"/>
    <w:rsid w:val="003E5126"/>
    <w:rsid w:val="003E61D0"/>
    <w:rsid w:val="003F1001"/>
    <w:rsid w:val="003F12F2"/>
    <w:rsid w:val="00411AF6"/>
    <w:rsid w:val="00414D91"/>
    <w:rsid w:val="0042030C"/>
    <w:rsid w:val="00421767"/>
    <w:rsid w:val="00426FB9"/>
    <w:rsid w:val="004316D4"/>
    <w:rsid w:val="00431C24"/>
    <w:rsid w:val="00437E8B"/>
    <w:rsid w:val="00455569"/>
    <w:rsid w:val="00472AE5"/>
    <w:rsid w:val="00472E3F"/>
    <w:rsid w:val="00487144"/>
    <w:rsid w:val="004904CC"/>
    <w:rsid w:val="00492D63"/>
    <w:rsid w:val="004C52AC"/>
    <w:rsid w:val="004D3A19"/>
    <w:rsid w:val="004D5EDB"/>
    <w:rsid w:val="004D6AB8"/>
    <w:rsid w:val="004E7AE8"/>
    <w:rsid w:val="004F227F"/>
    <w:rsid w:val="00500D4C"/>
    <w:rsid w:val="0050419D"/>
    <w:rsid w:val="005052A8"/>
    <w:rsid w:val="0050796D"/>
    <w:rsid w:val="005354E5"/>
    <w:rsid w:val="00552EA3"/>
    <w:rsid w:val="00562479"/>
    <w:rsid w:val="0056651A"/>
    <w:rsid w:val="005706E1"/>
    <w:rsid w:val="00571C40"/>
    <w:rsid w:val="005C69EE"/>
    <w:rsid w:val="005D1CF2"/>
    <w:rsid w:val="005D5FFA"/>
    <w:rsid w:val="00600641"/>
    <w:rsid w:val="006133C8"/>
    <w:rsid w:val="0063309E"/>
    <w:rsid w:val="0063311C"/>
    <w:rsid w:val="006524E3"/>
    <w:rsid w:val="00660720"/>
    <w:rsid w:val="006635E2"/>
    <w:rsid w:val="006672DA"/>
    <w:rsid w:val="00672267"/>
    <w:rsid w:val="00680B31"/>
    <w:rsid w:val="00685FB7"/>
    <w:rsid w:val="00697D9B"/>
    <w:rsid w:val="006A493A"/>
    <w:rsid w:val="006C122C"/>
    <w:rsid w:val="006C2761"/>
    <w:rsid w:val="006C5EAD"/>
    <w:rsid w:val="006D2688"/>
    <w:rsid w:val="006F38B2"/>
    <w:rsid w:val="00703CA7"/>
    <w:rsid w:val="007056EF"/>
    <w:rsid w:val="00706D57"/>
    <w:rsid w:val="00711115"/>
    <w:rsid w:val="007238C1"/>
    <w:rsid w:val="00730248"/>
    <w:rsid w:val="00731B99"/>
    <w:rsid w:val="00732229"/>
    <w:rsid w:val="007342C9"/>
    <w:rsid w:val="00761B70"/>
    <w:rsid w:val="00775447"/>
    <w:rsid w:val="00775AFD"/>
    <w:rsid w:val="00781E61"/>
    <w:rsid w:val="007843F5"/>
    <w:rsid w:val="007851BB"/>
    <w:rsid w:val="00786A7D"/>
    <w:rsid w:val="00787B59"/>
    <w:rsid w:val="007A08EF"/>
    <w:rsid w:val="007A765C"/>
    <w:rsid w:val="007B39AF"/>
    <w:rsid w:val="007C7E47"/>
    <w:rsid w:val="007D14BC"/>
    <w:rsid w:val="007D7C7E"/>
    <w:rsid w:val="00810C83"/>
    <w:rsid w:val="00813956"/>
    <w:rsid w:val="0081463E"/>
    <w:rsid w:val="00831720"/>
    <w:rsid w:val="008325C4"/>
    <w:rsid w:val="0084430A"/>
    <w:rsid w:val="00855393"/>
    <w:rsid w:val="00855908"/>
    <w:rsid w:val="008574B1"/>
    <w:rsid w:val="008918F2"/>
    <w:rsid w:val="008946C7"/>
    <w:rsid w:val="008A288A"/>
    <w:rsid w:val="008A6820"/>
    <w:rsid w:val="008B0CB9"/>
    <w:rsid w:val="008B2848"/>
    <w:rsid w:val="008D1B57"/>
    <w:rsid w:val="008D7F14"/>
    <w:rsid w:val="008F2CA6"/>
    <w:rsid w:val="0090115D"/>
    <w:rsid w:val="00903CD2"/>
    <w:rsid w:val="00922997"/>
    <w:rsid w:val="00935DCC"/>
    <w:rsid w:val="0094579A"/>
    <w:rsid w:val="0097232F"/>
    <w:rsid w:val="00990276"/>
    <w:rsid w:val="00992B5E"/>
    <w:rsid w:val="009938E9"/>
    <w:rsid w:val="009A24AD"/>
    <w:rsid w:val="009A7DD7"/>
    <w:rsid w:val="009B0BB7"/>
    <w:rsid w:val="009E7C35"/>
    <w:rsid w:val="00A02DD3"/>
    <w:rsid w:val="00A063C8"/>
    <w:rsid w:val="00A06E52"/>
    <w:rsid w:val="00A149FB"/>
    <w:rsid w:val="00A25F42"/>
    <w:rsid w:val="00A302A0"/>
    <w:rsid w:val="00A31C8A"/>
    <w:rsid w:val="00A351FA"/>
    <w:rsid w:val="00A35E98"/>
    <w:rsid w:val="00A3744F"/>
    <w:rsid w:val="00A51293"/>
    <w:rsid w:val="00A60A33"/>
    <w:rsid w:val="00A74F73"/>
    <w:rsid w:val="00A756EF"/>
    <w:rsid w:val="00A76275"/>
    <w:rsid w:val="00A90F97"/>
    <w:rsid w:val="00A95563"/>
    <w:rsid w:val="00A9734A"/>
    <w:rsid w:val="00AA62C4"/>
    <w:rsid w:val="00AB0E0A"/>
    <w:rsid w:val="00AC5CB9"/>
    <w:rsid w:val="00AD7254"/>
    <w:rsid w:val="00AE2A42"/>
    <w:rsid w:val="00AE3D5A"/>
    <w:rsid w:val="00B00319"/>
    <w:rsid w:val="00B03147"/>
    <w:rsid w:val="00B04BBC"/>
    <w:rsid w:val="00B0643B"/>
    <w:rsid w:val="00B12F37"/>
    <w:rsid w:val="00B248BB"/>
    <w:rsid w:val="00B43FB4"/>
    <w:rsid w:val="00B5079D"/>
    <w:rsid w:val="00B54783"/>
    <w:rsid w:val="00B617F5"/>
    <w:rsid w:val="00B7529C"/>
    <w:rsid w:val="00B7717D"/>
    <w:rsid w:val="00B9577A"/>
    <w:rsid w:val="00BA7D16"/>
    <w:rsid w:val="00BB2A31"/>
    <w:rsid w:val="00BB3B69"/>
    <w:rsid w:val="00BE0A50"/>
    <w:rsid w:val="00BF04B4"/>
    <w:rsid w:val="00BF7C3F"/>
    <w:rsid w:val="00C02F45"/>
    <w:rsid w:val="00C23D16"/>
    <w:rsid w:val="00C31A92"/>
    <w:rsid w:val="00C33BDE"/>
    <w:rsid w:val="00C36DBF"/>
    <w:rsid w:val="00C44787"/>
    <w:rsid w:val="00C508BB"/>
    <w:rsid w:val="00C90EF0"/>
    <w:rsid w:val="00C90FD7"/>
    <w:rsid w:val="00C94877"/>
    <w:rsid w:val="00C978B9"/>
    <w:rsid w:val="00CB1678"/>
    <w:rsid w:val="00CC38E4"/>
    <w:rsid w:val="00CC46F4"/>
    <w:rsid w:val="00CD6BA6"/>
    <w:rsid w:val="00CE7A8B"/>
    <w:rsid w:val="00D07C82"/>
    <w:rsid w:val="00D17F7D"/>
    <w:rsid w:val="00D32049"/>
    <w:rsid w:val="00D32122"/>
    <w:rsid w:val="00D50204"/>
    <w:rsid w:val="00D6137A"/>
    <w:rsid w:val="00D63F99"/>
    <w:rsid w:val="00D84694"/>
    <w:rsid w:val="00D96261"/>
    <w:rsid w:val="00DB5C1D"/>
    <w:rsid w:val="00DC20A1"/>
    <w:rsid w:val="00DD0C37"/>
    <w:rsid w:val="00DD1BDA"/>
    <w:rsid w:val="00DF1C89"/>
    <w:rsid w:val="00DF4A6F"/>
    <w:rsid w:val="00DF57AC"/>
    <w:rsid w:val="00E047BC"/>
    <w:rsid w:val="00E11738"/>
    <w:rsid w:val="00E32E34"/>
    <w:rsid w:val="00E43C94"/>
    <w:rsid w:val="00E560A2"/>
    <w:rsid w:val="00E61F11"/>
    <w:rsid w:val="00E72804"/>
    <w:rsid w:val="00E84101"/>
    <w:rsid w:val="00E95B11"/>
    <w:rsid w:val="00EA3107"/>
    <w:rsid w:val="00EA3149"/>
    <w:rsid w:val="00EB04DF"/>
    <w:rsid w:val="00EB275F"/>
    <w:rsid w:val="00EB32EA"/>
    <w:rsid w:val="00EE2E40"/>
    <w:rsid w:val="00F11F4D"/>
    <w:rsid w:val="00F13AC3"/>
    <w:rsid w:val="00F14818"/>
    <w:rsid w:val="00F32792"/>
    <w:rsid w:val="00F41F71"/>
    <w:rsid w:val="00F52D76"/>
    <w:rsid w:val="00F54524"/>
    <w:rsid w:val="00F5620E"/>
    <w:rsid w:val="00F6381E"/>
    <w:rsid w:val="00F82ECE"/>
    <w:rsid w:val="00FB54FE"/>
    <w:rsid w:val="00FD52B0"/>
    <w:rsid w:val="00FE318C"/>
    <w:rsid w:val="00FF1ECE"/>
    <w:rsid w:val="00FF4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F1ABA"/>
  <w15:docId w15:val="{79210BA1-E27B-4DBF-B9B8-83910BFD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7"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48B"/>
    <w:pPr>
      <w:spacing w:after="120" w:line="260" w:lineRule="atLeast"/>
    </w:pPr>
    <w:rPr>
      <w:rFonts w:ascii="Georgia" w:hAnsi="Georgia"/>
      <w:szCs w:val="20"/>
      <w:lang w:eastAsia="en-US"/>
    </w:rPr>
  </w:style>
  <w:style w:type="paragraph" w:styleId="Heading1">
    <w:name w:val="heading 1"/>
    <w:basedOn w:val="Normal"/>
    <w:next w:val="Normal"/>
    <w:link w:val="Heading1Char"/>
    <w:uiPriority w:val="99"/>
    <w:qFormat/>
    <w:rsid w:val="0017648B"/>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99"/>
    <w:qFormat/>
    <w:rsid w:val="0017648B"/>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48B"/>
    <w:rPr>
      <w:rFonts w:ascii="Georgia" w:hAnsi="Georgia" w:cs="Arial"/>
      <w:b/>
      <w:bCs/>
      <w:kern w:val="32"/>
      <w:sz w:val="32"/>
      <w:szCs w:val="32"/>
    </w:rPr>
  </w:style>
  <w:style w:type="character" w:customStyle="1" w:styleId="Heading2Char">
    <w:name w:val="Heading 2 Char"/>
    <w:basedOn w:val="DefaultParagraphFont"/>
    <w:link w:val="Heading2"/>
    <w:uiPriority w:val="99"/>
    <w:locked/>
    <w:rsid w:val="0017648B"/>
    <w:rPr>
      <w:rFonts w:ascii="Georgia" w:hAnsi="Georgia" w:cs="Arial"/>
      <w:b/>
      <w:bCs/>
      <w:iCs/>
      <w:color w:val="6D6E71"/>
      <w:sz w:val="28"/>
      <w:szCs w:val="28"/>
    </w:rPr>
  </w:style>
  <w:style w:type="paragraph" w:styleId="ListBullet">
    <w:name w:val="List Bullet"/>
    <w:basedOn w:val="Normal"/>
    <w:uiPriority w:val="2"/>
    <w:qFormat/>
    <w:rsid w:val="0017648B"/>
    <w:pPr>
      <w:numPr>
        <w:numId w:val="2"/>
      </w:numPr>
      <w:spacing w:after="0" w:line="280" w:lineRule="atLeast"/>
    </w:pPr>
  </w:style>
  <w:style w:type="table" w:customStyle="1" w:styleId="57">
    <w:name w:val="57"/>
    <w:uiPriority w:val="99"/>
    <w:rsid w:val="00A95563"/>
    <w:pPr>
      <w:widowControl w:val="0"/>
      <w:autoSpaceDE w:val="0"/>
      <w:autoSpaceDN w:val="0"/>
      <w:adjustRightInd w:val="0"/>
    </w:pPr>
    <w:rPr>
      <w:rFonts w:ascii="Times New Roman" w:eastAsia="Times New Roman" w:hAnsi="Times New Roman"/>
      <w:sz w:val="24"/>
      <w:szCs w:val="24"/>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style>
  <w:style w:type="table" w:styleId="TableGrid">
    <w:name w:val="Table Grid"/>
    <w:basedOn w:val="TableNormal"/>
    <w:uiPriority w:val="59"/>
    <w:rsid w:val="00A95563"/>
    <w:pPr>
      <w:spacing w:after="120" w:line="26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7648B"/>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locked/>
    <w:rsid w:val="0017648B"/>
    <w:rPr>
      <w:rFonts w:ascii="Georgia" w:hAnsi="Georgia" w:cs="Times New Roman"/>
      <w:color w:val="928B81"/>
      <w:sz w:val="20"/>
      <w:szCs w:val="20"/>
    </w:rPr>
  </w:style>
  <w:style w:type="character" w:styleId="Hyperlink">
    <w:name w:val="Hyperlink"/>
    <w:basedOn w:val="DefaultParagraphFont"/>
    <w:uiPriority w:val="99"/>
    <w:semiHidden/>
    <w:rsid w:val="0017648B"/>
    <w:rPr>
      <w:rFonts w:ascii="Calibri" w:hAnsi="Calibri" w:cs="Times New Roman"/>
      <w:color w:val="0000FF"/>
      <w:u w:val="single"/>
    </w:rPr>
  </w:style>
  <w:style w:type="paragraph" w:styleId="Title">
    <w:name w:val="Title"/>
    <w:basedOn w:val="Normal"/>
    <w:next w:val="Normal"/>
    <w:link w:val="TitleChar"/>
    <w:uiPriority w:val="99"/>
    <w:qFormat/>
    <w:rsid w:val="0017648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99"/>
    <w:locked/>
    <w:rsid w:val="0017648B"/>
    <w:rPr>
      <w:rFonts w:ascii="Georgia" w:hAnsi="Georgia" w:cs="Georgia"/>
      <w:b/>
      <w:bCs/>
      <w:color w:val="000000"/>
      <w:sz w:val="42"/>
      <w:szCs w:val="42"/>
      <w:lang w:val="en-US"/>
    </w:rPr>
  </w:style>
  <w:style w:type="paragraph" w:customStyle="1" w:styleId="TitleSub">
    <w:name w:val="Title Sub"/>
    <w:basedOn w:val="Normal"/>
    <w:qFormat/>
    <w:rsid w:val="0017648B"/>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uiPriority w:val="99"/>
    <w:rsid w:val="0017648B"/>
    <w:pPr>
      <w:spacing w:line="280" w:lineRule="atLeast"/>
    </w:pPr>
    <w:rPr>
      <w:rFonts w:ascii="Arial" w:hAnsi="Arial"/>
      <w:color w:val="FFFFFF"/>
      <w:sz w:val="20"/>
      <w:szCs w:val="20"/>
    </w:rPr>
    <w:tblPr>
      <w:tblInd w:w="0" w:type="dxa"/>
      <w:tblBorders>
        <w:top w:val="single" w:sz="8" w:space="0" w:color="auto"/>
        <w:bottom w:val="single" w:sz="8" w:space="0" w:color="auto"/>
        <w:insideH w:val="single" w:sz="8" w:space="0" w:color="FFFFFF"/>
      </w:tblBorders>
      <w:tblCellMar>
        <w:top w:w="0" w:type="dxa"/>
        <w:left w:w="57" w:type="dxa"/>
        <w:bottom w:w="0" w:type="dxa"/>
        <w:right w:w="0" w:type="dxa"/>
      </w:tblCellMar>
    </w:tblPr>
    <w:tcPr>
      <w:shd w:val="clear" w:color="auto" w:fill="00A88F"/>
    </w:tcPr>
  </w:style>
  <w:style w:type="paragraph" w:customStyle="1" w:styleId="TableTextWhite">
    <w:name w:val="Table Text White"/>
    <w:basedOn w:val="Normal"/>
    <w:qFormat/>
    <w:rsid w:val="0017648B"/>
    <w:pPr>
      <w:spacing w:before="40" w:after="40" w:line="280" w:lineRule="atLeast"/>
    </w:pPr>
    <w:rPr>
      <w:rFonts w:ascii="Arial" w:hAnsi="Arial"/>
      <w:color w:val="FFFFFF"/>
      <w:sz w:val="20"/>
    </w:rPr>
  </w:style>
  <w:style w:type="table" w:customStyle="1" w:styleId="PSCPurple">
    <w:name w:val="PSC_Purple"/>
    <w:uiPriority w:val="99"/>
    <w:rsid w:val="0017648B"/>
    <w:rPr>
      <w:rFonts w:ascii="Arial" w:hAnsi="Arial"/>
      <w:sz w:val="20"/>
      <w:szCs w:val="20"/>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style>
  <w:style w:type="paragraph" w:customStyle="1" w:styleId="TableText">
    <w:name w:val="Table Text"/>
    <w:basedOn w:val="TableTextWhite"/>
    <w:qFormat/>
    <w:rsid w:val="0017648B"/>
    <w:rPr>
      <w:color w:val="auto"/>
    </w:rPr>
  </w:style>
  <w:style w:type="paragraph" w:customStyle="1" w:styleId="TableBullet">
    <w:name w:val="Table Bullet"/>
    <w:basedOn w:val="ListBullet"/>
    <w:qFormat/>
    <w:rsid w:val="0017648B"/>
    <w:rPr>
      <w:rFonts w:ascii="Calibri" w:hAnsi="Calibri"/>
      <w:sz w:val="20"/>
    </w:rPr>
  </w:style>
  <w:style w:type="paragraph" w:customStyle="1" w:styleId="TableTextWhite0">
    <w:name w:val="Table_Text_White"/>
    <w:basedOn w:val="Normal"/>
    <w:qFormat/>
    <w:rsid w:val="0017648B"/>
    <w:pPr>
      <w:spacing w:before="40" w:after="40" w:line="280" w:lineRule="atLeast"/>
    </w:pPr>
    <w:rPr>
      <w:rFonts w:ascii="Arial" w:hAnsi="Arial"/>
      <w:b/>
      <w:color w:val="FFFFFF"/>
    </w:rPr>
  </w:style>
  <w:style w:type="paragraph" w:styleId="BalloonText">
    <w:name w:val="Balloon Text"/>
    <w:basedOn w:val="Normal"/>
    <w:link w:val="BalloonTextChar"/>
    <w:uiPriority w:val="99"/>
    <w:semiHidden/>
    <w:rsid w:val="00176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48B"/>
    <w:rPr>
      <w:rFonts w:ascii="Tahoma" w:hAnsi="Tahoma" w:cs="Tahoma"/>
      <w:sz w:val="16"/>
      <w:szCs w:val="16"/>
    </w:rPr>
  </w:style>
  <w:style w:type="paragraph" w:styleId="Header">
    <w:name w:val="header"/>
    <w:basedOn w:val="Normal"/>
    <w:link w:val="HeaderChar"/>
    <w:uiPriority w:val="99"/>
    <w:rsid w:val="003F10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1001"/>
    <w:rPr>
      <w:rFonts w:ascii="Georgia" w:hAnsi="Georgia" w:cs="Times New Roman"/>
      <w:sz w:val="20"/>
      <w:szCs w:val="20"/>
    </w:rPr>
  </w:style>
  <w:style w:type="paragraph" w:styleId="NoSpacing">
    <w:name w:val="No Spacing"/>
    <w:uiPriority w:val="99"/>
    <w:qFormat/>
    <w:rsid w:val="001F2650"/>
    <w:rPr>
      <w:sz w:val="20"/>
      <w:szCs w:val="24"/>
      <w:lang w:eastAsia="en-US"/>
    </w:rPr>
  </w:style>
  <w:style w:type="paragraph" w:styleId="ListParagraph">
    <w:name w:val="List Paragraph"/>
    <w:basedOn w:val="Normal"/>
    <w:link w:val="ListParagraphChar"/>
    <w:uiPriority w:val="99"/>
    <w:qFormat/>
    <w:rsid w:val="001F2650"/>
    <w:pPr>
      <w:ind w:left="720"/>
      <w:contextualSpacing/>
    </w:pPr>
    <w:rPr>
      <w:sz w:val="20"/>
      <w:lang w:eastAsia="en-AU"/>
    </w:rPr>
  </w:style>
  <w:style w:type="character" w:customStyle="1" w:styleId="ListParagraphChar">
    <w:name w:val="List Paragraph Char"/>
    <w:link w:val="ListParagraph"/>
    <w:uiPriority w:val="99"/>
    <w:locked/>
    <w:rsid w:val="001F2650"/>
    <w:rPr>
      <w:rFonts w:ascii="Georgia" w:hAnsi="Georgia"/>
      <w:sz w:val="20"/>
    </w:rPr>
  </w:style>
  <w:style w:type="character" w:styleId="CommentReference">
    <w:name w:val="annotation reference"/>
    <w:basedOn w:val="DefaultParagraphFont"/>
    <w:uiPriority w:val="99"/>
    <w:semiHidden/>
    <w:rsid w:val="00277DDC"/>
    <w:rPr>
      <w:rFonts w:cs="Times New Roman"/>
      <w:sz w:val="16"/>
      <w:szCs w:val="16"/>
    </w:rPr>
  </w:style>
  <w:style w:type="paragraph" w:styleId="CommentText">
    <w:name w:val="annotation text"/>
    <w:basedOn w:val="Normal"/>
    <w:link w:val="CommentTextChar"/>
    <w:uiPriority w:val="99"/>
    <w:semiHidden/>
    <w:rsid w:val="00277DDC"/>
    <w:pPr>
      <w:spacing w:line="240" w:lineRule="auto"/>
    </w:pPr>
    <w:rPr>
      <w:sz w:val="20"/>
    </w:rPr>
  </w:style>
  <w:style w:type="character" w:customStyle="1" w:styleId="CommentTextChar">
    <w:name w:val="Comment Text Char"/>
    <w:basedOn w:val="DefaultParagraphFont"/>
    <w:link w:val="CommentText"/>
    <w:uiPriority w:val="99"/>
    <w:semiHidden/>
    <w:locked/>
    <w:rsid w:val="00277DDC"/>
    <w:rPr>
      <w:rFonts w:ascii="Georgia" w:hAnsi="Georgia" w:cs="Times New Roman"/>
      <w:sz w:val="20"/>
      <w:szCs w:val="20"/>
    </w:rPr>
  </w:style>
  <w:style w:type="paragraph" w:styleId="CommentSubject">
    <w:name w:val="annotation subject"/>
    <w:basedOn w:val="CommentText"/>
    <w:next w:val="CommentText"/>
    <w:link w:val="CommentSubjectChar"/>
    <w:uiPriority w:val="99"/>
    <w:semiHidden/>
    <w:rsid w:val="00277DDC"/>
    <w:rPr>
      <w:b/>
      <w:bCs/>
    </w:rPr>
  </w:style>
  <w:style w:type="character" w:customStyle="1" w:styleId="CommentSubjectChar">
    <w:name w:val="Comment Subject Char"/>
    <w:basedOn w:val="CommentTextChar"/>
    <w:link w:val="CommentSubject"/>
    <w:uiPriority w:val="99"/>
    <w:semiHidden/>
    <w:locked/>
    <w:rsid w:val="00277DDC"/>
    <w:rPr>
      <w:rFonts w:ascii="Georgia" w:hAnsi="Georgia" w:cs="Times New Roman"/>
      <w:b/>
      <w:bCs/>
      <w:sz w:val="20"/>
      <w:szCs w:val="20"/>
    </w:rPr>
  </w:style>
  <w:style w:type="paragraph" w:styleId="Bibliography">
    <w:name w:val="Bibliography"/>
    <w:basedOn w:val="Normal"/>
    <w:next w:val="Normal"/>
    <w:uiPriority w:val="99"/>
    <w:semiHidden/>
    <w:rsid w:val="00C508BB"/>
  </w:style>
  <w:style w:type="paragraph" w:styleId="NormalWeb">
    <w:name w:val="Normal (Web)"/>
    <w:basedOn w:val="Normal"/>
    <w:uiPriority w:val="99"/>
    <w:rsid w:val="00EB32EA"/>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uiPriority w:val="99"/>
    <w:rsid w:val="00101C18"/>
    <w:pPr>
      <w:autoSpaceDE w:val="0"/>
      <w:autoSpaceDN w:val="0"/>
      <w:adjustRightInd w:val="0"/>
    </w:pPr>
    <w:rPr>
      <w:rFonts w:ascii="Arial" w:hAnsi="Arial" w:cs="Arial"/>
      <w:color w:val="000000"/>
      <w:sz w:val="24"/>
      <w:szCs w:val="24"/>
    </w:rPr>
  </w:style>
  <w:style w:type="paragraph" w:styleId="BlockText">
    <w:name w:val="Block Text"/>
    <w:basedOn w:val="Normal"/>
    <w:uiPriority w:val="97"/>
    <w:semiHidden/>
    <w:rsid w:val="00CB167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customStyle="1" w:styleId="Tabletextbriefinfo">
    <w:name w:val="Table text brief info"/>
    <w:basedOn w:val="Normal"/>
    <w:qFormat/>
    <w:rsid w:val="000111A1"/>
    <w:pPr>
      <w:spacing w:before="30" w:after="30" w:line="240" w:lineRule="auto"/>
    </w:pPr>
    <w:rPr>
      <w:rFonts w:ascii="Lucida Sans" w:eastAsia="Times New Roman" w:hAnsi="Lucida Sans"/>
      <w:sz w:val="14"/>
      <w:szCs w:val="18"/>
      <w:lang w:eastAsia="en-AU"/>
    </w:rPr>
  </w:style>
  <w:style w:type="paragraph" w:customStyle="1" w:styleId="Tableheadingbriefinfo">
    <w:name w:val="Table heading brief info"/>
    <w:basedOn w:val="Normal"/>
    <w:qFormat/>
    <w:rsid w:val="000111A1"/>
    <w:pPr>
      <w:spacing w:before="30" w:after="30" w:line="240" w:lineRule="auto"/>
    </w:pPr>
    <w:rPr>
      <w:rFonts w:ascii="Lucida Sans" w:eastAsia="Times New Roman" w:hAnsi="Lucida Sans"/>
      <w:b/>
      <w:sz w:val="14"/>
      <w:szCs w:val="18"/>
      <w:lang w:eastAsia="en-AU"/>
    </w:rPr>
  </w:style>
  <w:style w:type="character" w:styleId="Emphasis">
    <w:name w:val="Emphasis"/>
    <w:basedOn w:val="DefaultParagraphFont"/>
    <w:qFormat/>
    <w:locked/>
    <w:rsid w:val="000750B3"/>
    <w:rPr>
      <w:i/>
      <w:iCs/>
    </w:rPr>
  </w:style>
  <w:style w:type="paragraph" w:customStyle="1" w:styleId="Body">
    <w:name w:val="Body"/>
    <w:rsid w:val="002A749B"/>
    <w:pPr>
      <w:pBdr>
        <w:top w:val="nil"/>
        <w:left w:val="nil"/>
        <w:bottom w:val="nil"/>
        <w:right w:val="nil"/>
        <w:between w:val="nil"/>
        <w:bar w:val="nil"/>
      </w:pBdr>
      <w:spacing w:after="120" w:line="260" w:lineRule="atLeast"/>
    </w:pPr>
    <w:rPr>
      <w:rFonts w:ascii="Georgia" w:eastAsia="Georgia" w:hAnsi="Georgia" w:cs="Georgia"/>
      <w:color w:val="000000"/>
      <w:u w:color="000000"/>
      <w:bdr w:val="nil"/>
    </w:rPr>
  </w:style>
  <w:style w:type="paragraph" w:customStyle="1" w:styleId="Heading">
    <w:name w:val="Heading"/>
    <w:next w:val="Body"/>
    <w:rsid w:val="002A749B"/>
    <w:pPr>
      <w:keepNext/>
      <w:pBdr>
        <w:top w:val="nil"/>
        <w:left w:val="nil"/>
        <w:bottom w:val="nil"/>
        <w:right w:val="nil"/>
        <w:between w:val="nil"/>
        <w:bar w:val="nil"/>
      </w:pBdr>
      <w:spacing w:after="120" w:line="400" w:lineRule="atLeast"/>
      <w:outlineLvl w:val="0"/>
    </w:pPr>
    <w:rPr>
      <w:rFonts w:ascii="Georgia" w:eastAsia="Georgia" w:hAnsi="Georgia" w:cs="Georgia"/>
      <w:b/>
      <w:bCs/>
      <w:color w:val="000000"/>
      <w:kern w:val="32"/>
      <w:sz w:val="26"/>
      <w:szCs w:val="26"/>
      <w:u w:color="000000"/>
      <w:bdr w:val="nil"/>
    </w:rPr>
  </w:style>
  <w:style w:type="character" w:customStyle="1" w:styleId="Link">
    <w:name w:val="Link"/>
    <w:rsid w:val="002A749B"/>
    <w:rPr>
      <w:rFonts w:ascii="Calibri" w:eastAsia="Calibri" w:hAnsi="Calibri" w:cs="Calibri"/>
      <w:b w:val="0"/>
      <w:bCs w:val="0"/>
      <w:i w:val="0"/>
      <w:iCs w:val="0"/>
      <w:color w:val="0000FF"/>
      <w:u w:val="single" w:color="0000FF"/>
    </w:rPr>
  </w:style>
  <w:style w:type="numbering" w:customStyle="1" w:styleId="ImportedStyle5">
    <w:name w:val="Imported Style 5"/>
    <w:rsid w:val="002A749B"/>
    <w:pPr>
      <w:numPr>
        <w:numId w:val="12"/>
      </w:numPr>
    </w:pPr>
  </w:style>
  <w:style w:type="character" w:styleId="FollowedHyperlink">
    <w:name w:val="FollowedHyperlink"/>
    <w:basedOn w:val="DefaultParagraphFont"/>
    <w:uiPriority w:val="99"/>
    <w:semiHidden/>
    <w:unhideWhenUsed/>
    <w:rsid w:val="00492D63"/>
    <w:rPr>
      <w:color w:val="800080" w:themeColor="followedHyperlink"/>
      <w:u w:val="single"/>
    </w:rPr>
  </w:style>
  <w:style w:type="character" w:customStyle="1" w:styleId="Style1">
    <w:name w:val="Style1"/>
    <w:basedOn w:val="DefaultParagraphFont"/>
    <w:uiPriority w:val="1"/>
    <w:rsid w:val="002A3EF8"/>
    <w:rPr>
      <w:rFonts w:ascii="Georgia" w:hAnsi="Georgia"/>
      <w:sz w:val="42"/>
    </w:rPr>
  </w:style>
  <w:style w:type="table" w:customStyle="1" w:styleId="PSCPurple1">
    <w:name w:val="PSC_Purple1"/>
    <w:basedOn w:val="TableNormal"/>
    <w:uiPriority w:val="99"/>
    <w:rsid w:val="00025D74"/>
    <w:rPr>
      <w:rFonts w:ascii="Arial" w:eastAsiaTheme="minorHAnsi" w:hAnsi="Arial"/>
      <w:sz w:val="20"/>
      <w:szCs w:val="20"/>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numbering" w:customStyle="1" w:styleId="ImportedStyle2">
    <w:name w:val="Imported Style 2"/>
    <w:rsid w:val="007851BB"/>
    <w:pPr>
      <w:numPr>
        <w:numId w:val="16"/>
      </w:numPr>
    </w:pPr>
  </w:style>
  <w:style w:type="numbering" w:customStyle="1" w:styleId="ImportedStyle3">
    <w:name w:val="Imported Style 3"/>
    <w:rsid w:val="00EA310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68109">
      <w:bodyDiv w:val="1"/>
      <w:marLeft w:val="0"/>
      <w:marRight w:val="0"/>
      <w:marTop w:val="0"/>
      <w:marBottom w:val="0"/>
      <w:divBdr>
        <w:top w:val="none" w:sz="0" w:space="0" w:color="auto"/>
        <w:left w:val="none" w:sz="0" w:space="0" w:color="auto"/>
        <w:bottom w:val="none" w:sz="0" w:space="0" w:color="auto"/>
        <w:right w:val="none" w:sz="0" w:space="0" w:color="auto"/>
      </w:divBdr>
    </w:div>
    <w:div w:id="552498430">
      <w:bodyDiv w:val="1"/>
      <w:marLeft w:val="0"/>
      <w:marRight w:val="0"/>
      <w:marTop w:val="0"/>
      <w:marBottom w:val="0"/>
      <w:divBdr>
        <w:top w:val="none" w:sz="0" w:space="0" w:color="auto"/>
        <w:left w:val="none" w:sz="0" w:space="0" w:color="auto"/>
        <w:bottom w:val="none" w:sz="0" w:space="0" w:color="auto"/>
        <w:right w:val="none" w:sz="0" w:space="0" w:color="auto"/>
      </w:divBdr>
    </w:div>
    <w:div w:id="711081025">
      <w:bodyDiv w:val="1"/>
      <w:marLeft w:val="0"/>
      <w:marRight w:val="0"/>
      <w:marTop w:val="0"/>
      <w:marBottom w:val="0"/>
      <w:divBdr>
        <w:top w:val="none" w:sz="0" w:space="0" w:color="auto"/>
        <w:left w:val="none" w:sz="0" w:space="0" w:color="auto"/>
        <w:bottom w:val="none" w:sz="0" w:space="0" w:color="auto"/>
        <w:right w:val="none" w:sz="0" w:space="0" w:color="auto"/>
      </w:divBdr>
    </w:div>
    <w:div w:id="736900777">
      <w:bodyDiv w:val="1"/>
      <w:marLeft w:val="0"/>
      <w:marRight w:val="0"/>
      <w:marTop w:val="0"/>
      <w:marBottom w:val="0"/>
      <w:divBdr>
        <w:top w:val="none" w:sz="0" w:space="0" w:color="auto"/>
        <w:left w:val="none" w:sz="0" w:space="0" w:color="auto"/>
        <w:bottom w:val="none" w:sz="0" w:space="0" w:color="auto"/>
        <w:right w:val="none" w:sz="0" w:space="0" w:color="auto"/>
      </w:divBdr>
    </w:div>
    <w:div w:id="1102605355">
      <w:bodyDiv w:val="1"/>
      <w:marLeft w:val="0"/>
      <w:marRight w:val="0"/>
      <w:marTop w:val="0"/>
      <w:marBottom w:val="0"/>
      <w:divBdr>
        <w:top w:val="none" w:sz="0" w:space="0" w:color="auto"/>
        <w:left w:val="none" w:sz="0" w:space="0" w:color="auto"/>
        <w:bottom w:val="none" w:sz="0" w:space="0" w:color="auto"/>
        <w:right w:val="none" w:sz="0" w:space="0" w:color="auto"/>
      </w:divBdr>
    </w:div>
    <w:div w:id="1150320384">
      <w:bodyDiv w:val="1"/>
      <w:marLeft w:val="0"/>
      <w:marRight w:val="0"/>
      <w:marTop w:val="0"/>
      <w:marBottom w:val="0"/>
      <w:divBdr>
        <w:top w:val="none" w:sz="0" w:space="0" w:color="auto"/>
        <w:left w:val="none" w:sz="0" w:space="0" w:color="auto"/>
        <w:bottom w:val="none" w:sz="0" w:space="0" w:color="auto"/>
        <w:right w:val="none" w:sz="0" w:space="0" w:color="auto"/>
      </w:divBdr>
    </w:div>
    <w:div w:id="1250121072">
      <w:bodyDiv w:val="1"/>
      <w:marLeft w:val="0"/>
      <w:marRight w:val="0"/>
      <w:marTop w:val="0"/>
      <w:marBottom w:val="0"/>
      <w:divBdr>
        <w:top w:val="none" w:sz="0" w:space="0" w:color="auto"/>
        <w:left w:val="none" w:sz="0" w:space="0" w:color="auto"/>
        <w:bottom w:val="none" w:sz="0" w:space="0" w:color="auto"/>
        <w:right w:val="none" w:sz="0" w:space="0" w:color="auto"/>
      </w:divBdr>
    </w:div>
    <w:div w:id="1297491728">
      <w:bodyDiv w:val="1"/>
      <w:marLeft w:val="0"/>
      <w:marRight w:val="0"/>
      <w:marTop w:val="0"/>
      <w:marBottom w:val="0"/>
      <w:divBdr>
        <w:top w:val="none" w:sz="0" w:space="0" w:color="auto"/>
        <w:left w:val="none" w:sz="0" w:space="0" w:color="auto"/>
        <w:bottom w:val="none" w:sz="0" w:space="0" w:color="auto"/>
        <w:right w:val="none" w:sz="0" w:space="0" w:color="auto"/>
      </w:divBdr>
    </w:div>
    <w:div w:id="1326666442">
      <w:bodyDiv w:val="1"/>
      <w:marLeft w:val="0"/>
      <w:marRight w:val="0"/>
      <w:marTop w:val="0"/>
      <w:marBottom w:val="0"/>
      <w:divBdr>
        <w:top w:val="none" w:sz="0" w:space="0" w:color="auto"/>
        <w:left w:val="none" w:sz="0" w:space="0" w:color="auto"/>
        <w:bottom w:val="none" w:sz="0" w:space="0" w:color="auto"/>
        <w:right w:val="none" w:sz="0" w:space="0" w:color="auto"/>
      </w:divBdr>
    </w:div>
    <w:div w:id="1428963440">
      <w:bodyDiv w:val="1"/>
      <w:marLeft w:val="0"/>
      <w:marRight w:val="0"/>
      <w:marTop w:val="0"/>
      <w:marBottom w:val="0"/>
      <w:divBdr>
        <w:top w:val="none" w:sz="0" w:space="0" w:color="auto"/>
        <w:left w:val="none" w:sz="0" w:space="0" w:color="auto"/>
        <w:bottom w:val="none" w:sz="0" w:space="0" w:color="auto"/>
        <w:right w:val="none" w:sz="0" w:space="0" w:color="auto"/>
      </w:divBdr>
    </w:div>
    <w:div w:id="1498113507">
      <w:bodyDiv w:val="1"/>
      <w:marLeft w:val="0"/>
      <w:marRight w:val="0"/>
      <w:marTop w:val="0"/>
      <w:marBottom w:val="0"/>
      <w:divBdr>
        <w:top w:val="none" w:sz="0" w:space="0" w:color="auto"/>
        <w:left w:val="none" w:sz="0" w:space="0" w:color="auto"/>
        <w:bottom w:val="none" w:sz="0" w:space="0" w:color="auto"/>
        <w:right w:val="none" w:sz="0" w:space="0" w:color="auto"/>
      </w:divBdr>
    </w:div>
    <w:div w:id="1609697085">
      <w:bodyDiv w:val="1"/>
      <w:marLeft w:val="0"/>
      <w:marRight w:val="0"/>
      <w:marTop w:val="0"/>
      <w:marBottom w:val="0"/>
      <w:divBdr>
        <w:top w:val="none" w:sz="0" w:space="0" w:color="auto"/>
        <w:left w:val="none" w:sz="0" w:space="0" w:color="auto"/>
        <w:bottom w:val="none" w:sz="0" w:space="0" w:color="auto"/>
        <w:right w:val="none" w:sz="0" w:space="0" w:color="auto"/>
      </w:divBdr>
    </w:div>
    <w:div w:id="1705054789">
      <w:bodyDiv w:val="1"/>
      <w:marLeft w:val="0"/>
      <w:marRight w:val="0"/>
      <w:marTop w:val="0"/>
      <w:marBottom w:val="0"/>
      <w:divBdr>
        <w:top w:val="none" w:sz="0" w:space="0" w:color="auto"/>
        <w:left w:val="none" w:sz="0" w:space="0" w:color="auto"/>
        <w:bottom w:val="none" w:sz="0" w:space="0" w:color="auto"/>
        <w:right w:val="none" w:sz="0" w:space="0" w:color="auto"/>
      </w:divBdr>
    </w:div>
    <w:div w:id="1743914934">
      <w:bodyDiv w:val="1"/>
      <w:marLeft w:val="0"/>
      <w:marRight w:val="0"/>
      <w:marTop w:val="0"/>
      <w:marBottom w:val="0"/>
      <w:divBdr>
        <w:top w:val="none" w:sz="0" w:space="0" w:color="auto"/>
        <w:left w:val="none" w:sz="0" w:space="0" w:color="auto"/>
        <w:bottom w:val="none" w:sz="0" w:space="0" w:color="auto"/>
        <w:right w:val="none" w:sz="0" w:space="0" w:color="auto"/>
      </w:divBdr>
    </w:div>
    <w:div w:id="1830361261">
      <w:bodyDiv w:val="1"/>
      <w:marLeft w:val="0"/>
      <w:marRight w:val="0"/>
      <w:marTop w:val="0"/>
      <w:marBottom w:val="0"/>
      <w:divBdr>
        <w:top w:val="none" w:sz="0" w:space="0" w:color="auto"/>
        <w:left w:val="none" w:sz="0" w:space="0" w:color="auto"/>
        <w:bottom w:val="none" w:sz="0" w:space="0" w:color="auto"/>
        <w:right w:val="none" w:sz="0" w:space="0" w:color="auto"/>
      </w:divBdr>
    </w:div>
    <w:div w:id="1897624374">
      <w:bodyDiv w:val="1"/>
      <w:marLeft w:val="0"/>
      <w:marRight w:val="0"/>
      <w:marTop w:val="0"/>
      <w:marBottom w:val="0"/>
      <w:divBdr>
        <w:top w:val="none" w:sz="0" w:space="0" w:color="auto"/>
        <w:left w:val="none" w:sz="0" w:space="0" w:color="auto"/>
        <w:bottom w:val="none" w:sz="0" w:space="0" w:color="auto"/>
        <w:right w:val="none" w:sz="0" w:space="0" w:color="auto"/>
      </w:divBdr>
    </w:div>
    <w:div w:id="19369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reasury.nsw.gov.au"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asury.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1B6690617214688B0DEAB36249838" ma:contentTypeVersion="7" ma:contentTypeDescription="Create a new document." ma:contentTypeScope="" ma:versionID="a7dc66f848d55b4876c748eb30df5eb2">
  <xsd:schema xmlns:xsd="http://www.w3.org/2001/XMLSchema" xmlns:xs="http://www.w3.org/2001/XMLSchema" xmlns:p="http://schemas.microsoft.com/office/2006/metadata/properties" xmlns:ns3="50ebcfd2-9118-4bbf-808c-0a82f72f4bf9" xmlns:ns4="1613da92-edd5-46c4-b83b-e79aa57c9d26" targetNamespace="http://schemas.microsoft.com/office/2006/metadata/properties" ma:root="true" ma:fieldsID="c487beafc3c4801b5d8dfc517cc516e7" ns3:_="" ns4:_="">
    <xsd:import namespace="50ebcfd2-9118-4bbf-808c-0a82f72f4bf9"/>
    <xsd:import namespace="1613da92-edd5-46c4-b83b-e79aa57c9d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bcfd2-9118-4bbf-808c-0a82f72f4b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3da92-edd5-46c4-b83b-e79aa57c9d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C7C1-6C21-4F17-9315-D52A7875AE63}">
  <ds:schemaRefs>
    <ds:schemaRef ds:uri="http://schemas.microsoft.com/sharepoint/v3/contenttype/forms"/>
  </ds:schemaRefs>
</ds:datastoreItem>
</file>

<file path=customXml/itemProps2.xml><?xml version="1.0" encoding="utf-8"?>
<ds:datastoreItem xmlns:ds="http://schemas.openxmlformats.org/officeDocument/2006/customXml" ds:itemID="{82AF9131-84C0-4D8C-990E-4A6D062BE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bcfd2-9118-4bbf-808c-0a82f72f4bf9"/>
    <ds:schemaRef ds:uri="1613da92-edd5-46c4-b83b-e79aa57c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40A47-1574-45F8-868E-D27DD1E91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BA21CA-C2D9-4287-988F-F29F472E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Cluster</vt:lpstr>
    </vt:vector>
  </TitlesOfParts>
  <Company>ServiceFirst</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dc:title>
  <dc:creator>Namdi Payne</dc:creator>
  <cp:lastModifiedBy>Namdi Payne</cp:lastModifiedBy>
  <cp:revision>69</cp:revision>
  <cp:lastPrinted>2017-03-28T04:14:00Z</cp:lastPrinted>
  <dcterms:created xsi:type="dcterms:W3CDTF">2019-12-09T04:21:00Z</dcterms:created>
  <dcterms:modified xsi:type="dcterms:W3CDTF">2019-12-09T22:47:00Z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A3190128</vt:lpwstr>
  </property>
  <property fmtid="{D5CDD505-2E9C-101B-9397-08002B2CF9AE}" pid="4" name="Objective-Title">
    <vt:lpwstr>0116 Role description Ministerial Liaison Officer</vt:lpwstr>
  </property>
  <property fmtid="{D5CDD505-2E9C-101B-9397-08002B2CF9AE}" pid="5" name="Objective-Comment">
    <vt:lpwstr/>
  </property>
  <property fmtid="{D5CDD505-2E9C-101B-9397-08002B2CF9AE}" pid="6" name="Objective-CreationStamp">
    <vt:filetime>2016-01-10T23:43:52Z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2016-06-20T23:55:49Z</vt:filetime>
  </property>
  <property fmtid="{D5CDD505-2E9C-101B-9397-08002B2CF9AE}" pid="10" name="Objective-ModificationStamp">
    <vt:filetime>2016-06-20T23:55:50Z</vt:filetime>
  </property>
  <property fmtid="{D5CDD505-2E9C-101B-9397-08002B2CF9AE}" pid="11" name="Objective-Owner">
    <vt:lpwstr>Emma Keating</vt:lpwstr>
  </property>
  <property fmtid="{D5CDD505-2E9C-101B-9397-08002B2CF9AE}" pid="12" name="Objective-Path">
    <vt:lpwstr>Objective Global Folder:1. Treasury:1. Information Management Structure (TR):CORPORATE GROUP:Human Resources:Establishment:Role Descriptions:Corporate Role Descriptions 2014:</vt:lpwstr>
  </property>
  <property fmtid="{D5CDD505-2E9C-101B-9397-08002B2CF9AE}" pid="13" name="Objective-Parent">
    <vt:lpwstr>Corporate Role Descriptions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T14/04834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0x01010009F1B6690617214688B0DEAB36249838</vt:lpwstr>
  </property>
</Properties>
</file>