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5137E2F" w14:textId="7430E208" w:rsidR="00D64474" w:rsidRPr="000C453F" w:rsidRDefault="003A3130" w:rsidP="00D64474">
      <w:pPr>
        <w:pStyle w:val="Heading1"/>
        <w:tabs>
          <w:tab w:val="left" w:pos="720"/>
          <w:tab w:val="left" w:pos="1440"/>
          <w:tab w:val="left" w:pos="2160"/>
          <w:tab w:val="left" w:pos="2880"/>
          <w:tab w:val="left" w:pos="3600"/>
          <w:tab w:val="right" w:pos="10348"/>
        </w:tabs>
      </w:pPr>
      <w:r>
        <w:rPr>
          <w:noProof/>
          <w:lang w:eastAsia="en-AU"/>
        </w:rPr>
        <w:drawing>
          <wp:anchor distT="0" distB="0" distL="114300" distR="114300" simplePos="0" relativeHeight="251659264" behindDoc="1" locked="0" layoutInCell="1" allowOverlap="1" wp14:anchorId="19399140" wp14:editId="16588ED2">
            <wp:simplePos x="0" y="0"/>
            <wp:positionH relativeFrom="margin">
              <wp:align>right</wp:align>
            </wp:positionH>
            <wp:positionV relativeFrom="paragraph">
              <wp:posOffset>5715</wp:posOffset>
            </wp:positionV>
            <wp:extent cx="1732280" cy="609600"/>
            <wp:effectExtent l="0" t="0" r="1270" b="0"/>
            <wp:wrapTight wrapText="bothSides">
              <wp:wrapPolygon edited="0">
                <wp:start x="1663" y="0"/>
                <wp:lineTo x="0" y="3375"/>
                <wp:lineTo x="0" y="20925"/>
                <wp:lineTo x="21378" y="20925"/>
                <wp:lineTo x="21378" y="16200"/>
                <wp:lineTo x="8551" y="10800"/>
                <wp:lineTo x="9026" y="3375"/>
                <wp:lineTo x="8076" y="675"/>
                <wp:lineTo x="4988" y="0"/>
                <wp:lineTo x="1663" y="0"/>
              </wp:wrapPolygon>
            </wp:wrapTight>
            <wp:docPr id="38" name="Picture 3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2280" cy="609600"/>
                    </a:xfrm>
                    <a:prstGeom prst="rect">
                      <a:avLst/>
                    </a:prstGeom>
                  </pic:spPr>
                </pic:pic>
              </a:graphicData>
            </a:graphic>
            <wp14:sizeRelH relativeFrom="margin">
              <wp14:pctWidth>0</wp14:pctWidth>
            </wp14:sizeRelH>
            <wp14:sizeRelV relativeFrom="margin">
              <wp14:pctHeight>0</wp14:pctHeight>
            </wp14:sizeRelV>
          </wp:anchor>
        </w:drawing>
      </w:r>
      <w:r w:rsidR="00D64474" w:rsidRPr="000C453F">
        <w:t>Role Description</w:t>
      </w:r>
    </w:p>
    <w:p w14:paraId="17DC9B42" w14:textId="143C5A10" w:rsidR="00D64474" w:rsidRDefault="008B61FB" w:rsidP="00076EAB">
      <w:pPr>
        <w:pStyle w:val="Heading1"/>
        <w:tabs>
          <w:tab w:val="right" w:pos="10206"/>
        </w:tabs>
        <w:spacing w:after="120"/>
      </w:pPr>
      <w:r>
        <w:t>Director</w:t>
      </w:r>
      <w:r w:rsidR="00E0696A">
        <w:t>,</w:t>
      </w:r>
      <w:r>
        <w:t xml:space="preserve"> Careers and Pathways</w:t>
      </w:r>
      <w:r w:rsidR="000516E3">
        <w:t xml:space="preserve"> Programs</w:t>
      </w:r>
    </w:p>
    <w:p w14:paraId="053CDFB6" w14:textId="77777777" w:rsidR="00076EAB" w:rsidRPr="00076EAB" w:rsidRDefault="00076EAB" w:rsidP="00076EAB"/>
    <w:tbl>
      <w:tblPr>
        <w:tblStyle w:val="PSCGreen"/>
        <w:tblW w:w="10632" w:type="dxa"/>
        <w:tblLook w:val="04A0" w:firstRow="1" w:lastRow="0" w:firstColumn="1" w:lastColumn="0" w:noHBand="0" w:noVBand="1"/>
        <w:tblCaption w:val="PSC_Role_InformationTable"/>
        <w:tblDescription w:val="PSC_Role_InformationTable"/>
      </w:tblPr>
      <w:tblGrid>
        <w:gridCol w:w="3677"/>
        <w:gridCol w:w="9"/>
        <w:gridCol w:w="6946"/>
      </w:tblGrid>
      <w:tr w:rsidR="00C54432" w:rsidRPr="00C978B9" w14:paraId="0EFC3BAD" w14:textId="77777777" w:rsidTr="00C54432">
        <w:trPr>
          <w:cnfStyle w:val="100000000000" w:firstRow="1" w:lastRow="0" w:firstColumn="0" w:lastColumn="0" w:oddVBand="0" w:evenVBand="0" w:oddHBand="0" w:evenHBand="0" w:firstRowFirstColumn="0" w:firstRowLastColumn="0" w:lastRowFirstColumn="0" w:lastRowLastColumn="0"/>
          <w:cantSplit/>
        </w:trPr>
        <w:tc>
          <w:tcPr>
            <w:tcW w:w="3677" w:type="dxa"/>
            <w:vAlign w:val="center"/>
          </w:tcPr>
          <w:p w14:paraId="7BB96830" w14:textId="77777777" w:rsidR="00DA6BE6" w:rsidRPr="00853F21" w:rsidRDefault="00DA6BE6" w:rsidP="003E0D69">
            <w:pPr>
              <w:pStyle w:val="TableTextWhite"/>
              <w:rPr>
                <w:b/>
              </w:rPr>
            </w:pPr>
            <w:r w:rsidRPr="00853F21">
              <w:rPr>
                <w:b/>
              </w:rPr>
              <w:t>Cluster</w:t>
            </w:r>
          </w:p>
        </w:tc>
        <w:tc>
          <w:tcPr>
            <w:tcW w:w="6955" w:type="dxa"/>
            <w:gridSpan w:val="2"/>
          </w:tcPr>
          <w:p w14:paraId="12DEF8D2" w14:textId="77777777" w:rsidR="00DA6BE6" w:rsidRPr="00257C73" w:rsidRDefault="004A3696" w:rsidP="003E0D69">
            <w:pPr>
              <w:pStyle w:val="TableTextWhite"/>
              <w:rPr>
                <w:b/>
              </w:rPr>
            </w:pPr>
            <w:r w:rsidRPr="00257C73">
              <w:rPr>
                <w:b/>
              </w:rPr>
              <w:t>Education</w:t>
            </w:r>
          </w:p>
        </w:tc>
      </w:tr>
      <w:tr w:rsidR="00C54432" w:rsidRPr="00C978B9" w14:paraId="5C65D89A" w14:textId="77777777" w:rsidTr="00C54432">
        <w:trPr>
          <w:cantSplit/>
        </w:trPr>
        <w:tc>
          <w:tcPr>
            <w:tcW w:w="3677" w:type="dxa"/>
            <w:vAlign w:val="center"/>
          </w:tcPr>
          <w:p w14:paraId="7D8A15D7" w14:textId="04C1A1F8" w:rsidR="00DA6BE6" w:rsidRPr="00853F21" w:rsidRDefault="00DA6BE6" w:rsidP="003E0D69">
            <w:pPr>
              <w:pStyle w:val="TableTextWhite"/>
              <w:rPr>
                <w:b/>
              </w:rPr>
            </w:pPr>
            <w:bookmarkStart w:id="0" w:name="DeptAgency"/>
            <w:bookmarkEnd w:id="0"/>
            <w:r w:rsidRPr="00853F21">
              <w:rPr>
                <w:b/>
              </w:rPr>
              <w:t>Agency</w:t>
            </w:r>
          </w:p>
        </w:tc>
        <w:tc>
          <w:tcPr>
            <w:tcW w:w="6955" w:type="dxa"/>
            <w:gridSpan w:val="2"/>
          </w:tcPr>
          <w:p w14:paraId="3574C993" w14:textId="77777777" w:rsidR="00DA6BE6" w:rsidRPr="00257C73" w:rsidRDefault="004A3696" w:rsidP="003E0D69">
            <w:pPr>
              <w:pStyle w:val="TableTextWhite"/>
              <w:rPr>
                <w:b/>
              </w:rPr>
            </w:pPr>
            <w:r w:rsidRPr="00257C73">
              <w:rPr>
                <w:b/>
              </w:rPr>
              <w:t>Department of Education</w:t>
            </w:r>
          </w:p>
        </w:tc>
      </w:tr>
      <w:tr w:rsidR="00C54432" w:rsidRPr="00C978B9" w14:paraId="14E425E9" w14:textId="77777777" w:rsidTr="00C54432">
        <w:trPr>
          <w:cantSplit/>
        </w:trPr>
        <w:tc>
          <w:tcPr>
            <w:tcW w:w="3677" w:type="dxa"/>
            <w:vAlign w:val="center"/>
          </w:tcPr>
          <w:p w14:paraId="4A3381BB" w14:textId="135C9838" w:rsidR="00DA6BE6" w:rsidRPr="00853F21" w:rsidRDefault="00DA6BE6" w:rsidP="003E0D69">
            <w:pPr>
              <w:pStyle w:val="TableTextWhite"/>
              <w:rPr>
                <w:b/>
              </w:rPr>
            </w:pPr>
            <w:r w:rsidRPr="00853F21">
              <w:rPr>
                <w:b/>
              </w:rPr>
              <w:t>Division/Branch/Unit</w:t>
            </w:r>
          </w:p>
        </w:tc>
        <w:tc>
          <w:tcPr>
            <w:tcW w:w="6955" w:type="dxa"/>
            <w:gridSpan w:val="2"/>
          </w:tcPr>
          <w:p w14:paraId="3504D174" w14:textId="62486120" w:rsidR="00DA6BE6" w:rsidRPr="00257C73" w:rsidRDefault="004A3696" w:rsidP="003E0D69">
            <w:pPr>
              <w:pStyle w:val="TableTextWhite"/>
              <w:rPr>
                <w:b/>
              </w:rPr>
            </w:pPr>
            <w:r w:rsidRPr="00257C73">
              <w:rPr>
                <w:b/>
              </w:rPr>
              <w:t xml:space="preserve">Education and Skills Reform/Skills and </w:t>
            </w:r>
            <w:r>
              <w:rPr>
                <w:b/>
              </w:rPr>
              <w:t xml:space="preserve">Workforce Programs/Careers and </w:t>
            </w:r>
            <w:r w:rsidRPr="00257C73">
              <w:rPr>
                <w:b/>
              </w:rPr>
              <w:t>Pathways Programs</w:t>
            </w:r>
          </w:p>
        </w:tc>
      </w:tr>
      <w:tr w:rsidR="00C54432" w:rsidRPr="00C978B9" w14:paraId="024E4831" w14:textId="77777777" w:rsidTr="00C54432">
        <w:trPr>
          <w:cantSplit/>
        </w:trPr>
        <w:tc>
          <w:tcPr>
            <w:tcW w:w="3677" w:type="dxa"/>
            <w:vAlign w:val="center"/>
          </w:tcPr>
          <w:p w14:paraId="0F8F1C29" w14:textId="77777777" w:rsidR="004A3696" w:rsidRPr="00853F21" w:rsidRDefault="004A3696" w:rsidP="003E0D69">
            <w:pPr>
              <w:pStyle w:val="TableTextWhite"/>
              <w:rPr>
                <w:b/>
              </w:rPr>
            </w:pPr>
            <w:r w:rsidRPr="004A3696">
              <w:rPr>
                <w:b/>
              </w:rPr>
              <w:t>Role number</w:t>
            </w:r>
          </w:p>
        </w:tc>
        <w:tc>
          <w:tcPr>
            <w:tcW w:w="6955" w:type="dxa"/>
            <w:gridSpan w:val="2"/>
          </w:tcPr>
          <w:p w14:paraId="0038136F" w14:textId="307512A2" w:rsidR="004A3696" w:rsidRPr="00257C73" w:rsidRDefault="004A3696" w:rsidP="003E0D69">
            <w:pPr>
              <w:pStyle w:val="TableTextWhite"/>
              <w:rPr>
                <w:b/>
              </w:rPr>
            </w:pPr>
            <w:r w:rsidRPr="00257C73">
              <w:rPr>
                <w:b/>
              </w:rPr>
              <w:t>2</w:t>
            </w:r>
            <w:r w:rsidR="003E13EF">
              <w:rPr>
                <w:b/>
              </w:rPr>
              <w:t>76884</w:t>
            </w:r>
          </w:p>
        </w:tc>
      </w:tr>
      <w:tr w:rsidR="00C54432" w:rsidRPr="00C978B9" w14:paraId="31A2A69E" w14:textId="77777777" w:rsidTr="00C54432">
        <w:trPr>
          <w:cantSplit/>
        </w:trPr>
        <w:tc>
          <w:tcPr>
            <w:tcW w:w="3677" w:type="dxa"/>
            <w:vAlign w:val="center"/>
          </w:tcPr>
          <w:p w14:paraId="1034427E" w14:textId="77777777" w:rsidR="00DA6BE6" w:rsidRPr="00257C73" w:rsidRDefault="00DA6BE6" w:rsidP="003E0D69">
            <w:pPr>
              <w:pStyle w:val="TableTextWhite"/>
              <w:rPr>
                <w:b/>
                <w:color w:val="000000"/>
              </w:rPr>
            </w:pPr>
            <w:r w:rsidRPr="00853F21">
              <w:rPr>
                <w:b/>
              </w:rPr>
              <w:t>Classification/Grade/Band</w:t>
            </w:r>
          </w:p>
        </w:tc>
        <w:tc>
          <w:tcPr>
            <w:tcW w:w="6955" w:type="dxa"/>
            <w:gridSpan w:val="2"/>
          </w:tcPr>
          <w:p w14:paraId="3FE79096" w14:textId="77777777" w:rsidR="00DA6BE6" w:rsidRPr="00257C73" w:rsidRDefault="004A3696" w:rsidP="003E0D69">
            <w:pPr>
              <w:pStyle w:val="TableTextWhite"/>
              <w:rPr>
                <w:b/>
              </w:rPr>
            </w:pPr>
            <w:r w:rsidRPr="00257C73">
              <w:rPr>
                <w:b/>
              </w:rPr>
              <w:t>Public Service Senior Executive Band 1</w:t>
            </w:r>
          </w:p>
        </w:tc>
      </w:tr>
      <w:tr w:rsidR="004A3696" w:rsidRPr="00C978B9" w14:paraId="3A403280" w14:textId="77777777" w:rsidTr="00257C73">
        <w:tc>
          <w:tcPr>
            <w:tcW w:w="3677" w:type="dxa"/>
          </w:tcPr>
          <w:p w14:paraId="47DECE92" w14:textId="09E82633" w:rsidR="004A3696" w:rsidRPr="00853F21" w:rsidRDefault="00802A8D" w:rsidP="003E0D69">
            <w:pPr>
              <w:pStyle w:val="TableTextWhite"/>
              <w:rPr>
                <w:b/>
              </w:rPr>
            </w:pPr>
            <w:r>
              <w:rPr>
                <w:b/>
              </w:rPr>
              <w:t>Child-related Role</w:t>
            </w:r>
          </w:p>
        </w:tc>
        <w:tc>
          <w:tcPr>
            <w:tcW w:w="6955" w:type="dxa"/>
            <w:gridSpan w:val="2"/>
          </w:tcPr>
          <w:p w14:paraId="49A78257" w14:textId="21C7A3D3" w:rsidR="004A3696" w:rsidRPr="00E0696A" w:rsidRDefault="00FB0603" w:rsidP="003E0D69">
            <w:pPr>
              <w:pStyle w:val="TableTextWhite"/>
              <w:rPr>
                <w:color w:val="FFFFFF" w:themeColor="background1"/>
              </w:rPr>
            </w:pPr>
            <w:r>
              <w:rPr>
                <w:color w:val="FFFFFF" w:themeColor="background1"/>
              </w:rPr>
              <w:t>No</w:t>
            </w:r>
          </w:p>
        </w:tc>
      </w:tr>
      <w:tr w:rsidR="00C54432" w14:paraId="11F63342" w14:textId="77777777" w:rsidTr="00C54432">
        <w:tc>
          <w:tcPr>
            <w:tcW w:w="3677" w:type="dxa"/>
            <w:hideMark/>
          </w:tcPr>
          <w:p w14:paraId="04E8C6ED" w14:textId="77777777" w:rsidR="00E36B31" w:rsidRDefault="00E36B31" w:rsidP="007A591D">
            <w:pPr>
              <w:pStyle w:val="TableTextWhite"/>
              <w:rPr>
                <w:b/>
              </w:rPr>
            </w:pPr>
            <w:r>
              <w:rPr>
                <w:b/>
              </w:rPr>
              <w:t>Kind of Employment</w:t>
            </w:r>
          </w:p>
        </w:tc>
        <w:tc>
          <w:tcPr>
            <w:tcW w:w="6955" w:type="dxa"/>
            <w:gridSpan w:val="2"/>
            <w:hideMark/>
          </w:tcPr>
          <w:p w14:paraId="71242040" w14:textId="77777777" w:rsidR="00E36B31" w:rsidRPr="003216AB" w:rsidRDefault="007F6A81" w:rsidP="0097653D">
            <w:pPr>
              <w:pStyle w:val="TableTextWhite"/>
              <w:rPr>
                <w:color w:val="FFFFFF" w:themeColor="background1"/>
              </w:rPr>
            </w:pPr>
            <w:r w:rsidRPr="003216AB">
              <w:rPr>
                <w:color w:val="FFFFFF" w:themeColor="background1"/>
              </w:rPr>
              <w:t>Ongoing</w:t>
            </w:r>
          </w:p>
        </w:tc>
      </w:tr>
      <w:tr w:rsidR="00C54432" w:rsidRPr="00C978B9" w14:paraId="4C28E7CE" w14:textId="77777777" w:rsidTr="00C54432">
        <w:trPr>
          <w:cantSplit/>
        </w:trPr>
        <w:tc>
          <w:tcPr>
            <w:tcW w:w="3677" w:type="dxa"/>
            <w:vAlign w:val="center"/>
          </w:tcPr>
          <w:p w14:paraId="4BDE2BBF" w14:textId="77777777" w:rsidR="00DA6BE6" w:rsidRPr="00257C73" w:rsidRDefault="00DA6BE6" w:rsidP="003E0D69">
            <w:pPr>
              <w:pStyle w:val="TableTextWhite"/>
              <w:rPr>
                <w:b/>
                <w:color w:val="000000"/>
              </w:rPr>
            </w:pPr>
            <w:r w:rsidRPr="00853F21">
              <w:rPr>
                <w:b/>
              </w:rPr>
              <w:t>ANZSCO Code</w:t>
            </w:r>
          </w:p>
        </w:tc>
        <w:tc>
          <w:tcPr>
            <w:tcW w:w="6955" w:type="dxa"/>
            <w:gridSpan w:val="2"/>
          </w:tcPr>
          <w:p w14:paraId="254110A9" w14:textId="77777777" w:rsidR="00DA6BE6" w:rsidRPr="00257C73" w:rsidRDefault="004A3696" w:rsidP="003E0D69">
            <w:pPr>
              <w:pStyle w:val="TableTextWhite"/>
              <w:rPr>
                <w:b/>
              </w:rPr>
            </w:pPr>
            <w:r w:rsidRPr="00257C73">
              <w:rPr>
                <w:b/>
              </w:rPr>
              <w:t>132311</w:t>
            </w:r>
          </w:p>
        </w:tc>
      </w:tr>
      <w:tr w:rsidR="00C54432" w:rsidRPr="00C978B9" w14:paraId="320373C8" w14:textId="77777777" w:rsidTr="00C54432">
        <w:trPr>
          <w:cantSplit/>
        </w:trPr>
        <w:tc>
          <w:tcPr>
            <w:tcW w:w="3677" w:type="dxa"/>
            <w:vAlign w:val="center"/>
          </w:tcPr>
          <w:p w14:paraId="58519D74" w14:textId="77777777" w:rsidR="00DA6BE6" w:rsidRPr="00257C73" w:rsidRDefault="00DA6BE6" w:rsidP="003E0D69">
            <w:pPr>
              <w:pStyle w:val="TableTextWhite"/>
              <w:rPr>
                <w:b/>
                <w:color w:val="000000"/>
              </w:rPr>
            </w:pPr>
            <w:r w:rsidRPr="00853F21">
              <w:rPr>
                <w:b/>
              </w:rPr>
              <w:t>PCAT Code</w:t>
            </w:r>
          </w:p>
        </w:tc>
        <w:tc>
          <w:tcPr>
            <w:tcW w:w="6955" w:type="dxa"/>
            <w:gridSpan w:val="2"/>
          </w:tcPr>
          <w:p w14:paraId="4E126041" w14:textId="77777777" w:rsidR="00DA6BE6" w:rsidRPr="00257C73" w:rsidRDefault="004A3696" w:rsidP="003E0D69">
            <w:pPr>
              <w:pStyle w:val="TableTextWhite"/>
              <w:rPr>
                <w:b/>
              </w:rPr>
            </w:pPr>
            <w:r w:rsidRPr="00257C73">
              <w:rPr>
                <w:b/>
              </w:rPr>
              <w:t>3334043</w:t>
            </w:r>
          </w:p>
        </w:tc>
      </w:tr>
      <w:tr w:rsidR="00C54432" w:rsidRPr="00C978B9" w14:paraId="4891D6EE" w14:textId="77777777" w:rsidTr="00257C73">
        <w:tc>
          <w:tcPr>
            <w:tcW w:w="3686" w:type="dxa"/>
            <w:gridSpan w:val="2"/>
          </w:tcPr>
          <w:p w14:paraId="497D9526" w14:textId="77777777" w:rsidR="00DA6BE6" w:rsidRPr="00257C73" w:rsidRDefault="00DA6BE6" w:rsidP="003E0D69">
            <w:pPr>
              <w:pStyle w:val="TableTextWhite"/>
              <w:rPr>
                <w:b/>
                <w:color w:val="000000"/>
              </w:rPr>
            </w:pPr>
            <w:r w:rsidRPr="00853F21">
              <w:rPr>
                <w:b/>
              </w:rPr>
              <w:t>Date of Approval</w:t>
            </w:r>
          </w:p>
        </w:tc>
        <w:tc>
          <w:tcPr>
            <w:tcW w:w="6946" w:type="dxa"/>
          </w:tcPr>
          <w:p w14:paraId="71CFB64F" w14:textId="705F0D91" w:rsidR="00DA6BE6" w:rsidRPr="00257C73" w:rsidRDefault="00BD5C1C" w:rsidP="003E0D69">
            <w:pPr>
              <w:pStyle w:val="TableTextWhite"/>
              <w:rPr>
                <w:b/>
              </w:rPr>
            </w:pPr>
            <w:r>
              <w:rPr>
                <w:color w:val="FFFFFF" w:themeColor="background1"/>
              </w:rPr>
              <w:t xml:space="preserve">30 </w:t>
            </w:r>
            <w:r w:rsidR="003E13EF">
              <w:rPr>
                <w:color w:val="FFFFFF" w:themeColor="background1"/>
              </w:rPr>
              <w:t>September 2024</w:t>
            </w:r>
          </w:p>
        </w:tc>
      </w:tr>
      <w:tr w:rsidR="00C54432" w:rsidRPr="00C978B9" w14:paraId="3DC994E5" w14:textId="77777777" w:rsidTr="00257C73">
        <w:tc>
          <w:tcPr>
            <w:tcW w:w="3686" w:type="dxa"/>
            <w:gridSpan w:val="2"/>
          </w:tcPr>
          <w:p w14:paraId="1DEF4766" w14:textId="77777777" w:rsidR="004A3696" w:rsidRPr="00853F21" w:rsidRDefault="004A3696" w:rsidP="003E0D69">
            <w:pPr>
              <w:pStyle w:val="TableTextWhite"/>
              <w:rPr>
                <w:b/>
              </w:rPr>
            </w:pPr>
            <w:r w:rsidRPr="004A3696">
              <w:rPr>
                <w:b/>
              </w:rPr>
              <w:t>Agency Website</w:t>
            </w:r>
          </w:p>
        </w:tc>
        <w:tc>
          <w:tcPr>
            <w:tcW w:w="6946" w:type="dxa"/>
          </w:tcPr>
          <w:p w14:paraId="7F92CCD9" w14:textId="703F03FF" w:rsidR="004A3696" w:rsidRPr="00257C73" w:rsidRDefault="004A3696" w:rsidP="003E0D69">
            <w:pPr>
              <w:pStyle w:val="TableTextWhite"/>
              <w:rPr>
                <w:b/>
              </w:rPr>
            </w:pPr>
            <w:r w:rsidRPr="00C54432">
              <w:rPr>
                <w:color w:val="FFFFFF" w:themeColor="background1"/>
              </w:rPr>
              <w:t>education.nsw.</w:t>
            </w:r>
            <w:r w:rsidR="00E36B31" w:rsidRPr="003216AB">
              <w:rPr>
                <w:color w:val="FFFFFF" w:themeColor="background1"/>
              </w:rPr>
              <w:t>gov</w:t>
            </w:r>
            <w:r w:rsidRPr="00C54432">
              <w:rPr>
                <w:color w:val="FFFFFF" w:themeColor="background1"/>
              </w:rPr>
              <w:t>.au</w:t>
            </w:r>
          </w:p>
        </w:tc>
      </w:tr>
    </w:tbl>
    <w:p w14:paraId="7961FCF7" w14:textId="77777777" w:rsidR="00057CB3" w:rsidRPr="00257C73" w:rsidRDefault="004A3696" w:rsidP="00257C73">
      <w:pPr>
        <w:pStyle w:val="Heading2"/>
      </w:pPr>
      <w:r w:rsidRPr="00257C73">
        <w:t>Agency overview</w:t>
      </w:r>
    </w:p>
    <w:p w14:paraId="03FC9034" w14:textId="77777777" w:rsidR="00E0696A" w:rsidRPr="00F438AB" w:rsidRDefault="00E0696A" w:rsidP="00E0696A">
      <w:pPr>
        <w:rPr>
          <w:rStyle w:val="Strong"/>
          <w:rFonts w:ascii="Arial" w:hAnsi="Arial" w:cs="Arial"/>
          <w:b w:val="0"/>
          <w:bCs w:val="0"/>
        </w:rPr>
      </w:pPr>
      <w:r w:rsidRPr="00F438AB">
        <w:rPr>
          <w:rStyle w:val="Strong"/>
          <w:rFonts w:ascii="Arial" w:hAnsi="Arial" w:cs="Arial"/>
          <w:b w:val="0"/>
          <w:bCs w:val="0"/>
        </w:rPr>
        <w:t>At the NSW Department of Education, we educate and inspire lifelong learners – from early childhood, through schooling to vocational education and training.</w:t>
      </w:r>
      <w:r w:rsidRPr="00F438AB">
        <w:rPr>
          <w:rFonts w:cs="Arial"/>
          <w:b/>
        </w:rPr>
        <w:br/>
      </w:r>
      <w:r w:rsidRPr="00F438AB">
        <w:rPr>
          <w:rStyle w:val="ui-provider"/>
          <w:rFonts w:cs="Arial"/>
          <w:b/>
        </w:rPr>
        <w:t> </w:t>
      </w:r>
      <w:r w:rsidRPr="00F438AB">
        <w:rPr>
          <w:rFonts w:cs="Arial"/>
          <w:b/>
        </w:rPr>
        <w:br/>
      </w:r>
      <w:r w:rsidRPr="00F438AB">
        <w:rPr>
          <w:rStyle w:val="Strong"/>
          <w:rFonts w:ascii="Arial" w:hAnsi="Arial" w:cs="Arial"/>
          <w:b w:val="0"/>
          <w:bCs w:val="0"/>
        </w:rPr>
        <w:t>We ensure young children get the best start in life by supporting and regulating the early childhood education and care sector. We unlock excellence and unleash the potential of two-thirds of school children in NSW. We’re proudly public and the largest education system in Australia. We nurture opportunities for every learner to develop the skills needed for their chosen career path, helping shape the industries of tomorrow.</w:t>
      </w:r>
      <w:r w:rsidRPr="00F438AB">
        <w:rPr>
          <w:rFonts w:cs="Arial"/>
          <w:b/>
        </w:rPr>
        <w:br/>
      </w:r>
      <w:r w:rsidRPr="00F438AB">
        <w:rPr>
          <w:rStyle w:val="ui-provider"/>
          <w:rFonts w:cs="Arial"/>
          <w:b/>
        </w:rPr>
        <w:t> </w:t>
      </w:r>
      <w:r w:rsidRPr="00F438AB">
        <w:rPr>
          <w:rFonts w:cs="Arial"/>
          <w:b/>
        </w:rPr>
        <w:br/>
      </w:r>
      <w:r w:rsidRPr="00F438AB">
        <w:rPr>
          <w:rStyle w:val="Strong"/>
          <w:rFonts w:ascii="Arial" w:hAnsi="Arial" w:cs="Arial"/>
          <w:b w:val="0"/>
          <w:bCs w:val="0"/>
        </w:rPr>
        <w:t>We respect and value Aboriginal and Torres Strait Islander peoples as First Peoples of Australia.</w:t>
      </w:r>
    </w:p>
    <w:p w14:paraId="0F5311D2" w14:textId="6B396DD6" w:rsidR="004A3696" w:rsidRPr="00C978B9" w:rsidRDefault="004A3696" w:rsidP="00257C73">
      <w:pPr>
        <w:pStyle w:val="Heading2"/>
      </w:pPr>
      <w:bookmarkStart w:id="1" w:name="_Hlk30003721"/>
      <w:r w:rsidRPr="00257C73">
        <w:t>Primary purpose of the role</w:t>
      </w:r>
    </w:p>
    <w:p w14:paraId="6382ED76" w14:textId="0F64689B" w:rsidR="00E0696A" w:rsidRDefault="004A3696" w:rsidP="00257C73">
      <w:pPr>
        <w:spacing w:after="120"/>
      </w:pPr>
      <w:r>
        <w:t>The</w:t>
      </w:r>
      <w:r w:rsidR="00E0696A">
        <w:t xml:space="preserve"> Director, Careers and Pathways</w:t>
      </w:r>
      <w:r w:rsidR="000516E3">
        <w:t xml:space="preserve"> Programs</w:t>
      </w:r>
      <w:r>
        <w:t xml:space="preserve"> provides strategic leadership in the design and delivery of adult and secondary student strategies and programs to support workforce participation and pathways into education, employment and training. </w:t>
      </w:r>
    </w:p>
    <w:p w14:paraId="00DF6C7A" w14:textId="05212486" w:rsidR="004A3696" w:rsidRPr="00A55204" w:rsidRDefault="004A3696" w:rsidP="00257C73">
      <w:pPr>
        <w:spacing w:after="120"/>
        <w:rPr>
          <w:bCs/>
          <w:lang w:eastAsia="en-AU"/>
        </w:rPr>
      </w:pPr>
      <w:r>
        <w:t>The role drives quality, growth and reform of career learning and pathways for secondary students, mandatory work placements and strengthening vocational pathways from school to tertiary education to employment, ensuring programs are compliant with mandatory national and state standards, future-focused and responsive to educational, social and technological developments to prepare students to realise their full potential. The role also has responsibility for oversight of key strategic reform programs and initiatives that deliver the pathways stream for the Plan for Public Education.</w:t>
      </w:r>
    </w:p>
    <w:bookmarkEnd w:id="1"/>
    <w:p w14:paraId="165126DD"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424CBC03" w14:textId="3733273D" w:rsidR="000346D2" w:rsidRDefault="00737C28" w:rsidP="00257C73">
      <w:pPr>
        <w:pStyle w:val="ListBullet"/>
        <w:spacing w:after="120" w:line="240" w:lineRule="auto"/>
        <w:ind w:left="357" w:hanging="357"/>
        <w:rPr>
          <w:lang w:eastAsia="en-AU"/>
        </w:rPr>
      </w:pPr>
      <w:r>
        <w:t>Lead the design and delivery of careers and pathways policy, strategy, and initiatives to support delivery of skills policy objectives and supporting participation of adults and secondary students in education, employment, and training.</w:t>
      </w:r>
    </w:p>
    <w:p w14:paraId="5ED920F2" w14:textId="5913E2AF" w:rsidR="000346D2" w:rsidRDefault="11544922" w:rsidP="00257C73">
      <w:pPr>
        <w:pStyle w:val="ListBullet"/>
        <w:spacing w:after="120" w:line="240" w:lineRule="auto"/>
        <w:ind w:left="357" w:hanging="357"/>
        <w:rPr>
          <w:lang w:eastAsia="en-AU"/>
        </w:rPr>
      </w:pPr>
      <w:r>
        <w:t>Lead engagement with industry, the tertiary education sector and other government agencies to identify and test proposed models for new and emerging policy, programs and projects</w:t>
      </w:r>
      <w:r w:rsidR="520D074F">
        <w:t>.</w:t>
      </w:r>
    </w:p>
    <w:p w14:paraId="4AD1BD01" w14:textId="24C44183" w:rsidR="000346D2" w:rsidRDefault="11544922" w:rsidP="00257C73">
      <w:pPr>
        <w:pStyle w:val="ListBullet"/>
        <w:spacing w:after="120" w:line="240" w:lineRule="auto"/>
        <w:ind w:left="357" w:hanging="357"/>
      </w:pPr>
      <w:r>
        <w:t>Lead, plan and manage programs and initiatives that strengthen career and pathways programs in schools, to ensure the provision of high quality, relevant and innovative programs and services in NSW government schools for students, teachers and other school-based staff</w:t>
      </w:r>
      <w:r w:rsidR="4598F93E">
        <w:t>, including the delivery of key programs including the Regional Industry Education Partnership Program and the Educational Partnerships Program</w:t>
      </w:r>
      <w:r w:rsidR="28250B28">
        <w:t>.</w:t>
      </w:r>
    </w:p>
    <w:p w14:paraId="799C966A" w14:textId="1887841E" w:rsidR="000346D2" w:rsidRDefault="00737C28" w:rsidP="00257C73">
      <w:pPr>
        <w:pStyle w:val="ListBullet"/>
        <w:spacing w:after="120" w:line="240" w:lineRule="auto"/>
        <w:ind w:left="357" w:hanging="357"/>
        <w:rPr>
          <w:lang w:eastAsia="en-AU"/>
        </w:rPr>
      </w:pPr>
      <w:r>
        <w:t>Implement strategic plans</w:t>
      </w:r>
      <w:r w:rsidR="6D7F67FD">
        <w:t xml:space="preserve">, </w:t>
      </w:r>
      <w:r w:rsidR="6D7F67FD" w:rsidRPr="004B6B7F">
        <w:t>including deliver the pathways pillar implementation under the Plan for NSW Public Education,</w:t>
      </w:r>
      <w:r>
        <w:t xml:space="preserve"> and optimise operational performance with appropriate controls and processes across the division to ensure the Department’s commitment to school improvement and other critical priorities to reflect Government, Cluster and Department frameworks, policies and guidelines.</w:t>
      </w:r>
    </w:p>
    <w:p w14:paraId="07435686" w14:textId="729244C6" w:rsidR="000346D2" w:rsidRDefault="00737C28" w:rsidP="00257C73">
      <w:pPr>
        <w:pStyle w:val="ListBullet"/>
        <w:spacing w:after="120" w:line="240" w:lineRule="auto"/>
        <w:ind w:left="357" w:hanging="357"/>
        <w:rPr>
          <w:lang w:eastAsia="en-AU"/>
        </w:rPr>
      </w:pPr>
      <w:r>
        <w:t>Drive and evaluate operational performance outcomes which contribute to the achievement of the division’s strategy and be accountable for providing detailed and reliable analysis to support strategic and dynamic decision-making processes and to identify and drive opportunities for innovation.</w:t>
      </w:r>
    </w:p>
    <w:p w14:paraId="3D5B0974" w14:textId="1A5F04D1" w:rsidR="000346D2" w:rsidRDefault="00737C28" w:rsidP="00257C73">
      <w:pPr>
        <w:pStyle w:val="ListBullet"/>
        <w:spacing w:after="120" w:line="240" w:lineRule="auto"/>
        <w:ind w:left="357" w:hanging="357"/>
        <w:rPr>
          <w:lang w:eastAsia="en-AU"/>
        </w:rPr>
      </w:pPr>
      <w:r>
        <w:t xml:space="preserve">Foster a culture which drives and encourages high performance, collaboration, agility and accountability in the delivery of educational outcomes aligned with the </w:t>
      </w:r>
      <w:proofErr w:type="gramStart"/>
      <w:r>
        <w:t>division’s</w:t>
      </w:r>
      <w:proofErr w:type="gramEnd"/>
      <w:r>
        <w:t xml:space="preserve"> and Department’s strategy. Model and promote a strong risk culture throughout the business unit in line with the department’s risk management and governance frameworks, including Work Health and Safety (WHS) risk management as outlined in the WHS policy.</w:t>
      </w:r>
    </w:p>
    <w:p w14:paraId="68867883" w14:textId="2DEA2707" w:rsidR="000346D2" w:rsidRDefault="00737C28" w:rsidP="00257C73">
      <w:pPr>
        <w:pStyle w:val="ListBullet"/>
        <w:spacing w:after="120" w:line="240" w:lineRule="auto"/>
        <w:ind w:left="357" w:hanging="357"/>
        <w:rPr>
          <w:lang w:eastAsia="en-AU"/>
        </w:rPr>
      </w:pPr>
      <w:r>
        <w:t>Lead, motivate and mentor the team, monitoring performance, fostering ongoing professional development and ensure staff have the knowledge and skills to achieve their work objectives in alignment with Department values.</w:t>
      </w:r>
    </w:p>
    <w:p w14:paraId="09CA1D79" w14:textId="77777777" w:rsidR="00057CB3" w:rsidRPr="00257C73" w:rsidRDefault="00057CB3" w:rsidP="00257C73">
      <w:pPr>
        <w:pStyle w:val="Heading2"/>
      </w:pPr>
      <w:r w:rsidRPr="00257C73">
        <w:t>Key</w:t>
      </w:r>
      <w:r w:rsidR="00E31CD3" w:rsidRPr="00257C73">
        <w:t xml:space="preserve"> </w:t>
      </w:r>
      <w:r w:rsidR="00043B92" w:rsidRPr="00257C73">
        <w:t>c</w:t>
      </w:r>
      <w:r w:rsidRPr="00257C73">
        <w:t>hallenges</w:t>
      </w:r>
    </w:p>
    <w:p w14:paraId="29D9634E" w14:textId="2C1375DA" w:rsidR="000346D2" w:rsidRDefault="00737C28" w:rsidP="00257C73">
      <w:pPr>
        <w:pStyle w:val="ListBullet"/>
        <w:spacing w:after="120" w:line="240" w:lineRule="auto"/>
        <w:ind w:left="357" w:hanging="357"/>
        <w:rPr>
          <w:lang w:eastAsia="en-AU"/>
        </w:rPr>
      </w:pPr>
      <w:r>
        <w:t>Ensuring optimal resourcing as well as department, stakeholder, and cross agency collaboration is in place to achieve outcomes and ensure alignment with industry and school needs.</w:t>
      </w:r>
    </w:p>
    <w:p w14:paraId="13C37198" w14:textId="019CF8DA" w:rsidR="000346D2" w:rsidRDefault="00737C28" w:rsidP="00257C73">
      <w:pPr>
        <w:pStyle w:val="ListBullet"/>
        <w:spacing w:after="120" w:line="240" w:lineRule="auto"/>
        <w:ind w:left="357" w:hanging="357"/>
        <w:rPr>
          <w:lang w:eastAsia="en-AU"/>
        </w:rPr>
      </w:pPr>
      <w:r>
        <w:t>Delivering a complex policy and projects in a high profile and politically sensitive environment where there are divergent community and industry perspectives, with multiple and high-profile stakeholders.</w:t>
      </w:r>
    </w:p>
    <w:p w14:paraId="591028F2" w14:textId="6D801E8F" w:rsidR="000346D2" w:rsidRDefault="00737C28" w:rsidP="00257C73">
      <w:pPr>
        <w:pStyle w:val="ListBullet"/>
        <w:spacing w:after="120" w:line="240" w:lineRule="auto"/>
        <w:ind w:left="357" w:hanging="357"/>
        <w:rPr>
          <w:lang w:eastAsia="en-AU"/>
        </w:rPr>
      </w:pPr>
      <w:r>
        <w:t>Anticipating and responding to challenges which may impede effective delivery against strategic objectives, including identifying mechanisms to mitigate risks.</w:t>
      </w:r>
    </w:p>
    <w:p w14:paraId="5BFFBF4D" w14:textId="77777777" w:rsidR="00057CB3" w:rsidRPr="00257C73" w:rsidRDefault="00043B92" w:rsidP="00257C73">
      <w:pPr>
        <w:pStyle w:val="Heading2"/>
      </w:pPr>
      <w:r w:rsidRPr="00257C73">
        <w:t>Key r</w:t>
      </w:r>
      <w:r w:rsidR="00057CB3" w:rsidRPr="00257C73">
        <w:t>elationships</w:t>
      </w:r>
    </w:p>
    <w:p w14:paraId="7D5AE2AE"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913608" w:rsidRPr="00C978B9" w14:paraId="1C9FE8D6" w14:textId="77777777" w:rsidTr="03CE5C4D">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22B73B21" w14:textId="77777777" w:rsidR="00057CB3" w:rsidRPr="00C978B9" w:rsidRDefault="00057CB3" w:rsidP="00803E47">
            <w:pPr>
              <w:pStyle w:val="TableTextWhite0"/>
            </w:pPr>
            <w:r w:rsidRPr="00C978B9">
              <w:t>Who</w:t>
            </w:r>
          </w:p>
        </w:tc>
        <w:tc>
          <w:tcPr>
            <w:tcW w:w="6946" w:type="dxa"/>
            <w:shd w:val="clear" w:color="auto" w:fill="752F8A"/>
          </w:tcPr>
          <w:p w14:paraId="6A6415A9" w14:textId="2BE949B4" w:rsidR="00057CB3" w:rsidRPr="00C978B9" w:rsidRDefault="00057CB3" w:rsidP="00803E47">
            <w:pPr>
              <w:pStyle w:val="TableTextWhite0"/>
            </w:pPr>
            <w:r w:rsidRPr="00C978B9">
              <w:t>Why</w:t>
            </w:r>
          </w:p>
        </w:tc>
      </w:tr>
      <w:tr w:rsidR="0002436B" w:rsidRPr="00C978B9" w14:paraId="0758BA57" w14:textId="77777777" w:rsidTr="00257C73">
        <w:trPr>
          <w:cantSplit/>
        </w:trPr>
        <w:tc>
          <w:tcPr>
            <w:tcW w:w="0" w:type="dxa"/>
            <w:tcBorders>
              <w:bottom w:val="single" w:sz="4" w:space="0" w:color="auto"/>
            </w:tcBorders>
          </w:tcPr>
          <w:p w14:paraId="3DB4178F" w14:textId="77777777" w:rsidR="0002436B" w:rsidRPr="00561A64" w:rsidRDefault="00596C1A" w:rsidP="00A15CDB">
            <w:pPr>
              <w:pStyle w:val="TableText"/>
            </w:pPr>
            <w:bookmarkStart w:id="2" w:name="InternalRelationships"/>
            <w:r w:rsidRPr="00561A64">
              <w:t>Deputy Secretary/Executive Director</w:t>
            </w:r>
          </w:p>
        </w:tc>
        <w:tc>
          <w:tcPr>
            <w:tcW w:w="6946" w:type="dxa"/>
            <w:tcBorders>
              <w:bottom w:val="single" w:sz="4" w:space="0" w:color="auto"/>
            </w:tcBorders>
          </w:tcPr>
          <w:p w14:paraId="40F89D2B" w14:textId="70F1E8A3" w:rsidR="000346D2" w:rsidRPr="00561A64" w:rsidRDefault="00737C28" w:rsidP="00257C73">
            <w:pPr>
              <w:pStyle w:val="ListBullet"/>
              <w:rPr>
                <w:lang w:eastAsia="en-AU"/>
              </w:rPr>
            </w:pPr>
            <w:r w:rsidRPr="03CE5C4D">
              <w:rPr>
                <w:sz w:val="20"/>
              </w:rPr>
              <w:t>Provide high level strategic and authoritative advice and recommendations to influence and inform strategic decisions and initiatives.</w:t>
            </w:r>
          </w:p>
          <w:p w14:paraId="1CB25AC2" w14:textId="1F96A13E" w:rsidR="000346D2" w:rsidRPr="00561A64" w:rsidRDefault="00737C28" w:rsidP="00257C73">
            <w:pPr>
              <w:pStyle w:val="ListBullet"/>
              <w:rPr>
                <w:lang w:eastAsia="en-AU"/>
              </w:rPr>
            </w:pPr>
            <w:r w:rsidRPr="03CE5C4D">
              <w:rPr>
                <w:sz w:val="20"/>
              </w:rPr>
              <w:t>Escalate issues and seek advice, support and direction as required</w:t>
            </w:r>
          </w:p>
          <w:p w14:paraId="015079AE" w14:textId="2C1D0064" w:rsidR="000346D2" w:rsidRPr="00257C73" w:rsidRDefault="00737C28" w:rsidP="00257C73">
            <w:pPr>
              <w:pStyle w:val="ListBullet"/>
              <w:rPr>
                <w:sz w:val="20"/>
                <w:lang w:eastAsia="en-AU"/>
              </w:rPr>
            </w:pPr>
            <w:r w:rsidRPr="00257C73">
              <w:rPr>
                <w:sz w:val="20"/>
              </w:rPr>
              <w:t>Report on progress towards business objectives and discuss future directions.</w:t>
            </w:r>
          </w:p>
        </w:tc>
      </w:tr>
      <w:tr w:rsidR="0002436B" w:rsidRPr="00C978B9" w14:paraId="493702C4" w14:textId="77777777" w:rsidTr="00257C73">
        <w:trPr>
          <w:cantSplit/>
        </w:trPr>
        <w:tc>
          <w:tcPr>
            <w:tcW w:w="0" w:type="dxa"/>
            <w:tcBorders>
              <w:bottom w:val="single" w:sz="4" w:space="0" w:color="auto"/>
            </w:tcBorders>
          </w:tcPr>
          <w:p w14:paraId="71F162F0" w14:textId="77777777" w:rsidR="0002436B" w:rsidRPr="00561A64" w:rsidRDefault="00596C1A" w:rsidP="00A15CDB">
            <w:pPr>
              <w:pStyle w:val="TableText"/>
            </w:pPr>
            <w:r w:rsidRPr="00561A64">
              <w:lastRenderedPageBreak/>
              <w:t>Directors</w:t>
            </w:r>
          </w:p>
        </w:tc>
        <w:tc>
          <w:tcPr>
            <w:tcW w:w="6946" w:type="dxa"/>
            <w:tcBorders>
              <w:bottom w:val="single" w:sz="4" w:space="0" w:color="auto"/>
            </w:tcBorders>
          </w:tcPr>
          <w:p w14:paraId="546D7388" w14:textId="67B384FC" w:rsidR="000346D2" w:rsidRPr="00561A64" w:rsidRDefault="00737C28" w:rsidP="00257C73">
            <w:pPr>
              <w:pStyle w:val="ListBullet"/>
              <w:rPr>
                <w:lang w:eastAsia="en-AU"/>
              </w:rPr>
            </w:pPr>
            <w:r w:rsidRPr="03CE5C4D">
              <w:rPr>
                <w:sz w:val="20"/>
              </w:rPr>
              <w:t>Develop strategic relationships to collaborate and provide direction and advice to influence decisions and support initiatives to deliver on performance objectives.</w:t>
            </w:r>
          </w:p>
          <w:p w14:paraId="05F5FEA7" w14:textId="349B05E4" w:rsidR="000346D2" w:rsidRPr="00561A64" w:rsidRDefault="00737C28" w:rsidP="00257C73">
            <w:pPr>
              <w:pStyle w:val="ListBullet"/>
              <w:rPr>
                <w:lang w:eastAsia="en-AU"/>
              </w:rPr>
            </w:pPr>
            <w:r w:rsidRPr="03CE5C4D">
              <w:rPr>
                <w:sz w:val="20"/>
              </w:rPr>
              <w:t>Provide high level strategic and authoritative advice and recommendations to influence and inform strategic decisions and initiatives.</w:t>
            </w:r>
          </w:p>
        </w:tc>
      </w:tr>
      <w:tr w:rsidR="0002436B" w:rsidRPr="00C978B9" w14:paraId="7E67C1D1" w14:textId="77777777" w:rsidTr="00257C73">
        <w:trPr>
          <w:cantSplit/>
        </w:trPr>
        <w:tc>
          <w:tcPr>
            <w:tcW w:w="0" w:type="dxa"/>
            <w:tcBorders>
              <w:bottom w:val="single" w:sz="4" w:space="0" w:color="auto"/>
            </w:tcBorders>
          </w:tcPr>
          <w:p w14:paraId="5E71F896" w14:textId="77777777" w:rsidR="0002436B" w:rsidRPr="00561A64" w:rsidRDefault="00596C1A" w:rsidP="00A15CDB">
            <w:pPr>
              <w:pStyle w:val="TableText"/>
            </w:pPr>
            <w:r w:rsidRPr="00561A64">
              <w:t>Reporting Staff</w:t>
            </w:r>
          </w:p>
        </w:tc>
        <w:tc>
          <w:tcPr>
            <w:tcW w:w="6946" w:type="dxa"/>
            <w:tcBorders>
              <w:bottom w:val="single" w:sz="4" w:space="0" w:color="auto"/>
            </w:tcBorders>
          </w:tcPr>
          <w:p w14:paraId="555A7519" w14:textId="1866F8CA" w:rsidR="000346D2" w:rsidRPr="00561A64" w:rsidRDefault="00737C28" w:rsidP="00257C73">
            <w:pPr>
              <w:pStyle w:val="ListBullet"/>
              <w:rPr>
                <w:lang w:eastAsia="en-AU"/>
              </w:rPr>
            </w:pPr>
            <w:r w:rsidRPr="03CE5C4D">
              <w:rPr>
                <w:sz w:val="20"/>
              </w:rPr>
              <w:t>Lead, direct and manage performance.</w:t>
            </w:r>
          </w:p>
          <w:p w14:paraId="0A4B1B6C" w14:textId="1D40E436" w:rsidR="000346D2" w:rsidRPr="00561A64" w:rsidRDefault="00737C28" w:rsidP="00257C73">
            <w:pPr>
              <w:pStyle w:val="ListBullet"/>
              <w:rPr>
                <w:lang w:eastAsia="en-AU"/>
              </w:rPr>
            </w:pPr>
            <w:r w:rsidRPr="03CE5C4D">
              <w:rPr>
                <w:sz w:val="20"/>
              </w:rPr>
              <w:t>Encourage idea sharing and collaboration to develop and deliver efficient and effective service delivery and support the achievement of Division objectives.</w:t>
            </w:r>
          </w:p>
        </w:tc>
      </w:tr>
      <w:tr w:rsidR="0002436B" w:rsidRPr="00C978B9" w14:paraId="17261FB3" w14:textId="77777777" w:rsidTr="00257C73">
        <w:trPr>
          <w:cantSplit/>
        </w:trPr>
        <w:tc>
          <w:tcPr>
            <w:tcW w:w="0" w:type="dxa"/>
            <w:tcBorders>
              <w:bottom w:val="single" w:sz="4" w:space="0" w:color="auto"/>
            </w:tcBorders>
          </w:tcPr>
          <w:p w14:paraId="6D8368FB" w14:textId="77777777" w:rsidR="0002436B" w:rsidRPr="00561A64" w:rsidRDefault="00596C1A" w:rsidP="00A15CDB">
            <w:pPr>
              <w:pStyle w:val="TableText"/>
            </w:pPr>
            <w:r w:rsidRPr="00561A64">
              <w:t>Division staff</w:t>
            </w:r>
          </w:p>
        </w:tc>
        <w:tc>
          <w:tcPr>
            <w:tcW w:w="6946" w:type="dxa"/>
            <w:tcBorders>
              <w:bottom w:val="single" w:sz="4" w:space="0" w:color="auto"/>
            </w:tcBorders>
          </w:tcPr>
          <w:p w14:paraId="655F6156" w14:textId="77777777" w:rsidR="000346D2" w:rsidRPr="00561A64" w:rsidRDefault="00737C28" w:rsidP="00257C73">
            <w:pPr>
              <w:pStyle w:val="ListBullet"/>
              <w:rPr>
                <w:lang w:eastAsia="en-AU"/>
              </w:rPr>
            </w:pPr>
            <w:r w:rsidRPr="03CE5C4D">
              <w:rPr>
                <w:sz w:val="20"/>
              </w:rPr>
              <w:t>Work in collaboration to ensure the seamless planning, scoping and delivery of ongoing arrangements and fit for purpose high quality services and solutions.</w:t>
            </w:r>
          </w:p>
        </w:tc>
      </w:tr>
      <w:tr w:rsidR="0002436B" w:rsidRPr="00C978B9" w14:paraId="127A4015" w14:textId="77777777" w:rsidTr="00257C73">
        <w:trPr>
          <w:cantSplit/>
        </w:trPr>
        <w:tc>
          <w:tcPr>
            <w:tcW w:w="0" w:type="dxa"/>
            <w:tcBorders>
              <w:bottom w:val="single" w:sz="4" w:space="0" w:color="auto"/>
            </w:tcBorders>
          </w:tcPr>
          <w:p w14:paraId="2C9AC861" w14:textId="77777777" w:rsidR="0002436B" w:rsidRPr="00561A64" w:rsidRDefault="00596C1A" w:rsidP="00A15CDB">
            <w:pPr>
              <w:pStyle w:val="TableText"/>
            </w:pPr>
            <w:r w:rsidRPr="00561A64">
              <w:t>Department staff</w:t>
            </w:r>
          </w:p>
        </w:tc>
        <w:tc>
          <w:tcPr>
            <w:tcW w:w="6946" w:type="dxa"/>
            <w:tcBorders>
              <w:bottom w:val="single" w:sz="4" w:space="0" w:color="auto"/>
            </w:tcBorders>
          </w:tcPr>
          <w:p w14:paraId="49060D7A" w14:textId="787C7D08" w:rsidR="000346D2" w:rsidRPr="00561A64" w:rsidRDefault="00737C28" w:rsidP="00257C73">
            <w:pPr>
              <w:pStyle w:val="ListBullet"/>
              <w:rPr>
                <w:lang w:eastAsia="en-AU"/>
              </w:rPr>
            </w:pPr>
            <w:r w:rsidRPr="03CE5C4D">
              <w:rPr>
                <w:sz w:val="20"/>
              </w:rPr>
              <w:t>Develop and maintain effective working relationships and open channels of communication across the Department</w:t>
            </w:r>
            <w:r w:rsidR="231D3070" w:rsidRPr="03CE5C4D">
              <w:rPr>
                <w:sz w:val="20"/>
              </w:rPr>
              <w:t>, including NSW Public Schools</w:t>
            </w:r>
          </w:p>
          <w:p w14:paraId="083FCBCE" w14:textId="2AA510A8" w:rsidR="000346D2" w:rsidRPr="00561A64" w:rsidRDefault="00737C28" w:rsidP="00257C73">
            <w:pPr>
              <w:pStyle w:val="ListBullet"/>
              <w:rPr>
                <w:lang w:eastAsia="en-AU"/>
              </w:rPr>
            </w:pPr>
            <w:r w:rsidRPr="03CE5C4D">
              <w:rPr>
                <w:sz w:val="20"/>
              </w:rPr>
              <w:t>Consult and liaise as appropriate to develop integrated business service solutions concerning the Division.</w:t>
            </w:r>
          </w:p>
        </w:tc>
      </w:tr>
    </w:tbl>
    <w:bookmarkEnd w:id="2"/>
    <w:p w14:paraId="76F9197A"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913608" w:rsidRPr="00C978B9" w14:paraId="4A694203" w14:textId="77777777" w:rsidTr="03CE5C4D">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752F8A"/>
          </w:tcPr>
          <w:p w14:paraId="4D5351D5" w14:textId="4EC9F6DF" w:rsidR="00C34914" w:rsidRPr="00913608" w:rsidRDefault="00C34914" w:rsidP="00257C73">
            <w:pPr>
              <w:pStyle w:val="TableTextWhite0"/>
            </w:pPr>
            <w:r w:rsidRPr="00C978B9">
              <w:t>Who</w:t>
            </w:r>
          </w:p>
        </w:tc>
        <w:tc>
          <w:tcPr>
            <w:tcW w:w="6946" w:type="dxa"/>
            <w:shd w:val="clear" w:color="auto" w:fill="752F8A"/>
          </w:tcPr>
          <w:p w14:paraId="1077439B" w14:textId="77777777" w:rsidR="00C34914" w:rsidRPr="00913608" w:rsidRDefault="00C34914" w:rsidP="00257C73">
            <w:pPr>
              <w:pStyle w:val="TableTextWhite0"/>
            </w:pPr>
            <w:r w:rsidRPr="00C978B9">
              <w:t>Why</w:t>
            </w:r>
          </w:p>
        </w:tc>
      </w:tr>
      <w:tr w:rsidR="00C34914" w:rsidRPr="00C978B9" w14:paraId="2B9C0406" w14:textId="77777777" w:rsidTr="00257C73">
        <w:trPr>
          <w:cantSplit/>
        </w:trPr>
        <w:tc>
          <w:tcPr>
            <w:tcW w:w="0" w:type="dxa"/>
            <w:tcBorders>
              <w:bottom w:val="single" w:sz="4" w:space="0" w:color="auto"/>
            </w:tcBorders>
          </w:tcPr>
          <w:p w14:paraId="4316497A" w14:textId="77777777" w:rsidR="00C34914" w:rsidRPr="00257C73" w:rsidRDefault="00596C1A" w:rsidP="003E0D69">
            <w:pPr>
              <w:pStyle w:val="TableText"/>
            </w:pPr>
            <w:bookmarkStart w:id="3" w:name="ExternalRelationships"/>
            <w:r w:rsidRPr="00561A64">
              <w:t>NSW government departments, the Commonwealth, other government state and territory education departments and non-government education stakeholders.</w:t>
            </w:r>
          </w:p>
        </w:tc>
        <w:tc>
          <w:tcPr>
            <w:tcW w:w="6946" w:type="dxa"/>
            <w:tcBorders>
              <w:bottom w:val="single" w:sz="4" w:space="0" w:color="auto"/>
            </w:tcBorders>
          </w:tcPr>
          <w:p w14:paraId="490DA5BC" w14:textId="52A4F284" w:rsidR="000346D2" w:rsidRPr="00257C73" w:rsidRDefault="00737C28" w:rsidP="00257C73">
            <w:pPr>
              <w:pStyle w:val="ListBullet"/>
            </w:pPr>
            <w:r w:rsidRPr="03CE5C4D">
              <w:rPr>
                <w:sz w:val="20"/>
              </w:rPr>
              <w:t>Build and manage collaborative relationships to exchange information and advocate the Department's vision for early childhood, skills and school outcomes and guide close cooperative ties at a high level to advance the interests of the NSW government.</w:t>
            </w:r>
          </w:p>
        </w:tc>
      </w:tr>
      <w:tr w:rsidR="00C34914" w:rsidRPr="00C978B9" w14:paraId="2D08DABE" w14:textId="77777777" w:rsidTr="00257C73">
        <w:trPr>
          <w:cantSplit/>
        </w:trPr>
        <w:tc>
          <w:tcPr>
            <w:tcW w:w="0" w:type="dxa"/>
            <w:tcBorders>
              <w:bottom w:val="single" w:sz="4" w:space="0" w:color="auto"/>
            </w:tcBorders>
          </w:tcPr>
          <w:p w14:paraId="1B533525" w14:textId="77777777" w:rsidR="00C34914" w:rsidRPr="00561A64" w:rsidRDefault="00596C1A" w:rsidP="003E0D69">
            <w:pPr>
              <w:pStyle w:val="TableText"/>
            </w:pPr>
            <w:r w:rsidRPr="00561A64">
              <w:t>Other NSW Government Agencies</w:t>
            </w:r>
          </w:p>
        </w:tc>
        <w:tc>
          <w:tcPr>
            <w:tcW w:w="6946" w:type="dxa"/>
            <w:tcBorders>
              <w:bottom w:val="single" w:sz="4" w:space="0" w:color="auto"/>
            </w:tcBorders>
          </w:tcPr>
          <w:p w14:paraId="622A938C" w14:textId="3E1F4F61" w:rsidR="000346D2" w:rsidRPr="00561A64" w:rsidRDefault="00737C28" w:rsidP="00257C73">
            <w:pPr>
              <w:pStyle w:val="ListBullet"/>
              <w:rPr>
                <w:lang w:eastAsia="en-AU"/>
              </w:rPr>
            </w:pPr>
            <w:r w:rsidRPr="03CE5C4D">
              <w:rPr>
                <w:sz w:val="20"/>
              </w:rPr>
              <w:t>Establish effective networks to enable performance benchmarking, monitor industry trends, maintain currency, and collaborate on common responses to emerging and future issues</w:t>
            </w:r>
          </w:p>
          <w:p w14:paraId="166B4A2A" w14:textId="1F62886A" w:rsidR="000346D2" w:rsidRPr="00561A64" w:rsidRDefault="00737C28" w:rsidP="00257C73">
            <w:pPr>
              <w:pStyle w:val="ListBullet"/>
              <w:rPr>
                <w:lang w:eastAsia="en-AU"/>
              </w:rPr>
            </w:pPr>
            <w:r w:rsidRPr="03CE5C4D">
              <w:rPr>
                <w:sz w:val="20"/>
              </w:rPr>
              <w:t>Leverage continuous improvements in planning approaches, tools or processes</w:t>
            </w:r>
          </w:p>
        </w:tc>
      </w:tr>
      <w:tr w:rsidR="03CE5C4D" w14:paraId="5E6772A5" w14:textId="77777777" w:rsidTr="00257C73">
        <w:trPr>
          <w:cantSplit/>
          <w:trHeight w:val="300"/>
        </w:trPr>
        <w:tc>
          <w:tcPr>
            <w:tcW w:w="3601" w:type="dxa"/>
            <w:tcBorders>
              <w:top w:val="single" w:sz="6" w:space="0" w:color="auto"/>
              <w:left w:val="nil"/>
              <w:bottom w:val="single" w:sz="6" w:space="0" w:color="auto"/>
              <w:right w:val="nil"/>
            </w:tcBorders>
            <w:tcMar>
              <w:left w:w="45" w:type="dxa"/>
            </w:tcMar>
          </w:tcPr>
          <w:p w14:paraId="4DD3628A" w14:textId="254C38CF" w:rsidR="03CE5C4D" w:rsidRPr="004B6B7F" w:rsidRDefault="03CE5C4D" w:rsidP="00257C73">
            <w:pPr>
              <w:pStyle w:val="TableText"/>
            </w:pPr>
            <w:r w:rsidRPr="004B6B7F">
              <w:t xml:space="preserve">Employers via Regional Industry Education Partnerships (RIEP) and Education Pathways Program (EPP) </w:t>
            </w:r>
          </w:p>
        </w:tc>
        <w:tc>
          <w:tcPr>
            <w:tcW w:w="6946" w:type="dxa"/>
            <w:tcBorders>
              <w:top w:val="single" w:sz="6" w:space="0" w:color="auto"/>
              <w:left w:val="nil"/>
              <w:bottom w:val="single" w:sz="6" w:space="0" w:color="auto"/>
              <w:right w:val="nil"/>
            </w:tcBorders>
            <w:tcMar>
              <w:left w:w="45" w:type="dxa"/>
            </w:tcMar>
          </w:tcPr>
          <w:p w14:paraId="5B4A30FF" w14:textId="3AB96665" w:rsidR="03CE5C4D" w:rsidRPr="004B6B7F" w:rsidRDefault="03CE5C4D" w:rsidP="00257C73">
            <w:pPr>
              <w:pStyle w:val="ListBullet"/>
              <w:rPr>
                <w:sz w:val="20"/>
              </w:rPr>
            </w:pPr>
            <w:r w:rsidRPr="004B6B7F">
              <w:rPr>
                <w:sz w:val="20"/>
              </w:rPr>
              <w:t>Build and manage collaborative relationships to strengthen opportunities for students and adult learners.</w:t>
            </w:r>
          </w:p>
        </w:tc>
      </w:tr>
    </w:tbl>
    <w:bookmarkEnd w:id="3"/>
    <w:p w14:paraId="47BC6851" w14:textId="77777777" w:rsidR="00057CB3" w:rsidRPr="00C978B9" w:rsidRDefault="0002436B" w:rsidP="000C453F">
      <w:pPr>
        <w:pStyle w:val="Heading2"/>
      </w:pPr>
      <w:r w:rsidRPr="00C978B9">
        <w:t xml:space="preserve">Role </w:t>
      </w:r>
      <w:r w:rsidR="00043B92">
        <w:t>d</w:t>
      </w:r>
      <w:r w:rsidRPr="00C978B9">
        <w:t>imensions</w:t>
      </w:r>
    </w:p>
    <w:p w14:paraId="21FAB53B" w14:textId="77777777" w:rsidR="0002436B" w:rsidRDefault="001D133A" w:rsidP="00257C73">
      <w:pPr>
        <w:pStyle w:val="Heading3"/>
      </w:pPr>
      <w:r w:rsidRPr="00C978B9">
        <w:t>Decision making</w:t>
      </w:r>
    </w:p>
    <w:p w14:paraId="2A076F0D" w14:textId="426C087A" w:rsidR="00BD7587" w:rsidRPr="007523A5" w:rsidRDefault="00A55204" w:rsidP="00BD7587">
      <w:pPr>
        <w:rPr>
          <w:rFonts w:cs="Arial"/>
          <w:szCs w:val="22"/>
        </w:rPr>
      </w:pPr>
      <w:bookmarkStart w:id="4" w:name="_Hlk17372642"/>
      <w:r>
        <w:t>This role is accountable for the performance of the Careers Programs function and the achievement of the divisions and Department’s objectives.</w:t>
      </w:r>
    </w:p>
    <w:bookmarkEnd w:id="4"/>
    <w:p w14:paraId="7A3C1EA9" w14:textId="77777777" w:rsidR="001D133A" w:rsidRDefault="001D133A" w:rsidP="00257C73">
      <w:pPr>
        <w:pStyle w:val="Heading3"/>
      </w:pPr>
      <w:r w:rsidRPr="00C978B9">
        <w:t>Reporting line</w:t>
      </w:r>
    </w:p>
    <w:p w14:paraId="6F712A89" w14:textId="73CDCEAD" w:rsidR="00E91D2A" w:rsidRPr="00257C73" w:rsidRDefault="00A55204" w:rsidP="001D133A">
      <w:pPr>
        <w:rPr>
          <w:rFonts w:eastAsiaTheme="minorEastAsia" w:cstheme="minorBidi"/>
          <w:szCs w:val="22"/>
          <w:lang w:val="en-US"/>
        </w:rPr>
      </w:pPr>
      <w:r w:rsidRPr="00257C73">
        <w:t xml:space="preserve">The role reports to Executive Director, Skills and </w:t>
      </w:r>
      <w:r>
        <w:t>Workforce Programs.</w:t>
      </w:r>
    </w:p>
    <w:p w14:paraId="6379AE65" w14:textId="77777777" w:rsidR="001D133A" w:rsidRDefault="001D133A" w:rsidP="00257C73">
      <w:pPr>
        <w:pStyle w:val="Heading3"/>
      </w:pPr>
      <w:r w:rsidRPr="00C978B9">
        <w:t>Direct reports</w:t>
      </w:r>
    </w:p>
    <w:p w14:paraId="4E2456CC" w14:textId="397EAB00" w:rsidR="001D133A" w:rsidRPr="00C978B9" w:rsidRDefault="00A55204" w:rsidP="001D133A">
      <w:r>
        <w:t>This role has 8 direct reports</w:t>
      </w:r>
    </w:p>
    <w:p w14:paraId="63229E7C" w14:textId="77777777" w:rsidR="001D133A" w:rsidRDefault="001D133A" w:rsidP="00257C73">
      <w:pPr>
        <w:pStyle w:val="Heading3"/>
      </w:pPr>
      <w:r w:rsidRPr="00C978B9">
        <w:lastRenderedPageBreak/>
        <w:t>Budget/Expenditure</w:t>
      </w:r>
    </w:p>
    <w:p w14:paraId="4226D4BC" w14:textId="11CA43EC" w:rsidR="005505E4" w:rsidRDefault="0EE2FE67" w:rsidP="00257C73">
      <w:pPr>
        <w:spacing w:after="120"/>
      </w:pPr>
      <w:r>
        <w:t>Budget will be as per budget allocation and delegations</w:t>
      </w:r>
      <w:r w:rsidR="00561A64">
        <w:t>.</w:t>
      </w:r>
    </w:p>
    <w:p w14:paraId="2187D84D" w14:textId="6BEE86C3" w:rsidR="008930B6" w:rsidRPr="00B21C0B" w:rsidRDefault="008930B6" w:rsidP="00257C73">
      <w:pPr>
        <w:tabs>
          <w:tab w:val="left" w:pos="2925"/>
        </w:tabs>
        <w:spacing w:after="120"/>
      </w:pPr>
      <w:r w:rsidRPr="00B21C0B">
        <w:t>The role has a financial delegation of up to $</w:t>
      </w:r>
      <w:r w:rsidR="00BF416E" w:rsidRPr="00B21C0B">
        <w:t>50</w:t>
      </w:r>
      <w:r w:rsidRPr="00B21C0B">
        <w:t xml:space="preserve">0,000. </w:t>
      </w:r>
    </w:p>
    <w:p w14:paraId="66BC1A65" w14:textId="77777777" w:rsidR="00911D8D" w:rsidRPr="00913608" w:rsidRDefault="00911D8D" w:rsidP="00257C73">
      <w:pPr>
        <w:pStyle w:val="Heading2"/>
        <w:rPr>
          <w:rStyle w:val="Heading1Char"/>
          <w:kern w:val="0"/>
          <w:sz w:val="26"/>
        </w:rPr>
      </w:pPr>
      <w:bookmarkStart w:id="5" w:name="_Hlk40707470"/>
      <w:r w:rsidRPr="00913608">
        <w:rPr>
          <w:rStyle w:val="Heading1Char"/>
          <w:b/>
          <w:kern w:val="0"/>
          <w:sz w:val="26"/>
        </w:rPr>
        <w:t>Key knowledge and experience</w:t>
      </w:r>
    </w:p>
    <w:p w14:paraId="330FD208" w14:textId="179C758D" w:rsidR="00561A64" w:rsidRDefault="00737C28" w:rsidP="00257C73">
      <w:pPr>
        <w:pStyle w:val="ListBullet"/>
        <w:rPr>
          <w:lang w:eastAsia="en-AU"/>
        </w:rPr>
      </w:pPr>
      <w:r>
        <w:t>Demonstrated extensive experience at a senior level in the management of a large complex organisation.</w:t>
      </w:r>
    </w:p>
    <w:bookmarkEnd w:id="5"/>
    <w:p w14:paraId="5E15E16E" w14:textId="28917C68" w:rsidR="00561A64" w:rsidRPr="00561A64" w:rsidRDefault="00561A64" w:rsidP="00257C73">
      <w:pPr>
        <w:pStyle w:val="ListBullet"/>
      </w:pPr>
      <w:r w:rsidRPr="00257C73">
        <w:rPr>
          <w:rFonts w:cs="Arial"/>
          <w:szCs w:val="22"/>
        </w:rPr>
        <w:t>Knowledge of and commitment to implementing the Department’s</w:t>
      </w:r>
      <w:r w:rsidRPr="00257C73">
        <w:rPr>
          <w:rFonts w:cs="Arial"/>
          <w:color w:val="FF0000"/>
          <w:szCs w:val="22"/>
        </w:rPr>
        <w:t xml:space="preserve"> </w:t>
      </w:r>
      <w:hyperlink r:id="rId15" w:history="1">
        <w:r w:rsidRPr="00257C73">
          <w:rPr>
            <w:rStyle w:val="Hyperlink"/>
            <w:rFonts w:cs="Arial"/>
            <w:sz w:val="22"/>
            <w:szCs w:val="22"/>
          </w:rPr>
          <w:t>Aboriginal Education Policy</w:t>
        </w:r>
      </w:hyperlink>
      <w:r w:rsidRPr="00257C73">
        <w:rPr>
          <w:rFonts w:cs="Arial"/>
          <w:color w:val="FF0000"/>
          <w:szCs w:val="22"/>
        </w:rPr>
        <w:t xml:space="preserve"> </w:t>
      </w:r>
      <w:r w:rsidRPr="00257C73">
        <w:rPr>
          <w:rFonts w:cs="Arial"/>
          <w:szCs w:val="22"/>
        </w:rPr>
        <w:t>and upholding the</w:t>
      </w:r>
      <w:r w:rsidRPr="00257C73">
        <w:rPr>
          <w:rFonts w:cs="Arial"/>
          <w:color w:val="FF0000"/>
          <w:szCs w:val="22"/>
        </w:rPr>
        <w:t xml:space="preserve"> </w:t>
      </w:r>
      <w:hyperlink r:id="rId16" w:history="1">
        <w:r w:rsidRPr="00257C73">
          <w:rPr>
            <w:rStyle w:val="Hyperlink"/>
            <w:rFonts w:cs="Arial"/>
            <w:sz w:val="22"/>
            <w:szCs w:val="22"/>
          </w:rPr>
          <w:t>Department’s Partnership Agreement with the NSW AECG</w:t>
        </w:r>
      </w:hyperlink>
      <w:r w:rsidRPr="00257C73">
        <w:rPr>
          <w:rFonts w:cs="Arial"/>
          <w:color w:val="FF0000"/>
          <w:szCs w:val="22"/>
        </w:rPr>
        <w:t xml:space="preserve"> </w:t>
      </w:r>
      <w:r w:rsidRPr="00257C73">
        <w:rPr>
          <w:rFonts w:cs="Arial"/>
          <w:szCs w:val="22"/>
        </w:rPr>
        <w:t>and to ensure quality outcomes for Aboriginal people.</w:t>
      </w:r>
    </w:p>
    <w:p w14:paraId="0A4DC24A" w14:textId="77777777" w:rsidR="001D133A" w:rsidRPr="00257C73" w:rsidRDefault="001D133A" w:rsidP="00257C73">
      <w:pPr>
        <w:pStyle w:val="Heading2"/>
      </w:pPr>
      <w:r w:rsidRPr="00257C73">
        <w:t>Essential requir</w:t>
      </w:r>
      <w:r w:rsidR="00E31CD3" w:rsidRPr="00257C73">
        <w:t>e</w:t>
      </w:r>
      <w:r w:rsidRPr="00257C73">
        <w:t>ments</w:t>
      </w:r>
    </w:p>
    <w:p w14:paraId="64233958" w14:textId="77777777" w:rsidR="000346D2" w:rsidRDefault="00737C28" w:rsidP="00257C73">
      <w:pPr>
        <w:pStyle w:val="ListBullet"/>
        <w:spacing w:after="120" w:line="240" w:lineRule="auto"/>
        <w:ind w:left="357" w:hanging="357"/>
        <w:rPr>
          <w:lang w:eastAsia="en-AU"/>
        </w:rPr>
      </w:pPr>
      <w:r>
        <w:t>Appropriate tertiary qualifications in a relevant discipline such as policy, education, business, management, social sciences or communications, and/or equivalent knowledge and experience.</w:t>
      </w:r>
    </w:p>
    <w:p w14:paraId="1076D4EC" w14:textId="621FF808" w:rsidR="00C45CAA" w:rsidRDefault="00737C28" w:rsidP="00257C73">
      <w:pPr>
        <w:pStyle w:val="ListBullet"/>
        <w:spacing w:after="120" w:line="240" w:lineRule="auto"/>
        <w:ind w:left="357" w:hanging="357"/>
        <w:rPr>
          <w:lang w:eastAsia="en-AU"/>
        </w:rPr>
      </w:pPr>
      <w:r>
        <w:t>Demonstrated understanding of and commitment to the values of public education.</w:t>
      </w:r>
    </w:p>
    <w:p w14:paraId="7932572D"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259AAB98" w14:textId="77777777" w:rsidR="00561A64" w:rsidRPr="00561A64" w:rsidRDefault="00561A64" w:rsidP="00257C73">
      <w:pPr>
        <w:spacing w:after="120"/>
        <w:rPr>
          <w:szCs w:val="22"/>
        </w:rPr>
      </w:pPr>
      <w:r w:rsidRPr="00561A64">
        <w:rPr>
          <w:szCs w:val="22"/>
        </w:rPr>
        <w:t xml:space="preserve">The </w:t>
      </w:r>
      <w:hyperlink r:id="rId17" w:history="1">
        <w:r w:rsidRPr="00561A64">
          <w:rPr>
            <w:rStyle w:val="Hyperlink"/>
            <w:sz w:val="22"/>
            <w:szCs w:val="22"/>
          </w:rPr>
          <w:t>NSW public sector capability framework</w:t>
        </w:r>
      </w:hyperlink>
      <w:r w:rsidRPr="00561A64">
        <w:rPr>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5496AEC" w14:textId="17D81911" w:rsidR="00C45CAA" w:rsidRDefault="00561A64" w:rsidP="00561A64">
      <w:pPr>
        <w:spacing w:after="120"/>
      </w:pPr>
      <w:r w:rsidRPr="00561A64">
        <w:rPr>
          <w:szCs w:val="22"/>
        </w:rPr>
        <w:t xml:space="preserve">The capabilities are separated into </w:t>
      </w:r>
      <w:r w:rsidRPr="00561A64">
        <w:rPr>
          <w:b/>
          <w:szCs w:val="22"/>
        </w:rPr>
        <w:t>focus capabilities</w:t>
      </w:r>
      <w:r w:rsidRPr="00561A64">
        <w:rPr>
          <w:szCs w:val="22"/>
        </w:rPr>
        <w:t xml:space="preserve"> and </w:t>
      </w:r>
      <w:r w:rsidRPr="00561A64">
        <w:rPr>
          <w:b/>
          <w:szCs w:val="22"/>
        </w:rPr>
        <w:t>complementary capabilities</w:t>
      </w:r>
      <w:r w:rsidRPr="00561A64">
        <w:rPr>
          <w:szCs w:val="22"/>
        </w:rPr>
        <w:t>.</w:t>
      </w:r>
      <w:r w:rsidRPr="00175AAF">
        <w:t xml:space="preserve"> </w:t>
      </w:r>
    </w:p>
    <w:p w14:paraId="4325D267" w14:textId="77777777" w:rsidR="00C45CAA" w:rsidRPr="00257C73" w:rsidRDefault="00C45CAA" w:rsidP="00C45CAA">
      <w:pPr>
        <w:pStyle w:val="Heading1"/>
        <w:rPr>
          <w:sz w:val="26"/>
          <w:szCs w:val="26"/>
        </w:rPr>
      </w:pPr>
      <w:r w:rsidRPr="00257C73">
        <w:rPr>
          <w:sz w:val="26"/>
          <w:szCs w:val="26"/>
        </w:rPr>
        <w:t>Focus capabilities</w:t>
      </w:r>
    </w:p>
    <w:p w14:paraId="1D05A372" w14:textId="77777777" w:rsidR="00C45CAA" w:rsidRPr="00257C73" w:rsidRDefault="00C45CAA" w:rsidP="00C45CAA">
      <w:pPr>
        <w:pStyle w:val="PlainText"/>
        <w:spacing w:before="62" w:line="276" w:lineRule="auto"/>
        <w:rPr>
          <w:rFonts w:eastAsiaTheme="minorEastAsia"/>
          <w:sz w:val="22"/>
          <w:szCs w:val="22"/>
          <w:lang w:val="en-US"/>
        </w:rPr>
      </w:pPr>
      <w:r w:rsidRPr="00257C73">
        <w:rPr>
          <w:rFonts w:eastAsiaTheme="minorEastAsia"/>
          <w:i/>
          <w:sz w:val="22"/>
          <w:szCs w:val="22"/>
          <w:lang w:val="en-US"/>
        </w:rPr>
        <w:t>Focus capabilities</w:t>
      </w:r>
      <w:r w:rsidRPr="00257C73">
        <w:rPr>
          <w:rFonts w:eastAsiaTheme="minorEastAsia"/>
          <w:sz w:val="22"/>
          <w:szCs w:val="22"/>
          <w:lang w:val="en-US"/>
        </w:rPr>
        <w:t xml:space="preserve"> are the capabilities considered the most important for effective performance of the role. These capabilities will be assessed at recruitment. </w:t>
      </w:r>
    </w:p>
    <w:p w14:paraId="7C5C00B6" w14:textId="77777777" w:rsidR="00C45CAA" w:rsidRPr="00257C73" w:rsidRDefault="00C45CAA" w:rsidP="00C45CAA">
      <w:pPr>
        <w:pStyle w:val="PlainText"/>
        <w:spacing w:before="62" w:line="276" w:lineRule="auto"/>
        <w:rPr>
          <w:rFonts w:eastAsiaTheme="minorEastAsia"/>
          <w:sz w:val="22"/>
          <w:szCs w:val="22"/>
          <w:lang w:val="en-US"/>
        </w:rPr>
      </w:pPr>
      <w:r w:rsidRPr="00257C73">
        <w:rPr>
          <w:rFonts w:eastAsiaTheme="minorEastAsia"/>
          <w:sz w:val="22"/>
          <w:szCs w:val="22"/>
          <w:lang w:val="en-US"/>
        </w:rPr>
        <w:t xml:space="preserve">The focus capabilities for this role are shown below with a brief explanation of what each capability covers and the indicators describing the types of </w:t>
      </w:r>
      <w:proofErr w:type="spellStart"/>
      <w:r w:rsidRPr="00257C73">
        <w:rPr>
          <w:rFonts w:eastAsiaTheme="minorEastAsia"/>
          <w:sz w:val="22"/>
          <w:szCs w:val="22"/>
          <w:lang w:val="en-US"/>
        </w:rPr>
        <w:t>behaviours</w:t>
      </w:r>
      <w:proofErr w:type="spellEnd"/>
      <w:r w:rsidRPr="00257C73">
        <w:rPr>
          <w:rFonts w:eastAsiaTheme="minorEastAsia"/>
          <w:sz w:val="22"/>
          <w:szCs w:val="22"/>
          <w:lang w:val="en-US"/>
        </w:rPr>
        <w:t xml:space="preserve"> expected at each level.</w:t>
      </w:r>
    </w:p>
    <w:p w14:paraId="44140301" w14:textId="77777777" w:rsidR="00C45CAA" w:rsidRDefault="00C45CAA" w:rsidP="00561A64">
      <w:pPr>
        <w:spacing w:after="120"/>
      </w:pPr>
    </w:p>
    <w:p w14:paraId="34DA485A" w14:textId="77777777" w:rsidR="00D36168" w:rsidRDefault="00D36168" w:rsidP="00561A64">
      <w:pPr>
        <w:spacing w:after="120"/>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D36168" w:rsidRPr="00803E47" w14:paraId="3F6FE230" w14:textId="77777777" w:rsidTr="03CE5C4D">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1E0BA2C3" w14:textId="77777777" w:rsidR="00D36168" w:rsidRPr="00803E47" w:rsidRDefault="00D36168" w:rsidP="006972EF">
            <w:pPr>
              <w:pStyle w:val="TableTextWhite0"/>
              <w:keepNext/>
              <w:jc w:val="both"/>
            </w:pPr>
            <w:r w:rsidRPr="00051E80">
              <w:rPr>
                <w:sz w:val="24"/>
                <w:szCs w:val="24"/>
              </w:rPr>
              <w:lastRenderedPageBreak/>
              <w:t>FOCUS CAPABILITIES</w:t>
            </w:r>
          </w:p>
        </w:tc>
      </w:tr>
      <w:tr w:rsidR="00D36168" w:rsidRPr="00C978B9" w14:paraId="1D1E4F7D" w14:textId="77777777" w:rsidTr="03CE5C4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24532FD" w14:textId="77777777" w:rsidR="00D36168" w:rsidRPr="00C978B9" w:rsidRDefault="00D36168" w:rsidP="006972E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3C1EECC" w14:textId="77777777" w:rsidR="00D36168" w:rsidRPr="00C978B9" w:rsidRDefault="00D36168" w:rsidP="006972EF">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71F2EE9C" w14:textId="77777777" w:rsidR="00D36168" w:rsidRDefault="00D36168" w:rsidP="006972EF">
            <w:pPr>
              <w:pStyle w:val="TableText"/>
              <w:keepNext/>
              <w:rPr>
                <w:b/>
              </w:rPr>
            </w:pPr>
          </w:p>
        </w:tc>
        <w:tc>
          <w:tcPr>
            <w:tcW w:w="4770" w:type="dxa"/>
            <w:tcBorders>
              <w:bottom w:val="single" w:sz="12" w:space="0" w:color="auto"/>
            </w:tcBorders>
            <w:shd w:val="clear" w:color="auto" w:fill="BCBEC0"/>
          </w:tcPr>
          <w:p w14:paraId="0FB8C319" w14:textId="77777777" w:rsidR="00D36168" w:rsidRDefault="00D36168" w:rsidP="006972EF">
            <w:pPr>
              <w:pStyle w:val="TableText"/>
              <w:keepNext/>
              <w:rPr>
                <w:b/>
              </w:rPr>
            </w:pPr>
            <w:r>
              <w:rPr>
                <w:b/>
              </w:rPr>
              <w:t>Behavioural indicators</w:t>
            </w:r>
          </w:p>
        </w:tc>
        <w:tc>
          <w:tcPr>
            <w:tcW w:w="1606" w:type="dxa"/>
            <w:tcBorders>
              <w:bottom w:val="single" w:sz="12" w:space="0" w:color="auto"/>
            </w:tcBorders>
            <w:shd w:val="clear" w:color="auto" w:fill="BCBEC0"/>
          </w:tcPr>
          <w:p w14:paraId="3E214344" w14:textId="77777777" w:rsidR="00D36168" w:rsidRDefault="00D36168" w:rsidP="006972EF">
            <w:pPr>
              <w:pStyle w:val="TableText"/>
              <w:keepNext/>
              <w:jc w:val="both"/>
              <w:rPr>
                <w:b/>
              </w:rPr>
            </w:pPr>
            <w:r>
              <w:rPr>
                <w:b/>
              </w:rPr>
              <w:t xml:space="preserve">Level </w:t>
            </w:r>
          </w:p>
        </w:tc>
      </w:tr>
      <w:tr w:rsidR="00D36168" w:rsidRPr="00C978B9" w14:paraId="4E3D404A" w14:textId="77777777" w:rsidTr="03CE5C4D">
        <w:tc>
          <w:tcPr>
            <w:tcW w:w="1406" w:type="dxa"/>
            <w:tcBorders>
              <w:bottom w:val="single" w:sz="4" w:space="0" w:color="BCBEC0"/>
            </w:tcBorders>
          </w:tcPr>
          <w:p w14:paraId="2EDC2256" w14:textId="77777777" w:rsidR="00D36168" w:rsidRDefault="00D36168" w:rsidP="006972EF">
            <w:pPr>
              <w:keepNext/>
            </w:pPr>
          </w:p>
          <w:p w14:paraId="4E1E125C" w14:textId="77777777" w:rsidR="00D36168" w:rsidRPr="00C978B9" w:rsidRDefault="00D36168" w:rsidP="006972EF">
            <w:pPr>
              <w:keepNext/>
            </w:pPr>
            <w:r w:rsidRPr="00C978B9">
              <w:rPr>
                <w:noProof/>
                <w:lang w:eastAsia="en-AU"/>
              </w:rPr>
              <w:drawing>
                <wp:inline distT="0" distB="0" distL="0" distR="0" wp14:anchorId="14EFC454" wp14:editId="43C24F0A">
                  <wp:extent cx="848995" cy="848995"/>
                  <wp:effectExtent l="0" t="0" r="8255" b="8255"/>
                  <wp:docPr id="1067450923"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50923" name="personal-attributes.jpg" descr="A close-up of a sig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2B33A72" w14:textId="77777777" w:rsidR="00D36168" w:rsidRPr="00A8226F" w:rsidRDefault="00D36168" w:rsidP="006972EF">
            <w:pPr>
              <w:pStyle w:val="TableText"/>
              <w:keepNext/>
              <w:rPr>
                <w:b/>
              </w:rPr>
            </w:pPr>
            <w:r>
              <w:rPr>
                <w:b/>
              </w:rPr>
              <w:t>Display Resilience and Courage</w:t>
            </w:r>
          </w:p>
          <w:p w14:paraId="60D61E40" w14:textId="77777777" w:rsidR="00D36168" w:rsidRPr="00900CF5" w:rsidRDefault="00D36168" w:rsidP="006972EF">
            <w:pPr>
              <w:pStyle w:val="TableText"/>
              <w:keepNext/>
              <w:rPr>
                <w:color w:val="FF0000"/>
              </w:rPr>
            </w:pPr>
            <w:r>
              <w:t>Be open and honest, prepared to express your views, and willing to accept and commit to change</w:t>
            </w:r>
          </w:p>
        </w:tc>
        <w:tc>
          <w:tcPr>
            <w:tcW w:w="4770" w:type="dxa"/>
            <w:tcBorders>
              <w:bottom w:val="single" w:sz="4" w:space="0" w:color="BCBEC0"/>
            </w:tcBorders>
          </w:tcPr>
          <w:p w14:paraId="11535A64" w14:textId="77777777" w:rsidR="00D36168" w:rsidRPr="00B04C0D" w:rsidRDefault="00D36168" w:rsidP="03CE5C4D">
            <w:pPr>
              <w:pStyle w:val="TableBullet"/>
              <w:numPr>
                <w:ilvl w:val="0"/>
                <w:numId w:val="0"/>
              </w:numPr>
            </w:pPr>
            <w:r>
              <w:t>Remain composed and calm and act constructively in highly pressured and unpredictable environments</w:t>
            </w:r>
          </w:p>
          <w:p w14:paraId="45BF5956" w14:textId="77777777" w:rsidR="00D36168" w:rsidRPr="00B04C0D" w:rsidRDefault="00D36168" w:rsidP="03CE5C4D">
            <w:pPr>
              <w:pStyle w:val="TableBullet"/>
              <w:numPr>
                <w:ilvl w:val="0"/>
                <w:numId w:val="0"/>
              </w:numPr>
            </w:pPr>
            <w:r>
              <w:t>Give frank, honest advice in response to strong contrary views</w:t>
            </w:r>
          </w:p>
          <w:p w14:paraId="58D31C1F" w14:textId="77777777" w:rsidR="00D36168" w:rsidRPr="00B04C0D" w:rsidRDefault="00D36168" w:rsidP="03CE5C4D">
            <w:pPr>
              <w:pStyle w:val="TableBullet"/>
              <w:numPr>
                <w:ilvl w:val="0"/>
                <w:numId w:val="0"/>
              </w:numPr>
            </w:pPr>
            <w:r>
              <w:t>Accept criticism of own ideas and respond in a thoughtful and considered way</w:t>
            </w:r>
          </w:p>
          <w:p w14:paraId="35EAAFF9" w14:textId="77777777" w:rsidR="00D36168" w:rsidRPr="00B04C0D" w:rsidRDefault="00D36168" w:rsidP="03CE5C4D">
            <w:pPr>
              <w:pStyle w:val="TableBullet"/>
              <w:numPr>
                <w:ilvl w:val="0"/>
                <w:numId w:val="0"/>
              </w:numPr>
            </w:pPr>
            <w:r>
              <w:t>Welcome new challenges and persist in raising and working through novel and difficult issues</w:t>
            </w:r>
          </w:p>
          <w:p w14:paraId="076DADB7" w14:textId="77777777" w:rsidR="00D36168" w:rsidRPr="00900CF5" w:rsidRDefault="00D36168" w:rsidP="03CE5C4D">
            <w:pPr>
              <w:pStyle w:val="TableBullet"/>
              <w:numPr>
                <w:ilvl w:val="0"/>
                <w:numId w:val="0"/>
              </w:numPr>
            </w:pPr>
            <w:r>
              <w:t>Develop effective strategies and show decisiveness in dealing with emotionally charged situations and difficult or controversial issues</w:t>
            </w:r>
          </w:p>
        </w:tc>
        <w:tc>
          <w:tcPr>
            <w:tcW w:w="1606" w:type="dxa"/>
            <w:tcBorders>
              <w:bottom w:val="single" w:sz="4" w:space="0" w:color="BCBEC0"/>
            </w:tcBorders>
          </w:tcPr>
          <w:p w14:paraId="15ADF92F" w14:textId="77777777" w:rsidR="00D36168" w:rsidRPr="00900CF5" w:rsidRDefault="00D36168" w:rsidP="006972EF">
            <w:pPr>
              <w:pStyle w:val="TableBullet"/>
              <w:numPr>
                <w:ilvl w:val="0"/>
                <w:numId w:val="0"/>
              </w:numPr>
              <w:jc w:val="both"/>
              <w:rPr>
                <w:color w:val="FF0000"/>
              </w:rPr>
            </w:pPr>
            <w:r>
              <w:t>Advanced</w:t>
            </w:r>
          </w:p>
        </w:tc>
      </w:tr>
      <w:tr w:rsidR="00D36168" w:rsidRPr="00C978B9" w14:paraId="7A9570B9" w14:textId="77777777" w:rsidTr="03CE5C4D">
        <w:tc>
          <w:tcPr>
            <w:tcW w:w="1406" w:type="dxa"/>
            <w:tcBorders>
              <w:bottom w:val="single" w:sz="4" w:space="0" w:color="BCBEC0"/>
            </w:tcBorders>
          </w:tcPr>
          <w:p w14:paraId="1ED823E9" w14:textId="77777777" w:rsidR="00D36168" w:rsidRDefault="00D36168" w:rsidP="006972EF">
            <w:pPr>
              <w:keepNext/>
            </w:pPr>
          </w:p>
          <w:p w14:paraId="64E670FE" w14:textId="77777777" w:rsidR="00D36168" w:rsidRPr="00C978B9" w:rsidRDefault="00D36168" w:rsidP="006972EF">
            <w:pPr>
              <w:keepNext/>
            </w:pPr>
            <w:r w:rsidRPr="00C978B9">
              <w:rPr>
                <w:noProof/>
                <w:lang w:eastAsia="en-AU"/>
              </w:rPr>
              <w:drawing>
                <wp:inline distT="0" distB="0" distL="0" distR="0" wp14:anchorId="6507C11D" wp14:editId="7ABED2B8">
                  <wp:extent cx="854016" cy="854016"/>
                  <wp:effectExtent l="0" t="0" r="3810" b="3810"/>
                  <wp:docPr id="1926803495"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03495" name="relationships.jpg" descr="A close-up of a sig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789A7D2" w14:textId="77777777" w:rsidR="00D36168" w:rsidRPr="00A8226F" w:rsidRDefault="00D36168" w:rsidP="006972EF">
            <w:pPr>
              <w:pStyle w:val="TableText"/>
              <w:keepNext/>
              <w:rPr>
                <w:b/>
              </w:rPr>
            </w:pPr>
            <w:r>
              <w:rPr>
                <w:b/>
              </w:rPr>
              <w:t>Work Collaboratively</w:t>
            </w:r>
          </w:p>
          <w:p w14:paraId="76F8248A" w14:textId="77777777" w:rsidR="00D36168" w:rsidRPr="00900CF5" w:rsidRDefault="00D36168" w:rsidP="006972EF">
            <w:pPr>
              <w:pStyle w:val="TableText"/>
              <w:keepNext/>
              <w:rPr>
                <w:color w:val="FF0000"/>
              </w:rPr>
            </w:pPr>
            <w:r w:rsidRPr="00B04C0D">
              <w:t>Collaborate with others and value their contribution</w:t>
            </w:r>
          </w:p>
        </w:tc>
        <w:tc>
          <w:tcPr>
            <w:tcW w:w="4770" w:type="dxa"/>
            <w:tcBorders>
              <w:bottom w:val="single" w:sz="4" w:space="0" w:color="BCBEC0"/>
            </w:tcBorders>
          </w:tcPr>
          <w:p w14:paraId="289EA8B6" w14:textId="77777777" w:rsidR="00D36168" w:rsidRPr="00B04C0D" w:rsidRDefault="00D36168" w:rsidP="03CE5C4D">
            <w:pPr>
              <w:pStyle w:val="TableBullet"/>
              <w:numPr>
                <w:ilvl w:val="0"/>
                <w:numId w:val="0"/>
              </w:numPr>
            </w:pPr>
            <w:r>
              <w:t>Recognise outcomes achieved through effective collaboration between teams</w:t>
            </w:r>
          </w:p>
          <w:p w14:paraId="69BB1B37" w14:textId="77777777" w:rsidR="00D36168" w:rsidRPr="00B04C0D" w:rsidRDefault="00D36168" w:rsidP="03CE5C4D">
            <w:pPr>
              <w:pStyle w:val="TableBullet"/>
              <w:numPr>
                <w:ilvl w:val="0"/>
                <w:numId w:val="0"/>
              </w:numPr>
            </w:pPr>
            <w:r>
              <w:t>Build cooperation and overcome barriers to information sharing, communication and collaboration across the organisation and across government</w:t>
            </w:r>
          </w:p>
          <w:p w14:paraId="4A1009A9" w14:textId="77777777" w:rsidR="00D36168" w:rsidRPr="00B04C0D" w:rsidRDefault="00D36168" w:rsidP="03CE5C4D">
            <w:pPr>
              <w:pStyle w:val="TableBullet"/>
              <w:numPr>
                <w:ilvl w:val="0"/>
                <w:numId w:val="0"/>
              </w:numPr>
            </w:pPr>
            <w:r>
              <w:t>Facilitate opportunities to engage and collaborate with stakeholders to develop joint solutions</w:t>
            </w:r>
          </w:p>
          <w:p w14:paraId="644F7BD3" w14:textId="77777777" w:rsidR="00D36168" w:rsidRPr="00B04C0D" w:rsidRDefault="00D36168" w:rsidP="03CE5C4D">
            <w:pPr>
              <w:pStyle w:val="TableBullet"/>
              <w:numPr>
                <w:ilvl w:val="0"/>
                <w:numId w:val="0"/>
              </w:numPr>
            </w:pPr>
            <w:r>
              <w:t>Network extensively across government and organisations to increase collaboration</w:t>
            </w:r>
          </w:p>
          <w:p w14:paraId="584E28EA" w14:textId="77777777" w:rsidR="00D36168" w:rsidRPr="00B04C0D" w:rsidRDefault="00D36168" w:rsidP="03CE5C4D">
            <w:pPr>
              <w:pStyle w:val="TableBullet"/>
              <w:numPr>
                <w:ilvl w:val="0"/>
                <w:numId w:val="0"/>
              </w:numPr>
            </w:pPr>
            <w:r>
              <w:t>Encourage others to use appropriate collaboration approaches and tools, including digital technologies</w:t>
            </w:r>
          </w:p>
        </w:tc>
        <w:tc>
          <w:tcPr>
            <w:tcW w:w="1606" w:type="dxa"/>
            <w:tcBorders>
              <w:bottom w:val="single" w:sz="4" w:space="0" w:color="BCBEC0"/>
            </w:tcBorders>
          </w:tcPr>
          <w:p w14:paraId="49847BFD" w14:textId="77777777" w:rsidR="00D36168" w:rsidRPr="00900CF5" w:rsidRDefault="00D36168" w:rsidP="006972EF">
            <w:pPr>
              <w:pStyle w:val="TableBullet"/>
              <w:numPr>
                <w:ilvl w:val="0"/>
                <w:numId w:val="0"/>
              </w:numPr>
              <w:jc w:val="both"/>
              <w:rPr>
                <w:color w:val="FF0000"/>
              </w:rPr>
            </w:pPr>
            <w:r>
              <w:t>Advanced</w:t>
            </w:r>
          </w:p>
        </w:tc>
      </w:tr>
      <w:tr w:rsidR="00D36168" w:rsidRPr="00C978B9" w14:paraId="17A79480" w14:textId="77777777" w:rsidTr="03CE5C4D">
        <w:tc>
          <w:tcPr>
            <w:tcW w:w="1406" w:type="dxa"/>
            <w:tcBorders>
              <w:bottom w:val="single" w:sz="4" w:space="0" w:color="BCBEC0"/>
            </w:tcBorders>
          </w:tcPr>
          <w:p w14:paraId="521264EA" w14:textId="77777777" w:rsidR="00D36168" w:rsidRDefault="00D36168" w:rsidP="006972EF">
            <w:pPr>
              <w:keepNext/>
            </w:pPr>
          </w:p>
          <w:p w14:paraId="26B63AA7" w14:textId="77777777" w:rsidR="00D36168" w:rsidRPr="00C978B9" w:rsidRDefault="00D36168" w:rsidP="006972EF">
            <w:pPr>
              <w:keepNext/>
            </w:pPr>
            <w:r w:rsidRPr="00C978B9">
              <w:rPr>
                <w:noProof/>
                <w:lang w:eastAsia="en-AU"/>
              </w:rPr>
              <w:drawing>
                <wp:inline distT="0" distB="0" distL="0" distR="0" wp14:anchorId="0E16F0FA" wp14:editId="5EA13A4E">
                  <wp:extent cx="854015" cy="854015"/>
                  <wp:effectExtent l="0" t="0" r="3810" b="3810"/>
                  <wp:docPr id="936363504"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63504" name="results.jpg" descr="A green square with a check mark in i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37F4E3BF" w14:textId="77777777" w:rsidR="00D36168" w:rsidRPr="00A8226F" w:rsidRDefault="00D36168" w:rsidP="006972EF">
            <w:pPr>
              <w:pStyle w:val="TableText"/>
              <w:keepNext/>
              <w:rPr>
                <w:b/>
              </w:rPr>
            </w:pPr>
            <w:r>
              <w:rPr>
                <w:b/>
              </w:rPr>
              <w:t>Deliver Results</w:t>
            </w:r>
          </w:p>
          <w:p w14:paraId="48D1F060" w14:textId="77777777" w:rsidR="00D36168" w:rsidRPr="00900CF5" w:rsidRDefault="00D36168" w:rsidP="006972EF">
            <w:pPr>
              <w:pStyle w:val="TableText"/>
              <w:keepNext/>
              <w:rPr>
                <w:color w:val="FF0000"/>
              </w:rPr>
            </w:pPr>
            <w:r>
              <w:t>Achieve results through the efficient use of resources and a commitment to quality outcomes</w:t>
            </w:r>
          </w:p>
        </w:tc>
        <w:tc>
          <w:tcPr>
            <w:tcW w:w="4770" w:type="dxa"/>
            <w:tcBorders>
              <w:bottom w:val="single" w:sz="4" w:space="0" w:color="BCBEC0"/>
            </w:tcBorders>
          </w:tcPr>
          <w:p w14:paraId="38FF727C" w14:textId="77777777" w:rsidR="00D36168" w:rsidRPr="00936063" w:rsidRDefault="00D36168" w:rsidP="03CE5C4D">
            <w:pPr>
              <w:pStyle w:val="TableBullet"/>
              <w:numPr>
                <w:ilvl w:val="0"/>
                <w:numId w:val="0"/>
              </w:numPr>
            </w:pPr>
            <w:r>
              <w:t>Use own professional knowledge and the expertise of others to drive forward organisational and government objectives</w:t>
            </w:r>
          </w:p>
          <w:p w14:paraId="3AD7D032" w14:textId="77777777" w:rsidR="00D36168" w:rsidRPr="00936063" w:rsidRDefault="00D36168" w:rsidP="03CE5C4D">
            <w:pPr>
              <w:pStyle w:val="TableBullet"/>
              <w:numPr>
                <w:ilvl w:val="0"/>
                <w:numId w:val="0"/>
              </w:numPr>
            </w:pPr>
            <w:r>
              <w:t>Create a culture of achievement, fostering on-time and on-budget quality outcomes in the organisation</w:t>
            </w:r>
          </w:p>
          <w:p w14:paraId="045ADD24" w14:textId="77777777" w:rsidR="00D36168" w:rsidRPr="00936063" w:rsidRDefault="00D36168" w:rsidP="03CE5C4D">
            <w:pPr>
              <w:pStyle w:val="TableBullet"/>
              <w:numPr>
                <w:ilvl w:val="0"/>
                <w:numId w:val="0"/>
              </w:numPr>
            </w:pPr>
            <w:r>
              <w:t>Identify, recognise and celebrate success</w:t>
            </w:r>
          </w:p>
          <w:p w14:paraId="2CE272CA" w14:textId="77777777" w:rsidR="00D36168" w:rsidRPr="00B04C0D" w:rsidRDefault="00D36168" w:rsidP="03CE5C4D">
            <w:pPr>
              <w:pStyle w:val="TableBullet"/>
              <w:numPr>
                <w:ilvl w:val="0"/>
                <w:numId w:val="0"/>
              </w:numPr>
            </w:pPr>
            <w:r>
              <w:t xml:space="preserve">Establish systems to ensure all staff </w:t>
            </w:r>
            <w:proofErr w:type="gramStart"/>
            <w:r>
              <w:t>are able to</w:t>
            </w:r>
            <w:proofErr w:type="gramEnd"/>
            <w:r>
              <w:t xml:space="preserve"> identify direct connections between their efforts and organisational outcomes</w:t>
            </w:r>
          </w:p>
          <w:p w14:paraId="065A7884" w14:textId="77777777" w:rsidR="00D36168" w:rsidRDefault="00D36168" w:rsidP="03CE5C4D">
            <w:pPr>
              <w:pStyle w:val="TableBullet"/>
              <w:numPr>
                <w:ilvl w:val="0"/>
                <w:numId w:val="0"/>
              </w:numPr>
            </w:pPr>
            <w:r>
              <w:t>Identify and remove potential barriers or hurdles to achieving outcomes</w:t>
            </w:r>
          </w:p>
          <w:p w14:paraId="57CE1E38" w14:textId="77777777" w:rsidR="00D36168" w:rsidRPr="00B04C0D" w:rsidRDefault="00D36168" w:rsidP="03CE5C4D">
            <w:pPr>
              <w:pStyle w:val="TableBullet"/>
              <w:numPr>
                <w:ilvl w:val="0"/>
                <w:numId w:val="0"/>
              </w:numPr>
            </w:pPr>
            <w:r>
              <w:t>Initiate and communicate high-level priorities for the organisation to achieve government outcomes</w:t>
            </w:r>
          </w:p>
        </w:tc>
        <w:tc>
          <w:tcPr>
            <w:tcW w:w="1606" w:type="dxa"/>
            <w:tcBorders>
              <w:bottom w:val="single" w:sz="4" w:space="0" w:color="BCBEC0"/>
            </w:tcBorders>
          </w:tcPr>
          <w:p w14:paraId="196A2203" w14:textId="77777777" w:rsidR="00D36168" w:rsidRPr="00900CF5" w:rsidRDefault="00D36168" w:rsidP="006972EF">
            <w:pPr>
              <w:pStyle w:val="TableBullet"/>
              <w:numPr>
                <w:ilvl w:val="0"/>
                <w:numId w:val="0"/>
              </w:numPr>
              <w:jc w:val="both"/>
              <w:rPr>
                <w:color w:val="FF0000"/>
              </w:rPr>
            </w:pPr>
            <w:r w:rsidRPr="00936063">
              <w:t>Highly Advanced</w:t>
            </w:r>
          </w:p>
        </w:tc>
      </w:tr>
      <w:tr w:rsidR="00D36168" w:rsidRPr="00C978B9" w14:paraId="685C2480" w14:textId="77777777" w:rsidTr="03CE5C4D">
        <w:tc>
          <w:tcPr>
            <w:tcW w:w="1406" w:type="dxa"/>
            <w:tcBorders>
              <w:bottom w:val="single" w:sz="4" w:space="0" w:color="BCBEC0"/>
            </w:tcBorders>
          </w:tcPr>
          <w:p w14:paraId="12F8A9F3" w14:textId="77777777" w:rsidR="00D36168" w:rsidRDefault="00D36168" w:rsidP="006972EF">
            <w:pPr>
              <w:keepNext/>
            </w:pPr>
            <w:r w:rsidRPr="00C978B9">
              <w:rPr>
                <w:noProof/>
                <w:lang w:eastAsia="en-AU"/>
              </w:rPr>
              <w:lastRenderedPageBreak/>
              <w:drawing>
                <wp:inline distT="0" distB="0" distL="0" distR="0" wp14:anchorId="7BC5FE0A" wp14:editId="04110777">
                  <wp:extent cx="854015" cy="854015"/>
                  <wp:effectExtent l="0" t="0" r="3810" b="3810"/>
                  <wp:docPr id="1056945479"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945479" name="results.jpg" descr="A green square with a check mark in i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89C92A3" w14:textId="77777777" w:rsidR="00D36168" w:rsidRPr="00A8226F" w:rsidRDefault="00D36168" w:rsidP="006972EF">
            <w:pPr>
              <w:pStyle w:val="TableText"/>
              <w:keepNext/>
              <w:rPr>
                <w:b/>
              </w:rPr>
            </w:pPr>
            <w:r>
              <w:rPr>
                <w:b/>
              </w:rPr>
              <w:t>Think and Solve Problems</w:t>
            </w:r>
          </w:p>
          <w:p w14:paraId="59B25C5E" w14:textId="77777777" w:rsidR="00D36168" w:rsidRDefault="00D36168" w:rsidP="006972EF">
            <w:pPr>
              <w:pStyle w:val="TableText"/>
              <w:keepNext/>
              <w:rPr>
                <w:b/>
              </w:rPr>
            </w:pPr>
            <w:r w:rsidRPr="003516D1">
              <w:t>Think, analyse and consider the broader context to develop practical solutions</w:t>
            </w:r>
          </w:p>
        </w:tc>
        <w:tc>
          <w:tcPr>
            <w:tcW w:w="4770" w:type="dxa"/>
            <w:tcBorders>
              <w:bottom w:val="single" w:sz="4" w:space="0" w:color="BCBEC0"/>
            </w:tcBorders>
          </w:tcPr>
          <w:p w14:paraId="2A8E643B" w14:textId="77777777" w:rsidR="00D36168" w:rsidRDefault="00D36168" w:rsidP="03CE5C4D">
            <w:pPr>
              <w:pStyle w:val="TableBullet"/>
              <w:numPr>
                <w:ilvl w:val="0"/>
                <w:numId w:val="0"/>
              </w:numPr>
            </w:pPr>
            <w:r>
              <w:t>Undertake objective, critical analysis to draw accurate conclusions that recognise and manage contextual issues</w:t>
            </w:r>
          </w:p>
          <w:p w14:paraId="33A7FC5B" w14:textId="77777777" w:rsidR="00D36168" w:rsidRDefault="00D36168" w:rsidP="03CE5C4D">
            <w:pPr>
              <w:pStyle w:val="TableBullet"/>
              <w:numPr>
                <w:ilvl w:val="0"/>
                <w:numId w:val="0"/>
              </w:numPr>
            </w:pPr>
            <w:r>
              <w:t>Work through issues, weigh up alternatives and identify the most effective solutions in collaboration with others</w:t>
            </w:r>
          </w:p>
          <w:p w14:paraId="4E890F7E" w14:textId="77777777" w:rsidR="00D36168" w:rsidRDefault="00D36168" w:rsidP="03CE5C4D">
            <w:pPr>
              <w:pStyle w:val="TableBullet"/>
              <w:numPr>
                <w:ilvl w:val="0"/>
                <w:numId w:val="0"/>
              </w:numPr>
            </w:pPr>
            <w:r>
              <w:t>Take account of the wider business context when considering options to resolve issues</w:t>
            </w:r>
          </w:p>
          <w:p w14:paraId="7B2425D8" w14:textId="77777777" w:rsidR="00D36168" w:rsidRDefault="00D36168" w:rsidP="03CE5C4D">
            <w:pPr>
              <w:pStyle w:val="TableBullet"/>
              <w:numPr>
                <w:ilvl w:val="0"/>
                <w:numId w:val="0"/>
              </w:numPr>
            </w:pPr>
            <w:r>
              <w:t>Explore a range of possibilities and creative alternatives to contribute to system, process and business improvements</w:t>
            </w:r>
          </w:p>
          <w:p w14:paraId="34CCBDD7" w14:textId="77777777" w:rsidR="00D36168" w:rsidRDefault="00D36168" w:rsidP="03CE5C4D">
            <w:pPr>
              <w:pStyle w:val="TableBullet"/>
              <w:numPr>
                <w:ilvl w:val="0"/>
                <w:numId w:val="0"/>
              </w:numPr>
            </w:pPr>
            <w:r>
              <w:t>Implement systems and processes that are underpinned by high-quality research and analysis</w:t>
            </w:r>
          </w:p>
          <w:p w14:paraId="2D9BAA03" w14:textId="77777777" w:rsidR="00D36168" w:rsidRDefault="00D36168" w:rsidP="03CE5C4D">
            <w:pPr>
              <w:pStyle w:val="TableBullet"/>
              <w:numPr>
                <w:ilvl w:val="0"/>
                <w:numId w:val="0"/>
              </w:numPr>
            </w:pPr>
            <w:r>
              <w:t xml:space="preserve">Look for opportunities to design innovative solutions to meet user needs and service demands </w:t>
            </w:r>
          </w:p>
          <w:p w14:paraId="47D604D0" w14:textId="77777777" w:rsidR="00D36168" w:rsidRPr="00936063" w:rsidRDefault="00D36168" w:rsidP="03CE5C4D">
            <w:pPr>
              <w:pStyle w:val="TableBullet"/>
              <w:numPr>
                <w:ilvl w:val="0"/>
                <w:numId w:val="0"/>
              </w:numPr>
            </w:pPr>
            <w:r>
              <w:t>Evaluate the performance and effectiveness of services, policies and programs against clear criteria</w:t>
            </w:r>
          </w:p>
        </w:tc>
        <w:tc>
          <w:tcPr>
            <w:tcW w:w="1606" w:type="dxa"/>
            <w:tcBorders>
              <w:bottom w:val="single" w:sz="4" w:space="0" w:color="BCBEC0"/>
            </w:tcBorders>
          </w:tcPr>
          <w:p w14:paraId="78838397" w14:textId="77777777" w:rsidR="00D36168" w:rsidRPr="00936063" w:rsidRDefault="00D36168" w:rsidP="006972EF">
            <w:pPr>
              <w:pStyle w:val="TableBullet"/>
              <w:numPr>
                <w:ilvl w:val="0"/>
                <w:numId w:val="0"/>
              </w:numPr>
              <w:jc w:val="both"/>
            </w:pPr>
            <w:r>
              <w:t>Advanced</w:t>
            </w:r>
          </w:p>
        </w:tc>
      </w:tr>
      <w:tr w:rsidR="00D36168" w:rsidRPr="00C978B9" w14:paraId="6A8396DB" w14:textId="77777777" w:rsidTr="03CE5C4D">
        <w:tc>
          <w:tcPr>
            <w:tcW w:w="1406" w:type="dxa"/>
            <w:tcBorders>
              <w:bottom w:val="single" w:sz="4" w:space="0" w:color="BCBEC0"/>
            </w:tcBorders>
          </w:tcPr>
          <w:p w14:paraId="31F12B07" w14:textId="77777777" w:rsidR="00D36168" w:rsidRDefault="00D36168" w:rsidP="006972EF">
            <w:pPr>
              <w:keepNext/>
            </w:pPr>
          </w:p>
          <w:p w14:paraId="0C0C6DEF" w14:textId="77777777" w:rsidR="00D36168" w:rsidRPr="00C978B9" w:rsidRDefault="00D36168" w:rsidP="006972EF">
            <w:pPr>
              <w:keepNext/>
            </w:pPr>
            <w:r w:rsidRPr="00C978B9">
              <w:rPr>
                <w:noProof/>
                <w:lang w:eastAsia="en-AU"/>
              </w:rPr>
              <w:drawing>
                <wp:inline distT="0" distB="0" distL="0" distR="0" wp14:anchorId="72AA3B78" wp14:editId="1C580696">
                  <wp:extent cx="845388" cy="845388"/>
                  <wp:effectExtent l="0" t="0" r="0" b="0"/>
                  <wp:docPr id="1442869284"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69284" name="business-enablers.jpg" descr="A purple square with black gea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3E21AC0" w14:textId="77777777" w:rsidR="00D36168" w:rsidRDefault="00D36168" w:rsidP="006972EF">
            <w:pPr>
              <w:pStyle w:val="TableText"/>
              <w:keepNext/>
              <w:rPr>
                <w:b/>
              </w:rPr>
            </w:pPr>
            <w:r>
              <w:rPr>
                <w:b/>
              </w:rPr>
              <w:t>Project Management</w:t>
            </w:r>
          </w:p>
          <w:p w14:paraId="2429290B" w14:textId="77777777" w:rsidR="00D36168" w:rsidRPr="00900CF5" w:rsidRDefault="00D36168" w:rsidP="006972EF">
            <w:pPr>
              <w:pStyle w:val="TableText"/>
              <w:keepNext/>
              <w:rPr>
                <w:color w:val="FF0000"/>
              </w:rPr>
            </w:pPr>
            <w:r w:rsidRPr="004F5143">
              <w:t>Understand and apply effective project planning, coordination and control methods</w:t>
            </w:r>
          </w:p>
        </w:tc>
        <w:tc>
          <w:tcPr>
            <w:tcW w:w="4770" w:type="dxa"/>
            <w:tcBorders>
              <w:bottom w:val="single" w:sz="4" w:space="0" w:color="BCBEC0"/>
            </w:tcBorders>
          </w:tcPr>
          <w:p w14:paraId="5A18570C" w14:textId="77777777" w:rsidR="00D36168" w:rsidRPr="004F5143" w:rsidRDefault="00D36168" w:rsidP="03CE5C4D">
            <w:pPr>
              <w:pStyle w:val="TableBullet"/>
              <w:numPr>
                <w:ilvl w:val="0"/>
                <w:numId w:val="0"/>
              </w:numPr>
            </w:pPr>
            <w:r>
              <w:t>Prepare and review project scope and business cases for projects with multiple interdependencies</w:t>
            </w:r>
          </w:p>
          <w:p w14:paraId="72D04F35" w14:textId="77777777" w:rsidR="00D36168" w:rsidRPr="004F5143" w:rsidRDefault="00D36168" w:rsidP="03CE5C4D">
            <w:pPr>
              <w:pStyle w:val="TableBullet"/>
              <w:numPr>
                <w:ilvl w:val="0"/>
                <w:numId w:val="0"/>
              </w:numPr>
            </w:pPr>
            <w:r>
              <w:t>Access key subject-matter experts’ knowledge to inform project plans and directions</w:t>
            </w:r>
          </w:p>
          <w:p w14:paraId="3C7B9B04" w14:textId="77777777" w:rsidR="00D36168" w:rsidRPr="004F5143" w:rsidRDefault="00D36168" w:rsidP="03CE5C4D">
            <w:pPr>
              <w:pStyle w:val="TableBullet"/>
              <w:numPr>
                <w:ilvl w:val="0"/>
                <w:numId w:val="0"/>
              </w:numPr>
            </w:pPr>
            <w:r>
              <w:t>Design and implement effective stakeholder engagement and communications strategies for all project stages</w:t>
            </w:r>
          </w:p>
          <w:p w14:paraId="6CF6BE8B" w14:textId="77777777" w:rsidR="00D36168" w:rsidRPr="004F5143" w:rsidRDefault="00D36168" w:rsidP="03CE5C4D">
            <w:pPr>
              <w:pStyle w:val="TableBullet"/>
              <w:numPr>
                <w:ilvl w:val="0"/>
                <w:numId w:val="0"/>
              </w:numPr>
            </w:pPr>
            <w:r>
              <w:t>Monitor project completion and implement effective and rigorous project evaluation methodologies to inform future planning</w:t>
            </w:r>
          </w:p>
          <w:p w14:paraId="50F8CF62" w14:textId="77777777" w:rsidR="00D36168" w:rsidRPr="004F5143" w:rsidRDefault="00D36168" w:rsidP="03CE5C4D">
            <w:pPr>
              <w:pStyle w:val="TableBullet"/>
              <w:numPr>
                <w:ilvl w:val="0"/>
                <w:numId w:val="0"/>
              </w:numPr>
            </w:pPr>
            <w:r>
              <w:t>Develop effective strategies to remedy variances from project plans and minimise impact</w:t>
            </w:r>
          </w:p>
          <w:p w14:paraId="7438CA39" w14:textId="77777777" w:rsidR="00D36168" w:rsidRPr="004F5143" w:rsidRDefault="00D36168" w:rsidP="03CE5C4D">
            <w:pPr>
              <w:pStyle w:val="TableBullet"/>
              <w:numPr>
                <w:ilvl w:val="0"/>
                <w:numId w:val="0"/>
              </w:numPr>
            </w:pPr>
            <w:r>
              <w:t>Manage transitions between project stages and ensure that changes are consistent with organisational goals</w:t>
            </w:r>
          </w:p>
          <w:p w14:paraId="41B2F4ED" w14:textId="77777777" w:rsidR="00D36168" w:rsidRPr="004F5143" w:rsidRDefault="00D36168" w:rsidP="03CE5C4D">
            <w:pPr>
              <w:pStyle w:val="TableBullet"/>
              <w:numPr>
                <w:ilvl w:val="0"/>
                <w:numId w:val="0"/>
              </w:numPr>
              <w:rPr>
                <w:lang w:eastAsia="en-AU"/>
              </w:rPr>
            </w:pPr>
            <w:r>
              <w:t>Participate in governance processes such as project steering groups</w:t>
            </w:r>
          </w:p>
        </w:tc>
        <w:tc>
          <w:tcPr>
            <w:tcW w:w="1606" w:type="dxa"/>
            <w:tcBorders>
              <w:bottom w:val="single" w:sz="4" w:space="0" w:color="BCBEC0"/>
            </w:tcBorders>
          </w:tcPr>
          <w:p w14:paraId="096B0AA2" w14:textId="77777777" w:rsidR="00D36168" w:rsidRPr="00900CF5" w:rsidRDefault="00D36168" w:rsidP="006972EF">
            <w:pPr>
              <w:pStyle w:val="TableBullet"/>
              <w:numPr>
                <w:ilvl w:val="0"/>
                <w:numId w:val="0"/>
              </w:numPr>
              <w:jc w:val="both"/>
              <w:rPr>
                <w:color w:val="FF0000"/>
              </w:rPr>
            </w:pPr>
            <w:r>
              <w:t>Advanced</w:t>
            </w:r>
          </w:p>
        </w:tc>
      </w:tr>
      <w:tr w:rsidR="00D36168" w:rsidRPr="00C978B9" w14:paraId="57E50E25" w14:textId="77777777" w:rsidTr="03CE5C4D">
        <w:tc>
          <w:tcPr>
            <w:tcW w:w="1406" w:type="dxa"/>
          </w:tcPr>
          <w:p w14:paraId="553F3DA1" w14:textId="77777777" w:rsidR="00D36168" w:rsidRDefault="00D36168" w:rsidP="006972EF">
            <w:pPr>
              <w:keepNext/>
            </w:pPr>
          </w:p>
          <w:p w14:paraId="762C1CCE" w14:textId="77777777" w:rsidR="00D36168" w:rsidRPr="00C978B9" w:rsidRDefault="00D36168" w:rsidP="006972EF">
            <w:pPr>
              <w:keepNext/>
            </w:pPr>
            <w:r w:rsidRPr="00C978B9">
              <w:rPr>
                <w:noProof/>
                <w:lang w:eastAsia="en-AU"/>
              </w:rPr>
              <w:drawing>
                <wp:inline distT="0" distB="0" distL="0" distR="0" wp14:anchorId="48BDA7AB" wp14:editId="78017312">
                  <wp:extent cx="847725" cy="847725"/>
                  <wp:effectExtent l="0" t="0" r="9525" b="9525"/>
                  <wp:docPr id="1462658831" name="people-management.jpg"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58831" name="people-management.jpg" descr="A blue sign with black text and peop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Pr>
          <w:p w14:paraId="155A0A71" w14:textId="77777777" w:rsidR="00D36168" w:rsidRPr="00A8226F" w:rsidRDefault="00D36168" w:rsidP="006972EF">
            <w:pPr>
              <w:pStyle w:val="TableText"/>
              <w:keepNext/>
              <w:rPr>
                <w:b/>
              </w:rPr>
            </w:pPr>
            <w:r>
              <w:rPr>
                <w:b/>
              </w:rPr>
              <w:t>Manage and Develop People</w:t>
            </w:r>
          </w:p>
          <w:p w14:paraId="3A4F516A" w14:textId="77777777" w:rsidR="00D36168" w:rsidRPr="00900CF5" w:rsidRDefault="00D36168" w:rsidP="006972EF">
            <w:pPr>
              <w:pStyle w:val="TableText"/>
              <w:keepNext/>
              <w:rPr>
                <w:color w:val="FF0000"/>
              </w:rPr>
            </w:pPr>
            <w:r w:rsidRPr="003516D1">
              <w:t>Engage and motivate staff, and develop capability and potential in others</w:t>
            </w:r>
          </w:p>
        </w:tc>
        <w:tc>
          <w:tcPr>
            <w:tcW w:w="4770" w:type="dxa"/>
          </w:tcPr>
          <w:p w14:paraId="0FF32A79" w14:textId="77777777" w:rsidR="00D36168" w:rsidRDefault="00D36168" w:rsidP="03CE5C4D">
            <w:pPr>
              <w:pStyle w:val="TableBullet"/>
              <w:numPr>
                <w:ilvl w:val="0"/>
                <w:numId w:val="0"/>
              </w:numPr>
            </w:pPr>
            <w:r>
              <w:t>Refine roles and responsibilities over time to achieve better business outcomes</w:t>
            </w:r>
          </w:p>
          <w:p w14:paraId="7EB12B0F" w14:textId="77777777" w:rsidR="00D36168" w:rsidRDefault="00D36168" w:rsidP="03CE5C4D">
            <w:pPr>
              <w:pStyle w:val="TableBullet"/>
              <w:numPr>
                <w:ilvl w:val="0"/>
                <w:numId w:val="0"/>
              </w:numPr>
            </w:pPr>
            <w:r>
              <w:t>Recognise talent, develop team capability and undertake succession planning</w:t>
            </w:r>
          </w:p>
          <w:p w14:paraId="6DCDED1C" w14:textId="77777777" w:rsidR="00D36168" w:rsidRDefault="00D36168" w:rsidP="03CE5C4D">
            <w:pPr>
              <w:pStyle w:val="TableBullet"/>
              <w:numPr>
                <w:ilvl w:val="0"/>
                <w:numId w:val="0"/>
              </w:numPr>
            </w:pPr>
            <w:r>
              <w:t>Coach and mentor staff and encourage professional development and continuous learning</w:t>
            </w:r>
          </w:p>
          <w:p w14:paraId="100E4562" w14:textId="77777777" w:rsidR="00D36168" w:rsidRDefault="00D36168" w:rsidP="03CE5C4D">
            <w:pPr>
              <w:pStyle w:val="TableBullet"/>
              <w:numPr>
                <w:ilvl w:val="0"/>
                <w:numId w:val="0"/>
              </w:numPr>
            </w:pPr>
            <w:r>
              <w:t>Prioritise addressing and resolving team and individual performance issues and ensure that this approach is cascaded throughout the organisation</w:t>
            </w:r>
          </w:p>
          <w:p w14:paraId="0E887DF9" w14:textId="77777777" w:rsidR="00D36168" w:rsidRPr="00900CF5" w:rsidRDefault="00D36168" w:rsidP="03CE5C4D">
            <w:pPr>
              <w:pStyle w:val="TableBullet"/>
              <w:numPr>
                <w:ilvl w:val="0"/>
                <w:numId w:val="0"/>
              </w:numPr>
              <w:rPr>
                <w:color w:val="FF0000"/>
              </w:rPr>
            </w:pPr>
            <w:r>
              <w:t xml:space="preserve">Implement performance development frameworks to align workforce capability with the organisation’s current and future priorities and objectives    </w:t>
            </w:r>
          </w:p>
        </w:tc>
        <w:tc>
          <w:tcPr>
            <w:tcW w:w="1606" w:type="dxa"/>
          </w:tcPr>
          <w:p w14:paraId="255563DE" w14:textId="77777777" w:rsidR="00D36168" w:rsidRPr="00900CF5" w:rsidRDefault="00D36168" w:rsidP="006972EF">
            <w:pPr>
              <w:pStyle w:val="TableBullet"/>
              <w:numPr>
                <w:ilvl w:val="0"/>
                <w:numId w:val="0"/>
              </w:numPr>
              <w:jc w:val="both"/>
              <w:rPr>
                <w:color w:val="FF0000"/>
              </w:rPr>
            </w:pPr>
            <w:r>
              <w:t>Advanced</w:t>
            </w:r>
          </w:p>
        </w:tc>
      </w:tr>
      <w:tr w:rsidR="00D36168" w:rsidRPr="00C978B9" w14:paraId="788EAF80" w14:textId="77777777" w:rsidTr="03CE5C4D">
        <w:tc>
          <w:tcPr>
            <w:tcW w:w="1406" w:type="dxa"/>
            <w:tcBorders>
              <w:bottom w:val="single" w:sz="4" w:space="0" w:color="BCBEC0"/>
            </w:tcBorders>
          </w:tcPr>
          <w:p w14:paraId="095C7AC2" w14:textId="77777777" w:rsidR="00D36168" w:rsidRDefault="00D36168" w:rsidP="006972EF">
            <w:pPr>
              <w:keepNext/>
            </w:pPr>
            <w:r w:rsidRPr="00C978B9">
              <w:rPr>
                <w:noProof/>
                <w:lang w:eastAsia="en-AU"/>
              </w:rPr>
              <w:drawing>
                <wp:inline distT="0" distB="0" distL="0" distR="0" wp14:anchorId="6674B8A2" wp14:editId="6AA876E4">
                  <wp:extent cx="847725" cy="847725"/>
                  <wp:effectExtent l="0" t="0" r="9525" b="9525"/>
                  <wp:docPr id="1891724710" name="people-management.jpg"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24710" name="people-management.jpg" descr="A blue sign with black text and peop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3BDE2BBC" w14:textId="77777777" w:rsidR="00D36168" w:rsidRDefault="00D36168" w:rsidP="006972EF">
            <w:pPr>
              <w:pStyle w:val="TableText"/>
              <w:keepNext/>
              <w:rPr>
                <w:b/>
              </w:rPr>
            </w:pPr>
            <w:r>
              <w:rPr>
                <w:b/>
              </w:rPr>
              <w:t>Inspire Direction and Purpose</w:t>
            </w:r>
          </w:p>
          <w:p w14:paraId="55409B2B" w14:textId="77777777" w:rsidR="00D36168" w:rsidRDefault="00D36168" w:rsidP="006972EF">
            <w:pPr>
              <w:pStyle w:val="TableText"/>
              <w:keepNext/>
              <w:rPr>
                <w:b/>
              </w:rPr>
            </w:pPr>
            <w:r w:rsidRPr="003516D1">
              <w:t>Communicate goals, priorities and vision, and recognise achievements</w:t>
            </w:r>
          </w:p>
        </w:tc>
        <w:tc>
          <w:tcPr>
            <w:tcW w:w="4770" w:type="dxa"/>
            <w:tcBorders>
              <w:bottom w:val="single" w:sz="4" w:space="0" w:color="BCBEC0"/>
            </w:tcBorders>
          </w:tcPr>
          <w:p w14:paraId="2A8DB297" w14:textId="77777777" w:rsidR="00D36168" w:rsidRDefault="00D36168" w:rsidP="03CE5C4D">
            <w:pPr>
              <w:pStyle w:val="TableBullet"/>
              <w:numPr>
                <w:ilvl w:val="0"/>
                <w:numId w:val="0"/>
              </w:numPr>
            </w:pPr>
            <w:r>
              <w:t>Promote a sense of purpose and enable others to understand the links between government policy, organisational goals and public value</w:t>
            </w:r>
          </w:p>
          <w:p w14:paraId="190908E6" w14:textId="77777777" w:rsidR="00D36168" w:rsidRDefault="00D36168" w:rsidP="03CE5C4D">
            <w:pPr>
              <w:pStyle w:val="TableBullet"/>
              <w:numPr>
                <w:ilvl w:val="0"/>
                <w:numId w:val="0"/>
              </w:numPr>
            </w:pPr>
            <w:r>
              <w:t>Build a shared sense of direction, clarify priorities and goals, and inspire others to achieve these</w:t>
            </w:r>
          </w:p>
          <w:p w14:paraId="0AA72252" w14:textId="77777777" w:rsidR="00D36168" w:rsidRDefault="00D36168" w:rsidP="03CE5C4D">
            <w:pPr>
              <w:pStyle w:val="TableBullet"/>
              <w:numPr>
                <w:ilvl w:val="0"/>
                <w:numId w:val="0"/>
              </w:numPr>
            </w:pPr>
            <w:r>
              <w:t>Work with others to translate strategic direction into operational goals and build a shared understanding of the link between these and core business outcomes</w:t>
            </w:r>
          </w:p>
          <w:p w14:paraId="48DC5132" w14:textId="77777777" w:rsidR="00D36168" w:rsidRDefault="00D36168" w:rsidP="03CE5C4D">
            <w:pPr>
              <w:pStyle w:val="TableBullet"/>
              <w:numPr>
                <w:ilvl w:val="0"/>
                <w:numId w:val="0"/>
              </w:numPr>
            </w:pPr>
            <w:r>
              <w:t>Create opportunities for recognising and celebrating high performance at the individual and team level</w:t>
            </w:r>
          </w:p>
          <w:p w14:paraId="4723C7DA" w14:textId="77777777" w:rsidR="00D36168" w:rsidRDefault="00D36168" w:rsidP="03CE5C4D">
            <w:pPr>
              <w:pStyle w:val="TableBullet"/>
              <w:numPr>
                <w:ilvl w:val="0"/>
                <w:numId w:val="0"/>
              </w:numPr>
            </w:pPr>
            <w:r>
              <w:t>Instil confidence, and cultivate an attitude of openness and curiosity in tackling future challenges</w:t>
            </w:r>
          </w:p>
        </w:tc>
        <w:tc>
          <w:tcPr>
            <w:tcW w:w="1606" w:type="dxa"/>
            <w:tcBorders>
              <w:bottom w:val="single" w:sz="4" w:space="0" w:color="BCBEC0"/>
            </w:tcBorders>
          </w:tcPr>
          <w:p w14:paraId="42B6C41F" w14:textId="77777777" w:rsidR="00D36168" w:rsidRDefault="00D36168" w:rsidP="006972EF">
            <w:pPr>
              <w:pStyle w:val="TableBullet"/>
              <w:numPr>
                <w:ilvl w:val="0"/>
                <w:numId w:val="0"/>
              </w:numPr>
              <w:jc w:val="both"/>
            </w:pPr>
            <w:r>
              <w:t>Advanced</w:t>
            </w:r>
          </w:p>
        </w:tc>
      </w:tr>
    </w:tbl>
    <w:p w14:paraId="2683A7ED" w14:textId="77777777" w:rsidR="00D36168" w:rsidRPr="00175AAF" w:rsidRDefault="00D36168" w:rsidP="00257C73">
      <w:pPr>
        <w:spacing w:after="120"/>
      </w:pPr>
    </w:p>
    <w:p w14:paraId="1CC476A4" w14:textId="7F71A9BA" w:rsidR="003E0111" w:rsidRPr="003C7A36" w:rsidRDefault="003E0111" w:rsidP="00257C73">
      <w:pPr>
        <w:spacing w:after="120"/>
      </w:pPr>
    </w:p>
    <w:bookmarkEnd w:id="6"/>
    <w:bookmarkEnd w:id="7"/>
    <w:bookmarkEnd w:id="8"/>
    <w:bookmarkEnd w:id="9"/>
    <w:p w14:paraId="6D1C5F9A" w14:textId="77777777" w:rsidR="00D36168" w:rsidRPr="00257C73" w:rsidRDefault="00D36168" w:rsidP="00D36168">
      <w:pPr>
        <w:pStyle w:val="Heading1"/>
        <w:rPr>
          <w:sz w:val="26"/>
          <w:szCs w:val="26"/>
        </w:rPr>
      </w:pPr>
      <w:r w:rsidRPr="00257C73">
        <w:rPr>
          <w:sz w:val="26"/>
          <w:szCs w:val="26"/>
        </w:rPr>
        <w:t>Complementary capabilities</w:t>
      </w:r>
    </w:p>
    <w:p w14:paraId="748C7DD2" w14:textId="77777777" w:rsidR="00D36168" w:rsidRPr="003927AE" w:rsidRDefault="00D36168" w:rsidP="00D36168">
      <w:pPr>
        <w:pStyle w:val="PlainText"/>
        <w:spacing w:before="62" w:line="276" w:lineRule="auto"/>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4CC3CA43" w14:textId="77777777" w:rsidR="00D36168" w:rsidRDefault="00D36168" w:rsidP="00D36168">
      <w:pPr>
        <w:pStyle w:val="PlainText"/>
        <w:spacing w:before="62" w:line="276" w:lineRule="auto"/>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0E33589D" w14:textId="77777777" w:rsidR="00D36168" w:rsidRDefault="00D36168" w:rsidP="00D36168">
      <w:pPr>
        <w:pStyle w:val="PlainText"/>
        <w:spacing w:before="62" w:line="276" w:lineRule="auto"/>
        <w:rPr>
          <w:rFonts w:eastAsiaTheme="minorEastAsia"/>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D36168" w:rsidRPr="00803E47" w14:paraId="10E25E19" w14:textId="77777777" w:rsidTr="006972EF">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2DB4491" w14:textId="77777777" w:rsidR="00D36168" w:rsidRPr="00257C73" w:rsidRDefault="00D36168" w:rsidP="006972EF">
            <w:pPr>
              <w:pStyle w:val="TableTextWhite0"/>
              <w:keepNext/>
              <w:jc w:val="both"/>
              <w:rPr>
                <w:sz w:val="24"/>
                <w:szCs w:val="24"/>
              </w:rPr>
            </w:pPr>
            <w:bookmarkStart w:id="10" w:name="_Hlk176188941"/>
            <w:r w:rsidRPr="00C45CAA">
              <w:rPr>
                <w:sz w:val="24"/>
                <w:szCs w:val="24"/>
              </w:rPr>
              <w:lastRenderedPageBreak/>
              <w:t>COMPLEMENTARY CAPABILITIES</w:t>
            </w:r>
          </w:p>
        </w:tc>
      </w:tr>
      <w:tr w:rsidR="00D36168" w:rsidRPr="00C978B9" w14:paraId="00C389A0" w14:textId="77777777" w:rsidTr="006972EF">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7409C61" w14:textId="77777777" w:rsidR="00D36168" w:rsidRPr="00C978B9" w:rsidRDefault="00D36168" w:rsidP="006972EF">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64BC1106" w14:textId="77777777" w:rsidR="00D36168" w:rsidRPr="00257C73" w:rsidRDefault="00D36168" w:rsidP="006972EF">
            <w:pPr>
              <w:pStyle w:val="TableText"/>
              <w:keepNext/>
              <w:rPr>
                <w:b/>
              </w:rPr>
            </w:pPr>
            <w:r w:rsidRPr="00C45CAA">
              <w:rPr>
                <w:b/>
              </w:rPr>
              <w:t>Capability name</w:t>
            </w:r>
          </w:p>
        </w:tc>
        <w:tc>
          <w:tcPr>
            <w:tcW w:w="90" w:type="dxa"/>
            <w:tcBorders>
              <w:bottom w:val="single" w:sz="12" w:space="0" w:color="auto"/>
            </w:tcBorders>
            <w:shd w:val="clear" w:color="auto" w:fill="BCBEC0"/>
          </w:tcPr>
          <w:p w14:paraId="1DE60094" w14:textId="77777777" w:rsidR="00D36168" w:rsidRPr="00C45CAA" w:rsidRDefault="00D36168" w:rsidP="006972EF">
            <w:pPr>
              <w:pStyle w:val="TableText"/>
              <w:keepNext/>
              <w:rPr>
                <w:b/>
              </w:rPr>
            </w:pPr>
          </w:p>
        </w:tc>
        <w:tc>
          <w:tcPr>
            <w:tcW w:w="4770" w:type="dxa"/>
            <w:tcBorders>
              <w:bottom w:val="single" w:sz="12" w:space="0" w:color="auto"/>
            </w:tcBorders>
            <w:shd w:val="clear" w:color="auto" w:fill="BCBEC0"/>
          </w:tcPr>
          <w:p w14:paraId="1BB0E8BD" w14:textId="77777777" w:rsidR="00D36168" w:rsidRPr="00C45CAA" w:rsidRDefault="00D36168" w:rsidP="006972EF">
            <w:pPr>
              <w:pStyle w:val="TableText"/>
              <w:keepNext/>
              <w:rPr>
                <w:b/>
              </w:rPr>
            </w:pPr>
            <w:r w:rsidRPr="00C45CAA">
              <w:rPr>
                <w:b/>
              </w:rPr>
              <w:t>Description</w:t>
            </w:r>
          </w:p>
        </w:tc>
        <w:tc>
          <w:tcPr>
            <w:tcW w:w="1606" w:type="dxa"/>
            <w:tcBorders>
              <w:bottom w:val="single" w:sz="12" w:space="0" w:color="auto"/>
            </w:tcBorders>
            <w:shd w:val="clear" w:color="auto" w:fill="BCBEC0"/>
          </w:tcPr>
          <w:p w14:paraId="6CDD4C43" w14:textId="77777777" w:rsidR="00D36168" w:rsidRPr="00C45CAA" w:rsidRDefault="00D36168" w:rsidP="006972EF">
            <w:pPr>
              <w:pStyle w:val="TableText"/>
              <w:keepNext/>
              <w:jc w:val="both"/>
              <w:rPr>
                <w:b/>
              </w:rPr>
            </w:pPr>
            <w:r w:rsidRPr="00C45CAA">
              <w:rPr>
                <w:b/>
              </w:rPr>
              <w:t xml:space="preserve">Level </w:t>
            </w:r>
          </w:p>
        </w:tc>
      </w:tr>
      <w:tr w:rsidR="00D36168" w:rsidRPr="00C978B9" w14:paraId="2C319200" w14:textId="77777777" w:rsidTr="006972EF">
        <w:tc>
          <w:tcPr>
            <w:tcW w:w="1406" w:type="dxa"/>
            <w:vMerge w:val="restart"/>
            <w:tcBorders>
              <w:bottom w:val="single" w:sz="4" w:space="0" w:color="BCBEC0"/>
            </w:tcBorders>
          </w:tcPr>
          <w:p w14:paraId="68836629" w14:textId="77777777" w:rsidR="00D36168" w:rsidRDefault="00D36168" w:rsidP="006972EF">
            <w:pPr>
              <w:keepNext/>
            </w:pPr>
          </w:p>
          <w:p w14:paraId="13F32517" w14:textId="77777777" w:rsidR="00D36168" w:rsidRPr="00C978B9" w:rsidRDefault="00D36168" w:rsidP="006972EF">
            <w:pPr>
              <w:keepNext/>
            </w:pPr>
            <w:r w:rsidRPr="00C978B9">
              <w:rPr>
                <w:noProof/>
                <w:lang w:eastAsia="en-AU"/>
              </w:rPr>
              <w:drawing>
                <wp:inline distT="0" distB="0" distL="0" distR="0" wp14:anchorId="7DC8990E" wp14:editId="7C8F9EFA">
                  <wp:extent cx="848995" cy="848995"/>
                  <wp:effectExtent l="0" t="0" r="8255" b="8255"/>
                  <wp:docPr id="1718412949"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412949" name="personal-attributes.jpg" descr="A close-up of a sig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71E29B66" w14:textId="77777777" w:rsidR="00D36168" w:rsidRPr="00257C73" w:rsidRDefault="00D36168" w:rsidP="006972EF">
            <w:pPr>
              <w:rPr>
                <w:sz w:val="20"/>
              </w:rPr>
            </w:pPr>
            <w:r w:rsidRPr="00257C73">
              <w:rPr>
                <w:sz w:val="20"/>
              </w:rPr>
              <w:t>Act with Integrity</w:t>
            </w:r>
          </w:p>
        </w:tc>
        <w:tc>
          <w:tcPr>
            <w:tcW w:w="4770" w:type="dxa"/>
            <w:tcBorders>
              <w:bottom w:val="single" w:sz="4" w:space="0" w:color="BCBEC0"/>
            </w:tcBorders>
          </w:tcPr>
          <w:p w14:paraId="1D70932A" w14:textId="77777777" w:rsidR="00D36168" w:rsidRPr="00257C73" w:rsidRDefault="00D36168" w:rsidP="006972EF">
            <w:pPr>
              <w:rPr>
                <w:sz w:val="20"/>
              </w:rPr>
            </w:pPr>
            <w:r w:rsidRPr="00257C73">
              <w:rPr>
                <w:sz w:val="20"/>
              </w:rPr>
              <w:t>Be ethical and professional, and uphold and promote the public sector values</w:t>
            </w:r>
          </w:p>
        </w:tc>
        <w:tc>
          <w:tcPr>
            <w:tcW w:w="1606" w:type="dxa"/>
            <w:tcBorders>
              <w:bottom w:val="single" w:sz="4" w:space="0" w:color="BCBEC0"/>
            </w:tcBorders>
          </w:tcPr>
          <w:p w14:paraId="02CA7686" w14:textId="77755677" w:rsidR="00D36168" w:rsidRPr="00257C73" w:rsidRDefault="004067A2" w:rsidP="006972EF">
            <w:pPr>
              <w:rPr>
                <w:sz w:val="20"/>
              </w:rPr>
            </w:pPr>
            <w:r w:rsidRPr="00257C73">
              <w:rPr>
                <w:sz w:val="20"/>
              </w:rPr>
              <w:t>A</w:t>
            </w:r>
            <w:r w:rsidR="00C84FF5">
              <w:rPr>
                <w:sz w:val="20"/>
              </w:rPr>
              <w:t>dept</w:t>
            </w:r>
          </w:p>
        </w:tc>
      </w:tr>
      <w:tr w:rsidR="00D36168" w:rsidRPr="00C978B9" w14:paraId="35980874" w14:textId="77777777" w:rsidTr="006972EF">
        <w:tc>
          <w:tcPr>
            <w:tcW w:w="1406" w:type="dxa"/>
            <w:vMerge/>
            <w:tcBorders>
              <w:bottom w:val="single" w:sz="4" w:space="0" w:color="BCBEC0"/>
            </w:tcBorders>
          </w:tcPr>
          <w:p w14:paraId="04BAE0FF" w14:textId="77777777" w:rsidR="00D36168" w:rsidRDefault="00D36168" w:rsidP="006972EF">
            <w:pPr>
              <w:keepNext/>
              <w:rPr>
                <w:noProof/>
                <w:lang w:eastAsia="en-AU"/>
              </w:rPr>
            </w:pPr>
          </w:p>
        </w:tc>
        <w:tc>
          <w:tcPr>
            <w:tcW w:w="2971" w:type="dxa"/>
            <w:gridSpan w:val="2"/>
            <w:tcBorders>
              <w:bottom w:val="single" w:sz="4" w:space="0" w:color="BCBEC0"/>
            </w:tcBorders>
          </w:tcPr>
          <w:p w14:paraId="10565CB3" w14:textId="77777777" w:rsidR="00D36168" w:rsidRPr="00257C73" w:rsidRDefault="00D36168" w:rsidP="006972EF">
            <w:pPr>
              <w:rPr>
                <w:sz w:val="20"/>
              </w:rPr>
            </w:pPr>
            <w:r w:rsidRPr="00257C73">
              <w:rPr>
                <w:sz w:val="20"/>
              </w:rPr>
              <w:t>Manage Self</w:t>
            </w:r>
          </w:p>
        </w:tc>
        <w:tc>
          <w:tcPr>
            <w:tcW w:w="4770" w:type="dxa"/>
            <w:tcBorders>
              <w:bottom w:val="single" w:sz="4" w:space="0" w:color="BCBEC0"/>
            </w:tcBorders>
          </w:tcPr>
          <w:p w14:paraId="5C2EEC22" w14:textId="77777777" w:rsidR="00D36168" w:rsidRPr="00257C73" w:rsidRDefault="00D36168" w:rsidP="006972EF">
            <w:pPr>
              <w:rPr>
                <w:sz w:val="20"/>
              </w:rPr>
            </w:pPr>
            <w:r w:rsidRPr="00257C73">
              <w:rPr>
                <w:sz w:val="20"/>
              </w:rPr>
              <w:t>Show drive and motivation, an ability to self-reflect and a commitment to learning</w:t>
            </w:r>
          </w:p>
        </w:tc>
        <w:tc>
          <w:tcPr>
            <w:tcW w:w="1606" w:type="dxa"/>
            <w:tcBorders>
              <w:bottom w:val="single" w:sz="4" w:space="0" w:color="BCBEC0"/>
            </w:tcBorders>
          </w:tcPr>
          <w:p w14:paraId="0F25BB88" w14:textId="0C543111" w:rsidR="00D36168" w:rsidRPr="00257C73" w:rsidRDefault="004067A2" w:rsidP="006972EF">
            <w:pPr>
              <w:rPr>
                <w:sz w:val="20"/>
              </w:rPr>
            </w:pPr>
            <w:r w:rsidRPr="00257C73">
              <w:rPr>
                <w:sz w:val="20"/>
              </w:rPr>
              <w:t>Advanced</w:t>
            </w:r>
          </w:p>
        </w:tc>
      </w:tr>
      <w:tr w:rsidR="00D36168" w:rsidRPr="00C978B9" w14:paraId="63EB7686" w14:textId="77777777" w:rsidTr="006972EF">
        <w:tc>
          <w:tcPr>
            <w:tcW w:w="1406" w:type="dxa"/>
            <w:vMerge/>
            <w:tcBorders>
              <w:bottom w:val="single" w:sz="4" w:space="0" w:color="BCBEC0"/>
            </w:tcBorders>
          </w:tcPr>
          <w:p w14:paraId="24891EE3" w14:textId="77777777" w:rsidR="00D36168" w:rsidRDefault="00D36168" w:rsidP="006972EF">
            <w:pPr>
              <w:keepNext/>
              <w:rPr>
                <w:noProof/>
                <w:lang w:eastAsia="en-AU"/>
              </w:rPr>
            </w:pPr>
          </w:p>
        </w:tc>
        <w:tc>
          <w:tcPr>
            <w:tcW w:w="2971" w:type="dxa"/>
            <w:gridSpan w:val="2"/>
            <w:tcBorders>
              <w:bottom w:val="single" w:sz="4" w:space="0" w:color="BCBEC0"/>
            </w:tcBorders>
          </w:tcPr>
          <w:p w14:paraId="3B72AEA6" w14:textId="77777777" w:rsidR="00D36168" w:rsidRPr="00257C73" w:rsidRDefault="00D36168" w:rsidP="006972EF">
            <w:pPr>
              <w:rPr>
                <w:sz w:val="20"/>
              </w:rPr>
            </w:pPr>
            <w:r w:rsidRPr="00257C73">
              <w:rPr>
                <w:sz w:val="20"/>
              </w:rPr>
              <w:t>Value Diversity and Inclusion</w:t>
            </w:r>
          </w:p>
        </w:tc>
        <w:tc>
          <w:tcPr>
            <w:tcW w:w="4770" w:type="dxa"/>
            <w:tcBorders>
              <w:bottom w:val="single" w:sz="4" w:space="0" w:color="BCBEC0"/>
            </w:tcBorders>
          </w:tcPr>
          <w:p w14:paraId="39A2FB62" w14:textId="77777777" w:rsidR="00D36168" w:rsidRPr="00257C73" w:rsidRDefault="00D36168" w:rsidP="006972EF">
            <w:pPr>
              <w:rPr>
                <w:sz w:val="20"/>
              </w:rPr>
            </w:pPr>
            <w:r w:rsidRPr="00257C73">
              <w:rPr>
                <w:sz w:val="20"/>
              </w:rPr>
              <w:t>Demonstrate inclusive behaviour and show respect for diverse backgrounds, experiences and perspectives</w:t>
            </w:r>
          </w:p>
        </w:tc>
        <w:tc>
          <w:tcPr>
            <w:tcW w:w="1606" w:type="dxa"/>
            <w:tcBorders>
              <w:bottom w:val="single" w:sz="4" w:space="0" w:color="BCBEC0"/>
            </w:tcBorders>
          </w:tcPr>
          <w:p w14:paraId="3C92B9B7" w14:textId="1731D13F" w:rsidR="00D36168" w:rsidRPr="00257C73" w:rsidRDefault="004067A2" w:rsidP="006972EF">
            <w:pPr>
              <w:rPr>
                <w:sz w:val="20"/>
              </w:rPr>
            </w:pPr>
            <w:r w:rsidRPr="00257C73">
              <w:rPr>
                <w:sz w:val="20"/>
              </w:rPr>
              <w:t>Adept</w:t>
            </w:r>
          </w:p>
        </w:tc>
      </w:tr>
      <w:tr w:rsidR="00D36168" w:rsidRPr="00C978B9" w14:paraId="6671893D" w14:textId="77777777" w:rsidTr="006972EF">
        <w:tc>
          <w:tcPr>
            <w:tcW w:w="1406" w:type="dxa"/>
            <w:vMerge w:val="restart"/>
            <w:tcBorders>
              <w:bottom w:val="single" w:sz="4" w:space="0" w:color="BCBEC0"/>
            </w:tcBorders>
          </w:tcPr>
          <w:p w14:paraId="5B2ED2BD" w14:textId="77777777" w:rsidR="00D36168" w:rsidRDefault="00D36168" w:rsidP="006972EF">
            <w:pPr>
              <w:keepNext/>
            </w:pPr>
          </w:p>
          <w:p w14:paraId="2E577141" w14:textId="77777777" w:rsidR="00D36168" w:rsidRPr="00C978B9" w:rsidRDefault="00D36168" w:rsidP="006972EF">
            <w:pPr>
              <w:keepNext/>
            </w:pPr>
            <w:r w:rsidRPr="00C978B9">
              <w:rPr>
                <w:noProof/>
                <w:lang w:eastAsia="en-AU"/>
              </w:rPr>
              <w:drawing>
                <wp:inline distT="0" distB="0" distL="0" distR="0" wp14:anchorId="2F5D6307" wp14:editId="449CD1FB">
                  <wp:extent cx="854016" cy="854016"/>
                  <wp:effectExtent l="0" t="0" r="3810" b="3810"/>
                  <wp:docPr id="1959428918"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28918" name="relationships.jpg" descr="A close-up of a sig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6BA0A739" w14:textId="77777777" w:rsidR="00D36168" w:rsidRPr="00257C73" w:rsidRDefault="00D36168" w:rsidP="006972EF">
            <w:pPr>
              <w:rPr>
                <w:sz w:val="20"/>
              </w:rPr>
            </w:pPr>
            <w:r w:rsidRPr="00257C73">
              <w:rPr>
                <w:sz w:val="20"/>
              </w:rPr>
              <w:t>Communicate Effectively</w:t>
            </w:r>
          </w:p>
        </w:tc>
        <w:tc>
          <w:tcPr>
            <w:tcW w:w="4770" w:type="dxa"/>
            <w:tcBorders>
              <w:bottom w:val="single" w:sz="4" w:space="0" w:color="BCBEC0"/>
            </w:tcBorders>
          </w:tcPr>
          <w:p w14:paraId="0D3C2308" w14:textId="77777777" w:rsidR="00D36168" w:rsidRPr="00257C73" w:rsidRDefault="00D36168" w:rsidP="006972EF">
            <w:pPr>
              <w:rPr>
                <w:sz w:val="20"/>
              </w:rPr>
            </w:pPr>
            <w:r w:rsidRPr="00257C73">
              <w:rPr>
                <w:sz w:val="20"/>
              </w:rPr>
              <w:t>Communicate clearly, actively listen to others, and respond with understanding and respect</w:t>
            </w:r>
          </w:p>
        </w:tc>
        <w:tc>
          <w:tcPr>
            <w:tcW w:w="1606" w:type="dxa"/>
            <w:tcBorders>
              <w:bottom w:val="single" w:sz="4" w:space="0" w:color="BCBEC0"/>
            </w:tcBorders>
          </w:tcPr>
          <w:p w14:paraId="57189DFB" w14:textId="3CAA9449" w:rsidR="00D36168" w:rsidRPr="00257C73" w:rsidRDefault="004067A2" w:rsidP="006972EF">
            <w:pPr>
              <w:rPr>
                <w:sz w:val="20"/>
              </w:rPr>
            </w:pPr>
            <w:r w:rsidRPr="00257C73">
              <w:rPr>
                <w:sz w:val="20"/>
              </w:rPr>
              <w:t>Adept</w:t>
            </w:r>
          </w:p>
        </w:tc>
      </w:tr>
      <w:tr w:rsidR="00D36168" w:rsidRPr="00C978B9" w14:paraId="61AA080D" w14:textId="77777777" w:rsidTr="006972EF">
        <w:tc>
          <w:tcPr>
            <w:tcW w:w="1406" w:type="dxa"/>
            <w:vMerge/>
            <w:tcBorders>
              <w:bottom w:val="single" w:sz="4" w:space="0" w:color="BCBEC0"/>
            </w:tcBorders>
          </w:tcPr>
          <w:p w14:paraId="2CAAC7F2" w14:textId="77777777" w:rsidR="00D36168" w:rsidRDefault="00D36168" w:rsidP="006972EF">
            <w:pPr>
              <w:keepNext/>
              <w:rPr>
                <w:noProof/>
                <w:lang w:eastAsia="en-AU"/>
              </w:rPr>
            </w:pPr>
          </w:p>
        </w:tc>
        <w:tc>
          <w:tcPr>
            <w:tcW w:w="2971" w:type="dxa"/>
            <w:gridSpan w:val="2"/>
            <w:tcBorders>
              <w:bottom w:val="single" w:sz="4" w:space="0" w:color="BCBEC0"/>
            </w:tcBorders>
          </w:tcPr>
          <w:p w14:paraId="2EC56023" w14:textId="77777777" w:rsidR="00D36168" w:rsidRPr="00257C73" w:rsidRDefault="00D36168" w:rsidP="006972EF">
            <w:pPr>
              <w:rPr>
                <w:sz w:val="20"/>
              </w:rPr>
            </w:pPr>
            <w:r w:rsidRPr="00257C73">
              <w:rPr>
                <w:sz w:val="20"/>
              </w:rPr>
              <w:t>Commit to Customer Service</w:t>
            </w:r>
          </w:p>
        </w:tc>
        <w:tc>
          <w:tcPr>
            <w:tcW w:w="4770" w:type="dxa"/>
            <w:tcBorders>
              <w:bottom w:val="single" w:sz="4" w:space="0" w:color="BCBEC0"/>
            </w:tcBorders>
          </w:tcPr>
          <w:p w14:paraId="6505F4A8" w14:textId="77777777" w:rsidR="00D36168" w:rsidRPr="00257C73" w:rsidRDefault="00D36168" w:rsidP="006972EF">
            <w:pPr>
              <w:rPr>
                <w:sz w:val="20"/>
              </w:rPr>
            </w:pPr>
            <w:r w:rsidRPr="00257C73">
              <w:rPr>
                <w:sz w:val="20"/>
              </w:rPr>
              <w:t>Provide customer-focused services in line with public sector and organisational objectives</w:t>
            </w:r>
          </w:p>
        </w:tc>
        <w:tc>
          <w:tcPr>
            <w:tcW w:w="1606" w:type="dxa"/>
            <w:tcBorders>
              <w:bottom w:val="single" w:sz="4" w:space="0" w:color="BCBEC0"/>
            </w:tcBorders>
          </w:tcPr>
          <w:p w14:paraId="3087B7FC" w14:textId="39C6FF2B" w:rsidR="00D36168" w:rsidRPr="00257C73" w:rsidRDefault="004067A2" w:rsidP="006972EF">
            <w:pPr>
              <w:rPr>
                <w:sz w:val="20"/>
              </w:rPr>
            </w:pPr>
            <w:r w:rsidRPr="00257C73">
              <w:rPr>
                <w:sz w:val="20"/>
              </w:rPr>
              <w:t>Adept</w:t>
            </w:r>
          </w:p>
        </w:tc>
      </w:tr>
      <w:tr w:rsidR="00D36168" w:rsidRPr="00C978B9" w14:paraId="40F2430E" w14:textId="77777777" w:rsidTr="006972EF">
        <w:tc>
          <w:tcPr>
            <w:tcW w:w="1406" w:type="dxa"/>
            <w:vMerge/>
            <w:tcBorders>
              <w:bottom w:val="single" w:sz="4" w:space="0" w:color="BCBEC0"/>
            </w:tcBorders>
          </w:tcPr>
          <w:p w14:paraId="5303BBD4" w14:textId="77777777" w:rsidR="00D36168" w:rsidRDefault="00D36168" w:rsidP="006972EF">
            <w:pPr>
              <w:keepNext/>
              <w:rPr>
                <w:noProof/>
                <w:lang w:eastAsia="en-AU"/>
              </w:rPr>
            </w:pPr>
          </w:p>
        </w:tc>
        <w:tc>
          <w:tcPr>
            <w:tcW w:w="2971" w:type="dxa"/>
            <w:gridSpan w:val="2"/>
            <w:tcBorders>
              <w:bottom w:val="single" w:sz="4" w:space="0" w:color="BCBEC0"/>
            </w:tcBorders>
          </w:tcPr>
          <w:p w14:paraId="51499D70" w14:textId="77777777" w:rsidR="00D36168" w:rsidRPr="00257C73" w:rsidRDefault="00D36168" w:rsidP="006972EF">
            <w:pPr>
              <w:rPr>
                <w:sz w:val="20"/>
              </w:rPr>
            </w:pPr>
            <w:r w:rsidRPr="00257C73">
              <w:rPr>
                <w:sz w:val="20"/>
              </w:rPr>
              <w:t>Influence and Negotiate</w:t>
            </w:r>
          </w:p>
        </w:tc>
        <w:tc>
          <w:tcPr>
            <w:tcW w:w="4770" w:type="dxa"/>
            <w:tcBorders>
              <w:bottom w:val="single" w:sz="4" w:space="0" w:color="BCBEC0"/>
            </w:tcBorders>
          </w:tcPr>
          <w:p w14:paraId="1029C155" w14:textId="77777777" w:rsidR="00D36168" w:rsidRPr="00257C73" w:rsidRDefault="00D36168" w:rsidP="006972EF">
            <w:pPr>
              <w:rPr>
                <w:sz w:val="20"/>
              </w:rPr>
            </w:pPr>
            <w:r w:rsidRPr="00257C73">
              <w:rPr>
                <w:sz w:val="20"/>
              </w:rPr>
              <w:t>Gain consensus and commitment from others, and resolve issues and conflicts</w:t>
            </w:r>
          </w:p>
        </w:tc>
        <w:tc>
          <w:tcPr>
            <w:tcW w:w="1606" w:type="dxa"/>
            <w:tcBorders>
              <w:bottom w:val="single" w:sz="4" w:space="0" w:color="BCBEC0"/>
            </w:tcBorders>
          </w:tcPr>
          <w:p w14:paraId="2CEAA615" w14:textId="523EF513" w:rsidR="00D36168" w:rsidRPr="00257C73" w:rsidRDefault="004067A2" w:rsidP="006972EF">
            <w:pPr>
              <w:rPr>
                <w:sz w:val="20"/>
              </w:rPr>
            </w:pPr>
            <w:r w:rsidRPr="00257C73">
              <w:rPr>
                <w:sz w:val="20"/>
              </w:rPr>
              <w:t>Advanced</w:t>
            </w:r>
          </w:p>
        </w:tc>
      </w:tr>
      <w:tr w:rsidR="00D36168" w:rsidRPr="00C978B9" w14:paraId="5BC82D62" w14:textId="77777777" w:rsidTr="006972EF">
        <w:tc>
          <w:tcPr>
            <w:tcW w:w="1406" w:type="dxa"/>
            <w:vMerge w:val="restart"/>
            <w:tcBorders>
              <w:bottom w:val="single" w:sz="4" w:space="0" w:color="BCBEC0"/>
            </w:tcBorders>
          </w:tcPr>
          <w:p w14:paraId="2903383E" w14:textId="77777777" w:rsidR="00D36168" w:rsidRDefault="00D36168" w:rsidP="006972EF">
            <w:pPr>
              <w:keepNext/>
            </w:pPr>
          </w:p>
          <w:p w14:paraId="7B917949" w14:textId="77777777" w:rsidR="00D36168" w:rsidRPr="00C978B9" w:rsidRDefault="00D36168" w:rsidP="006972EF">
            <w:pPr>
              <w:keepNext/>
            </w:pPr>
            <w:r w:rsidRPr="00C978B9">
              <w:rPr>
                <w:noProof/>
                <w:lang w:eastAsia="en-AU"/>
              </w:rPr>
              <w:drawing>
                <wp:inline distT="0" distB="0" distL="0" distR="0" wp14:anchorId="7DB0360A" wp14:editId="7F7EA450">
                  <wp:extent cx="854015" cy="854015"/>
                  <wp:effectExtent l="0" t="0" r="3810" b="3810"/>
                  <wp:docPr id="236648138"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48138" name="results.jpg" descr="A green square with a check mark in i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6E6F2C3" w14:textId="77777777" w:rsidR="00D36168" w:rsidRPr="00257C73" w:rsidRDefault="00D36168" w:rsidP="006972EF">
            <w:pPr>
              <w:rPr>
                <w:sz w:val="20"/>
              </w:rPr>
            </w:pPr>
            <w:r w:rsidRPr="00257C73">
              <w:rPr>
                <w:sz w:val="20"/>
              </w:rPr>
              <w:t>Plan and Prioritise</w:t>
            </w:r>
          </w:p>
        </w:tc>
        <w:tc>
          <w:tcPr>
            <w:tcW w:w="4770" w:type="dxa"/>
            <w:tcBorders>
              <w:bottom w:val="single" w:sz="4" w:space="0" w:color="BCBEC0"/>
            </w:tcBorders>
          </w:tcPr>
          <w:p w14:paraId="34FBE574" w14:textId="77777777" w:rsidR="00D36168" w:rsidRPr="00257C73" w:rsidRDefault="00D36168" w:rsidP="006972EF">
            <w:pPr>
              <w:rPr>
                <w:sz w:val="20"/>
              </w:rPr>
            </w:pPr>
            <w:r w:rsidRPr="00257C73">
              <w:rPr>
                <w:sz w:val="20"/>
              </w:rPr>
              <w:t>Plan to achieve priority outcomes and respond flexibly to changing circumstances</w:t>
            </w:r>
          </w:p>
        </w:tc>
        <w:tc>
          <w:tcPr>
            <w:tcW w:w="1606" w:type="dxa"/>
            <w:tcBorders>
              <w:bottom w:val="single" w:sz="4" w:space="0" w:color="BCBEC0"/>
            </w:tcBorders>
          </w:tcPr>
          <w:p w14:paraId="3E9E58F9" w14:textId="1C95E81A" w:rsidR="00D36168" w:rsidRPr="00257C73" w:rsidRDefault="004067A2" w:rsidP="006972EF">
            <w:pPr>
              <w:rPr>
                <w:sz w:val="20"/>
              </w:rPr>
            </w:pPr>
            <w:r w:rsidRPr="00257C73">
              <w:rPr>
                <w:sz w:val="20"/>
              </w:rPr>
              <w:t>Adept</w:t>
            </w:r>
          </w:p>
        </w:tc>
      </w:tr>
      <w:tr w:rsidR="00D36168" w:rsidRPr="00C978B9" w14:paraId="459A3384" w14:textId="77777777" w:rsidTr="006972EF">
        <w:tc>
          <w:tcPr>
            <w:tcW w:w="1406" w:type="dxa"/>
            <w:vMerge/>
            <w:tcBorders>
              <w:bottom w:val="single" w:sz="4" w:space="0" w:color="BCBEC0"/>
            </w:tcBorders>
          </w:tcPr>
          <w:p w14:paraId="2981FC25" w14:textId="77777777" w:rsidR="00D36168" w:rsidRDefault="00D36168" w:rsidP="006972EF">
            <w:pPr>
              <w:keepNext/>
            </w:pPr>
          </w:p>
        </w:tc>
        <w:tc>
          <w:tcPr>
            <w:tcW w:w="2971" w:type="dxa"/>
            <w:gridSpan w:val="2"/>
            <w:tcBorders>
              <w:bottom w:val="single" w:sz="4" w:space="0" w:color="BCBEC0"/>
            </w:tcBorders>
          </w:tcPr>
          <w:p w14:paraId="7AB2CE5C" w14:textId="77777777" w:rsidR="00D36168" w:rsidRPr="00257C73" w:rsidRDefault="00D36168" w:rsidP="006972EF">
            <w:pPr>
              <w:rPr>
                <w:sz w:val="20"/>
              </w:rPr>
            </w:pPr>
            <w:r w:rsidRPr="00257C73">
              <w:rPr>
                <w:sz w:val="20"/>
              </w:rPr>
              <w:t>Demonstrate Accountability</w:t>
            </w:r>
          </w:p>
        </w:tc>
        <w:tc>
          <w:tcPr>
            <w:tcW w:w="4770" w:type="dxa"/>
            <w:tcBorders>
              <w:bottom w:val="single" w:sz="4" w:space="0" w:color="BCBEC0"/>
            </w:tcBorders>
          </w:tcPr>
          <w:p w14:paraId="38A3A518" w14:textId="77777777" w:rsidR="00D36168" w:rsidRPr="00257C73" w:rsidRDefault="00D36168" w:rsidP="006972EF">
            <w:pPr>
              <w:rPr>
                <w:sz w:val="20"/>
              </w:rPr>
            </w:pPr>
            <w:r w:rsidRPr="00257C73">
              <w:rPr>
                <w:sz w:val="20"/>
              </w:rPr>
              <w:t>Be proactive and responsible for own actions, and adhere to legislation, policy and guidelines</w:t>
            </w:r>
          </w:p>
        </w:tc>
        <w:tc>
          <w:tcPr>
            <w:tcW w:w="1606" w:type="dxa"/>
            <w:tcBorders>
              <w:bottom w:val="single" w:sz="4" w:space="0" w:color="BCBEC0"/>
            </w:tcBorders>
          </w:tcPr>
          <w:p w14:paraId="7901655A" w14:textId="0DF327C8" w:rsidR="00D36168" w:rsidRPr="00257C73" w:rsidRDefault="004067A2" w:rsidP="006972EF">
            <w:pPr>
              <w:rPr>
                <w:sz w:val="20"/>
              </w:rPr>
            </w:pPr>
            <w:r w:rsidRPr="00257C73">
              <w:rPr>
                <w:sz w:val="20"/>
              </w:rPr>
              <w:t>Advanced</w:t>
            </w:r>
          </w:p>
        </w:tc>
      </w:tr>
      <w:tr w:rsidR="00D36168" w:rsidRPr="00C978B9" w14:paraId="7D8B351A" w14:textId="77777777" w:rsidTr="006972EF">
        <w:tc>
          <w:tcPr>
            <w:tcW w:w="1406" w:type="dxa"/>
            <w:vMerge w:val="restart"/>
            <w:tcBorders>
              <w:bottom w:val="single" w:sz="4" w:space="0" w:color="BCBEC0"/>
            </w:tcBorders>
          </w:tcPr>
          <w:p w14:paraId="47B738AD" w14:textId="77777777" w:rsidR="00D36168" w:rsidRDefault="00D36168" w:rsidP="006972EF">
            <w:pPr>
              <w:keepNext/>
            </w:pPr>
          </w:p>
          <w:p w14:paraId="5B062A00" w14:textId="77777777" w:rsidR="00D36168" w:rsidRPr="00C978B9" w:rsidRDefault="00D36168" w:rsidP="006972EF">
            <w:pPr>
              <w:keepNext/>
            </w:pPr>
            <w:r w:rsidRPr="00C978B9">
              <w:rPr>
                <w:noProof/>
                <w:lang w:eastAsia="en-AU"/>
              </w:rPr>
              <w:drawing>
                <wp:inline distT="0" distB="0" distL="0" distR="0" wp14:anchorId="26279C37" wp14:editId="64753E20">
                  <wp:extent cx="845388" cy="845388"/>
                  <wp:effectExtent l="0" t="0" r="0" b="0"/>
                  <wp:docPr id="906690552"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90552" name="business-enablers.jpg" descr="A purple square with black gear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6862416" w14:textId="77777777" w:rsidR="00D36168" w:rsidRPr="00257C73" w:rsidRDefault="00D36168" w:rsidP="006972EF">
            <w:pPr>
              <w:rPr>
                <w:sz w:val="20"/>
              </w:rPr>
            </w:pPr>
            <w:r w:rsidRPr="00257C73">
              <w:rPr>
                <w:sz w:val="20"/>
              </w:rPr>
              <w:t>Finance</w:t>
            </w:r>
          </w:p>
        </w:tc>
        <w:tc>
          <w:tcPr>
            <w:tcW w:w="4770" w:type="dxa"/>
            <w:tcBorders>
              <w:bottom w:val="single" w:sz="4" w:space="0" w:color="BCBEC0"/>
            </w:tcBorders>
          </w:tcPr>
          <w:p w14:paraId="33230A8D" w14:textId="77777777" w:rsidR="00D36168" w:rsidRPr="00257C73" w:rsidRDefault="00D36168" w:rsidP="006972EF">
            <w:pPr>
              <w:rPr>
                <w:sz w:val="20"/>
              </w:rPr>
            </w:pPr>
            <w:r w:rsidRPr="00257C73">
              <w:rPr>
                <w:sz w:val="20"/>
              </w:rPr>
              <w:t>Understand and apply financial processes to achieve value for money and minimise financial risk</w:t>
            </w:r>
          </w:p>
        </w:tc>
        <w:tc>
          <w:tcPr>
            <w:tcW w:w="1606" w:type="dxa"/>
            <w:tcBorders>
              <w:bottom w:val="single" w:sz="4" w:space="0" w:color="BCBEC0"/>
            </w:tcBorders>
          </w:tcPr>
          <w:p w14:paraId="6258A3A7" w14:textId="75C45811" w:rsidR="00D36168" w:rsidRPr="00257C73" w:rsidRDefault="004067A2" w:rsidP="006972EF">
            <w:pPr>
              <w:rPr>
                <w:sz w:val="20"/>
              </w:rPr>
            </w:pPr>
            <w:r w:rsidRPr="00257C73">
              <w:rPr>
                <w:sz w:val="20"/>
              </w:rPr>
              <w:t>Advanced</w:t>
            </w:r>
          </w:p>
        </w:tc>
      </w:tr>
      <w:tr w:rsidR="00D36168" w:rsidRPr="00C978B9" w14:paraId="71D5BC9A" w14:textId="77777777" w:rsidTr="006972EF">
        <w:tc>
          <w:tcPr>
            <w:tcW w:w="1406" w:type="dxa"/>
            <w:vMerge/>
            <w:tcBorders>
              <w:bottom w:val="single" w:sz="4" w:space="0" w:color="BCBEC0"/>
            </w:tcBorders>
          </w:tcPr>
          <w:p w14:paraId="608114D0" w14:textId="77777777" w:rsidR="00D36168" w:rsidRDefault="00D36168" w:rsidP="006972EF">
            <w:pPr>
              <w:keepNext/>
              <w:rPr>
                <w:noProof/>
                <w:lang w:eastAsia="en-AU"/>
              </w:rPr>
            </w:pPr>
          </w:p>
        </w:tc>
        <w:tc>
          <w:tcPr>
            <w:tcW w:w="2971" w:type="dxa"/>
            <w:gridSpan w:val="2"/>
            <w:tcBorders>
              <w:bottom w:val="single" w:sz="4" w:space="0" w:color="BCBEC0"/>
            </w:tcBorders>
          </w:tcPr>
          <w:p w14:paraId="53085ED5" w14:textId="77777777" w:rsidR="00D36168" w:rsidRPr="00257C73" w:rsidRDefault="00D36168" w:rsidP="006972EF">
            <w:pPr>
              <w:rPr>
                <w:sz w:val="20"/>
              </w:rPr>
            </w:pPr>
            <w:r w:rsidRPr="00257C73">
              <w:rPr>
                <w:sz w:val="20"/>
              </w:rPr>
              <w:t>Technology</w:t>
            </w:r>
          </w:p>
        </w:tc>
        <w:tc>
          <w:tcPr>
            <w:tcW w:w="4770" w:type="dxa"/>
            <w:tcBorders>
              <w:bottom w:val="single" w:sz="4" w:space="0" w:color="BCBEC0"/>
            </w:tcBorders>
          </w:tcPr>
          <w:p w14:paraId="032AE11B" w14:textId="77777777" w:rsidR="00D36168" w:rsidRPr="00257C73" w:rsidRDefault="00D36168" w:rsidP="006972EF">
            <w:pPr>
              <w:rPr>
                <w:sz w:val="20"/>
              </w:rPr>
            </w:pPr>
            <w:r w:rsidRPr="00257C73">
              <w:rPr>
                <w:sz w:val="20"/>
              </w:rPr>
              <w:t>Understand and use available technologies to maximise efficiencies and effectiveness</w:t>
            </w:r>
          </w:p>
        </w:tc>
        <w:tc>
          <w:tcPr>
            <w:tcW w:w="1606" w:type="dxa"/>
            <w:tcBorders>
              <w:bottom w:val="single" w:sz="4" w:space="0" w:color="BCBEC0"/>
            </w:tcBorders>
          </w:tcPr>
          <w:p w14:paraId="1F0A867A" w14:textId="1C9C2AD9" w:rsidR="00D36168" w:rsidRPr="00257C73" w:rsidRDefault="004067A2" w:rsidP="006972EF">
            <w:pPr>
              <w:rPr>
                <w:sz w:val="20"/>
              </w:rPr>
            </w:pPr>
            <w:r w:rsidRPr="00257C73">
              <w:rPr>
                <w:sz w:val="20"/>
              </w:rPr>
              <w:t>Adept</w:t>
            </w:r>
          </w:p>
        </w:tc>
      </w:tr>
      <w:tr w:rsidR="00D36168" w:rsidRPr="00C978B9" w14:paraId="4CA9D6BD" w14:textId="77777777" w:rsidTr="006972EF">
        <w:tc>
          <w:tcPr>
            <w:tcW w:w="1406" w:type="dxa"/>
            <w:vMerge/>
            <w:tcBorders>
              <w:bottom w:val="single" w:sz="4" w:space="0" w:color="BCBEC0"/>
            </w:tcBorders>
          </w:tcPr>
          <w:p w14:paraId="2FB15F53" w14:textId="77777777" w:rsidR="00D36168" w:rsidRDefault="00D36168" w:rsidP="006972EF">
            <w:pPr>
              <w:keepNext/>
              <w:rPr>
                <w:noProof/>
                <w:lang w:eastAsia="en-AU"/>
              </w:rPr>
            </w:pPr>
          </w:p>
        </w:tc>
        <w:tc>
          <w:tcPr>
            <w:tcW w:w="2971" w:type="dxa"/>
            <w:gridSpan w:val="2"/>
            <w:tcBorders>
              <w:bottom w:val="single" w:sz="4" w:space="0" w:color="BCBEC0"/>
            </w:tcBorders>
          </w:tcPr>
          <w:p w14:paraId="42A2C4E6" w14:textId="77777777" w:rsidR="00D36168" w:rsidRPr="00257C73" w:rsidRDefault="00D36168" w:rsidP="006972EF">
            <w:pPr>
              <w:rPr>
                <w:sz w:val="20"/>
              </w:rPr>
            </w:pPr>
            <w:r w:rsidRPr="00257C73">
              <w:rPr>
                <w:sz w:val="20"/>
              </w:rPr>
              <w:t>Procurement and Contract Management</w:t>
            </w:r>
          </w:p>
        </w:tc>
        <w:tc>
          <w:tcPr>
            <w:tcW w:w="4770" w:type="dxa"/>
            <w:tcBorders>
              <w:bottom w:val="single" w:sz="4" w:space="0" w:color="BCBEC0"/>
            </w:tcBorders>
          </w:tcPr>
          <w:p w14:paraId="79688BE9" w14:textId="77777777" w:rsidR="00D36168" w:rsidRPr="00257C73" w:rsidRDefault="00D36168" w:rsidP="006972EF">
            <w:pPr>
              <w:rPr>
                <w:sz w:val="20"/>
              </w:rPr>
            </w:pPr>
            <w:r w:rsidRPr="00257C73">
              <w:rPr>
                <w:sz w:val="20"/>
              </w:rPr>
              <w:t>Understand and apply procurement processes to ensure effective purchasing and contract performance</w:t>
            </w:r>
          </w:p>
        </w:tc>
        <w:tc>
          <w:tcPr>
            <w:tcW w:w="1606" w:type="dxa"/>
            <w:tcBorders>
              <w:bottom w:val="single" w:sz="4" w:space="0" w:color="BCBEC0"/>
            </w:tcBorders>
          </w:tcPr>
          <w:p w14:paraId="3ACC5A1D" w14:textId="48F77255" w:rsidR="00D36168" w:rsidRPr="00257C73" w:rsidRDefault="004067A2" w:rsidP="006972EF">
            <w:pPr>
              <w:rPr>
                <w:sz w:val="20"/>
              </w:rPr>
            </w:pPr>
            <w:r w:rsidRPr="00257C73">
              <w:rPr>
                <w:sz w:val="20"/>
              </w:rPr>
              <w:t>A</w:t>
            </w:r>
            <w:r w:rsidR="00C84FF5">
              <w:rPr>
                <w:sz w:val="20"/>
              </w:rPr>
              <w:t>dvanced</w:t>
            </w:r>
          </w:p>
        </w:tc>
      </w:tr>
      <w:tr w:rsidR="00D36168" w:rsidRPr="00C978B9" w14:paraId="571A9961" w14:textId="77777777" w:rsidTr="006972EF">
        <w:tc>
          <w:tcPr>
            <w:tcW w:w="1406" w:type="dxa"/>
            <w:vMerge w:val="restart"/>
            <w:tcBorders>
              <w:bottom w:val="single" w:sz="4" w:space="0" w:color="BCBEC0"/>
            </w:tcBorders>
          </w:tcPr>
          <w:p w14:paraId="2A9FE016" w14:textId="77777777" w:rsidR="00D36168" w:rsidRDefault="00D36168" w:rsidP="006972EF">
            <w:pPr>
              <w:keepNext/>
            </w:pPr>
          </w:p>
          <w:p w14:paraId="52647426" w14:textId="77777777" w:rsidR="00D36168" w:rsidRPr="00C978B9" w:rsidRDefault="00D36168" w:rsidP="006972EF">
            <w:pPr>
              <w:keepNext/>
            </w:pPr>
            <w:r w:rsidRPr="00C978B9">
              <w:rPr>
                <w:noProof/>
                <w:lang w:eastAsia="en-AU"/>
              </w:rPr>
              <w:drawing>
                <wp:inline distT="0" distB="0" distL="0" distR="0" wp14:anchorId="26CACBE6" wp14:editId="57F89ED9">
                  <wp:extent cx="847725" cy="847725"/>
                  <wp:effectExtent l="0" t="0" r="9525" b="9525"/>
                  <wp:docPr id="1878066353" name="people-management.jpg" descr="A blue sign with black text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66353" name="people-management.jpg" descr="A blue sign with black text and peopl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72C8AC92" w14:textId="77777777" w:rsidR="00D36168" w:rsidRPr="00257C73" w:rsidRDefault="00D36168" w:rsidP="006972EF">
            <w:pPr>
              <w:rPr>
                <w:sz w:val="20"/>
              </w:rPr>
            </w:pPr>
            <w:r w:rsidRPr="00257C73">
              <w:rPr>
                <w:sz w:val="20"/>
              </w:rPr>
              <w:t>Optimise Business Outcomes</w:t>
            </w:r>
          </w:p>
        </w:tc>
        <w:tc>
          <w:tcPr>
            <w:tcW w:w="4770" w:type="dxa"/>
            <w:tcBorders>
              <w:bottom w:val="single" w:sz="4" w:space="0" w:color="BCBEC0"/>
            </w:tcBorders>
          </w:tcPr>
          <w:p w14:paraId="179143EB" w14:textId="77777777" w:rsidR="00D36168" w:rsidRPr="00257C73" w:rsidRDefault="00D36168" w:rsidP="006972EF">
            <w:pPr>
              <w:rPr>
                <w:sz w:val="20"/>
              </w:rPr>
            </w:pPr>
            <w:r w:rsidRPr="00257C73">
              <w:rPr>
                <w:sz w:val="20"/>
              </w:rPr>
              <w:t>Manage people and resources effectively to achieve public value</w:t>
            </w:r>
          </w:p>
        </w:tc>
        <w:tc>
          <w:tcPr>
            <w:tcW w:w="1606" w:type="dxa"/>
            <w:tcBorders>
              <w:bottom w:val="single" w:sz="4" w:space="0" w:color="BCBEC0"/>
            </w:tcBorders>
          </w:tcPr>
          <w:p w14:paraId="3AE750FC" w14:textId="2FE7DCC3" w:rsidR="00D36168" w:rsidRPr="00257C73" w:rsidRDefault="00C84FF5" w:rsidP="006972EF">
            <w:pPr>
              <w:rPr>
                <w:sz w:val="20"/>
              </w:rPr>
            </w:pPr>
            <w:r>
              <w:rPr>
                <w:sz w:val="20"/>
              </w:rPr>
              <w:t xml:space="preserve">Highly </w:t>
            </w:r>
            <w:r w:rsidR="004067A2" w:rsidRPr="00257C73">
              <w:rPr>
                <w:sz w:val="20"/>
              </w:rPr>
              <w:t>Advanced</w:t>
            </w:r>
          </w:p>
        </w:tc>
      </w:tr>
      <w:tr w:rsidR="00D36168" w:rsidRPr="00C978B9" w14:paraId="120565A4" w14:textId="77777777" w:rsidTr="006972EF">
        <w:tc>
          <w:tcPr>
            <w:tcW w:w="1406" w:type="dxa"/>
            <w:vMerge/>
            <w:tcBorders>
              <w:bottom w:val="single" w:sz="4" w:space="0" w:color="BCBEC0"/>
            </w:tcBorders>
          </w:tcPr>
          <w:p w14:paraId="327B032B" w14:textId="77777777" w:rsidR="00D36168" w:rsidRDefault="00D36168" w:rsidP="006972EF">
            <w:pPr>
              <w:keepNext/>
            </w:pPr>
          </w:p>
        </w:tc>
        <w:tc>
          <w:tcPr>
            <w:tcW w:w="2971" w:type="dxa"/>
            <w:gridSpan w:val="2"/>
            <w:tcBorders>
              <w:bottom w:val="single" w:sz="4" w:space="0" w:color="BCBEC0"/>
            </w:tcBorders>
          </w:tcPr>
          <w:p w14:paraId="343555CC" w14:textId="77777777" w:rsidR="00D36168" w:rsidRPr="00257C73" w:rsidRDefault="00D36168" w:rsidP="006972EF">
            <w:pPr>
              <w:rPr>
                <w:sz w:val="20"/>
              </w:rPr>
            </w:pPr>
            <w:r w:rsidRPr="00257C73">
              <w:rPr>
                <w:sz w:val="20"/>
              </w:rPr>
              <w:t>Manage Reform and Change</w:t>
            </w:r>
          </w:p>
        </w:tc>
        <w:tc>
          <w:tcPr>
            <w:tcW w:w="4770" w:type="dxa"/>
            <w:tcBorders>
              <w:bottom w:val="single" w:sz="4" w:space="0" w:color="BCBEC0"/>
            </w:tcBorders>
          </w:tcPr>
          <w:p w14:paraId="7D295064" w14:textId="77777777" w:rsidR="00D36168" w:rsidRPr="00257C73" w:rsidRDefault="00D36168" w:rsidP="006972EF">
            <w:pPr>
              <w:rPr>
                <w:sz w:val="20"/>
              </w:rPr>
            </w:pPr>
            <w:r w:rsidRPr="00257C73">
              <w:rPr>
                <w:sz w:val="20"/>
              </w:rPr>
              <w:t>Support, promote and champion change, and assist others to engage with change</w:t>
            </w:r>
          </w:p>
        </w:tc>
        <w:tc>
          <w:tcPr>
            <w:tcW w:w="1606" w:type="dxa"/>
            <w:tcBorders>
              <w:bottom w:val="single" w:sz="4" w:space="0" w:color="BCBEC0"/>
            </w:tcBorders>
          </w:tcPr>
          <w:p w14:paraId="34FE1200" w14:textId="510BE37C" w:rsidR="00D36168" w:rsidRPr="00257C73" w:rsidRDefault="004067A2" w:rsidP="006972EF">
            <w:pPr>
              <w:rPr>
                <w:sz w:val="20"/>
              </w:rPr>
            </w:pPr>
            <w:r w:rsidRPr="00257C73">
              <w:rPr>
                <w:sz w:val="20"/>
              </w:rPr>
              <w:t>Adept</w:t>
            </w:r>
          </w:p>
        </w:tc>
      </w:tr>
      <w:bookmarkEnd w:id="10"/>
    </w:tbl>
    <w:p w14:paraId="7418FDAC" w14:textId="77777777" w:rsidR="00D36168" w:rsidRPr="003927AE" w:rsidRDefault="00D36168" w:rsidP="00D36168"/>
    <w:p w14:paraId="053F16AD" w14:textId="1877DC65" w:rsidR="009E0B71" w:rsidRDefault="009E0B71" w:rsidP="00257C73">
      <w:pPr>
        <w:pStyle w:val="Heading2"/>
      </w:pPr>
    </w:p>
    <w:sectPr w:rsidR="009E0B71" w:rsidSect="00E0696A">
      <w:footerReference w:type="default" r:id="rId23"/>
      <w:footerReference w:type="first" r:id="rId24"/>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35FC1" w14:textId="77777777" w:rsidR="0058095D" w:rsidRDefault="0058095D" w:rsidP="00913608">
      <w:pPr>
        <w:spacing w:after="0"/>
      </w:pPr>
      <w:r>
        <w:separator/>
      </w:r>
    </w:p>
  </w:endnote>
  <w:endnote w:type="continuationSeparator" w:id="0">
    <w:p w14:paraId="3A22E56A" w14:textId="77777777" w:rsidR="0058095D" w:rsidRDefault="0058095D" w:rsidP="00913608">
      <w:pPr>
        <w:spacing w:after="0"/>
      </w:pPr>
      <w:r>
        <w:continuationSeparator/>
      </w:r>
    </w:p>
  </w:endnote>
  <w:endnote w:type="continuationNotice" w:id="1">
    <w:p w14:paraId="7C5F1BB3" w14:textId="77777777" w:rsidR="0058095D" w:rsidRDefault="0058095D" w:rsidP="009136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2E32" w14:textId="77167CDE" w:rsidR="00115AF2" w:rsidRDefault="00115AF2" w:rsidP="00F20050">
    <w:pPr>
      <w:pStyle w:val="Footer"/>
      <w:tabs>
        <w:tab w:val="clear" w:pos="4513"/>
        <w:tab w:val="center" w:pos="5103"/>
      </w:tabs>
    </w:pPr>
    <w:r w:rsidRPr="00E97E4E">
      <w:rPr>
        <w:color w:val="262626" w:themeColor="text1" w:themeTint="D9"/>
      </w:rPr>
      <w:t>Role Description</w:t>
    </w:r>
    <w:r w:rsidR="00C45CAA">
      <w:rPr>
        <w:color w:val="262626" w:themeColor="text1" w:themeTint="D9"/>
      </w:rPr>
      <w:t>:</w:t>
    </w:r>
    <w:r w:rsidRPr="00E97E4E">
      <w:rPr>
        <w:color w:val="262626" w:themeColor="text1" w:themeTint="D9"/>
      </w:rPr>
      <w:t xml:space="preserve"> </w:t>
    </w:r>
    <w:r w:rsidR="009E4A5D" w:rsidRPr="00F20050">
      <w:rPr>
        <w:color w:val="262626" w:themeColor="text1" w:themeTint="D9"/>
      </w:rPr>
      <w:t>Director</w:t>
    </w:r>
    <w:r w:rsidR="00C45CAA">
      <w:rPr>
        <w:color w:val="262626" w:themeColor="text1" w:themeTint="D9"/>
      </w:rPr>
      <w:t>,</w:t>
    </w:r>
    <w:r w:rsidR="009E4A5D" w:rsidRPr="00F20050">
      <w:rPr>
        <w:color w:val="262626" w:themeColor="text1" w:themeTint="D9"/>
      </w:rPr>
      <w:t xml:space="preserve"> Careers and Pathways</w:t>
    </w:r>
    <w:r w:rsidR="00683471">
      <w:rPr>
        <w:color w:val="262626" w:themeColor="text1" w:themeTint="D9"/>
      </w:rPr>
      <w:t xml:space="preserve"> Programs</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57BD4767" wp14:editId="136922A5">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26432EAC" w14:textId="77777777" w:rsidR="00A90F97" w:rsidRPr="001E2B26" w:rsidRDefault="00A90F97" w:rsidP="00051237">
    <w:pPr>
      <w:pStyle w:val="Footer"/>
      <w:rPr>
        <w:sz w:val="12"/>
        <w:szCs w:val="12"/>
      </w:rPr>
    </w:pPr>
  </w:p>
  <w:p w14:paraId="7A6255B9" w14:textId="77777777" w:rsidR="004210AA" w:rsidRDefault="004210AA" w:rsidP="00257C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0156" w14:textId="03332110" w:rsidR="00A90F97" w:rsidRDefault="00115AF2" w:rsidP="00115AF2">
    <w:pPr>
      <w:pStyle w:val="Footer"/>
      <w:tabs>
        <w:tab w:val="clear" w:pos="4513"/>
        <w:tab w:val="clear" w:pos="9026"/>
        <w:tab w:val="center" w:pos="5103"/>
        <w:tab w:val="right" w:pos="10488"/>
      </w:tabs>
    </w:pP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4362E0D1" wp14:editId="435799B4">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7EBE4649" w14:textId="77777777" w:rsidR="004210AA" w:rsidRDefault="004210AA" w:rsidP="00257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BDE00" w14:textId="77777777" w:rsidR="0058095D" w:rsidRDefault="0058095D" w:rsidP="00913608">
      <w:pPr>
        <w:spacing w:after="0"/>
      </w:pPr>
      <w:r>
        <w:separator/>
      </w:r>
    </w:p>
  </w:footnote>
  <w:footnote w:type="continuationSeparator" w:id="0">
    <w:p w14:paraId="2C79CDAA" w14:textId="77777777" w:rsidR="0058095D" w:rsidRDefault="0058095D" w:rsidP="00913608">
      <w:pPr>
        <w:spacing w:after="0"/>
      </w:pPr>
      <w:r>
        <w:continuationSeparator/>
      </w:r>
    </w:p>
  </w:footnote>
  <w:footnote w:type="continuationNotice" w:id="1">
    <w:p w14:paraId="6FA845EE" w14:textId="77777777" w:rsidR="0058095D" w:rsidRDefault="0058095D" w:rsidP="009136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5A69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525D50"/>
    <w:multiLevelType w:val="hybridMultilevel"/>
    <w:tmpl w:val="4C163B3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817B7A"/>
    <w:multiLevelType w:val="hybridMultilevel"/>
    <w:tmpl w:val="71A8D3B6"/>
    <w:lvl w:ilvl="0" w:tplc="0C090001">
      <w:start w:val="1"/>
      <w:numFmt w:val="bullet"/>
      <w:lvlText w:val=""/>
      <w:lvlJc w:val="left"/>
      <w:pPr>
        <w:ind w:left="360" w:hanging="360"/>
      </w:pPr>
      <w:rPr>
        <w:rFonts w:ascii="Symbol" w:hAnsi="Symbol" w:hint="default"/>
      </w:rPr>
    </w:lvl>
    <w:lvl w:ilvl="1" w:tplc="9BB01B3A">
      <w:numFmt w:val="bullet"/>
      <w:lvlText w:val="•"/>
      <w:lvlJc w:val="left"/>
      <w:pPr>
        <w:ind w:left="1440" w:hanging="720"/>
      </w:pPr>
      <w:rPr>
        <w:rFonts w:ascii="Georgia" w:eastAsiaTheme="minorHAnsi" w:hAnsi="Georgi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F710F86"/>
    <w:multiLevelType w:val="hybridMultilevel"/>
    <w:tmpl w:val="6F441BD4"/>
    <w:lvl w:ilvl="0" w:tplc="036CC9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AD3AF9"/>
    <w:multiLevelType w:val="hybridMultilevel"/>
    <w:tmpl w:val="D4C8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F300E3A"/>
    <w:multiLevelType w:val="hybridMultilevel"/>
    <w:tmpl w:val="01FC78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31268F"/>
    <w:multiLevelType w:val="hybridMultilevel"/>
    <w:tmpl w:val="E3A23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56274FDA"/>
    <w:multiLevelType w:val="hybridMultilevel"/>
    <w:tmpl w:val="6468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241499"/>
    <w:multiLevelType w:val="multilevel"/>
    <w:tmpl w:val="D56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046550"/>
    <w:multiLevelType w:val="hybridMultilevel"/>
    <w:tmpl w:val="0C3A5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DF6084"/>
    <w:multiLevelType w:val="multilevel"/>
    <w:tmpl w:val="CC9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5BA237D"/>
    <w:multiLevelType w:val="hybridMultilevel"/>
    <w:tmpl w:val="6046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C83670"/>
    <w:multiLevelType w:val="hybridMultilevel"/>
    <w:tmpl w:val="17DCA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6F2B5D"/>
    <w:multiLevelType w:val="multilevel"/>
    <w:tmpl w:val="B12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92ADFE"/>
    <w:multiLevelType w:val="hybridMultilevel"/>
    <w:tmpl w:val="C89A4856"/>
    <w:lvl w:ilvl="0" w:tplc="9F68CF94">
      <w:start w:val="1"/>
      <w:numFmt w:val="bullet"/>
      <w:lvlText w:val=""/>
      <w:lvlJc w:val="left"/>
      <w:pPr>
        <w:ind w:left="720" w:hanging="360"/>
      </w:pPr>
      <w:rPr>
        <w:rFonts w:ascii="Symbol" w:hAnsi="Symbol" w:hint="default"/>
      </w:rPr>
    </w:lvl>
    <w:lvl w:ilvl="1" w:tplc="20DE3118">
      <w:start w:val="1"/>
      <w:numFmt w:val="bullet"/>
      <w:lvlText w:val="o"/>
      <w:lvlJc w:val="left"/>
      <w:pPr>
        <w:ind w:left="1440" w:hanging="360"/>
      </w:pPr>
      <w:rPr>
        <w:rFonts w:ascii="Courier New" w:hAnsi="Courier New" w:hint="default"/>
      </w:rPr>
    </w:lvl>
    <w:lvl w:ilvl="2" w:tplc="C27A3D34">
      <w:start w:val="1"/>
      <w:numFmt w:val="bullet"/>
      <w:lvlText w:val=""/>
      <w:lvlJc w:val="left"/>
      <w:pPr>
        <w:ind w:left="2160" w:hanging="360"/>
      </w:pPr>
      <w:rPr>
        <w:rFonts w:ascii="Wingdings" w:hAnsi="Wingdings" w:hint="default"/>
      </w:rPr>
    </w:lvl>
    <w:lvl w:ilvl="3" w:tplc="7414824A">
      <w:start w:val="1"/>
      <w:numFmt w:val="bullet"/>
      <w:lvlText w:val=""/>
      <w:lvlJc w:val="left"/>
      <w:pPr>
        <w:ind w:left="2880" w:hanging="360"/>
      </w:pPr>
      <w:rPr>
        <w:rFonts w:ascii="Symbol" w:hAnsi="Symbol" w:hint="default"/>
      </w:rPr>
    </w:lvl>
    <w:lvl w:ilvl="4" w:tplc="D0248784">
      <w:start w:val="1"/>
      <w:numFmt w:val="bullet"/>
      <w:lvlText w:val="o"/>
      <w:lvlJc w:val="left"/>
      <w:pPr>
        <w:ind w:left="3600" w:hanging="360"/>
      </w:pPr>
      <w:rPr>
        <w:rFonts w:ascii="Courier New" w:hAnsi="Courier New" w:hint="default"/>
      </w:rPr>
    </w:lvl>
    <w:lvl w:ilvl="5" w:tplc="5134CA22">
      <w:start w:val="1"/>
      <w:numFmt w:val="bullet"/>
      <w:lvlText w:val=""/>
      <w:lvlJc w:val="left"/>
      <w:pPr>
        <w:ind w:left="4320" w:hanging="360"/>
      </w:pPr>
      <w:rPr>
        <w:rFonts w:ascii="Wingdings" w:hAnsi="Wingdings" w:hint="default"/>
      </w:rPr>
    </w:lvl>
    <w:lvl w:ilvl="6" w:tplc="17E4DA66">
      <w:start w:val="1"/>
      <w:numFmt w:val="bullet"/>
      <w:lvlText w:val=""/>
      <w:lvlJc w:val="left"/>
      <w:pPr>
        <w:ind w:left="5040" w:hanging="360"/>
      </w:pPr>
      <w:rPr>
        <w:rFonts w:ascii="Symbol" w:hAnsi="Symbol" w:hint="default"/>
      </w:rPr>
    </w:lvl>
    <w:lvl w:ilvl="7" w:tplc="F43C227A">
      <w:start w:val="1"/>
      <w:numFmt w:val="bullet"/>
      <w:lvlText w:val="o"/>
      <w:lvlJc w:val="left"/>
      <w:pPr>
        <w:ind w:left="5760" w:hanging="360"/>
      </w:pPr>
      <w:rPr>
        <w:rFonts w:ascii="Courier New" w:hAnsi="Courier New" w:hint="default"/>
      </w:rPr>
    </w:lvl>
    <w:lvl w:ilvl="8" w:tplc="F8348FA8">
      <w:start w:val="1"/>
      <w:numFmt w:val="bullet"/>
      <w:lvlText w:val=""/>
      <w:lvlJc w:val="left"/>
      <w:pPr>
        <w:ind w:left="6480" w:hanging="360"/>
      </w:pPr>
      <w:rPr>
        <w:rFonts w:ascii="Wingdings" w:hAnsi="Wingdings" w:hint="default"/>
      </w:rPr>
    </w:lvl>
  </w:abstractNum>
  <w:num w:numId="1" w16cid:durableId="1092046825">
    <w:abstractNumId w:val="50"/>
  </w:num>
  <w:num w:numId="2" w16cid:durableId="323778756">
    <w:abstractNumId w:val="9"/>
  </w:num>
  <w:num w:numId="3" w16cid:durableId="1832987808">
    <w:abstractNumId w:val="7"/>
  </w:num>
  <w:num w:numId="4" w16cid:durableId="724448799">
    <w:abstractNumId w:val="6"/>
  </w:num>
  <w:num w:numId="5" w16cid:durableId="793325867">
    <w:abstractNumId w:val="5"/>
  </w:num>
  <w:num w:numId="6" w16cid:durableId="1101679838">
    <w:abstractNumId w:val="4"/>
  </w:num>
  <w:num w:numId="7" w16cid:durableId="1940260890">
    <w:abstractNumId w:val="8"/>
  </w:num>
  <w:num w:numId="8" w16cid:durableId="730234659">
    <w:abstractNumId w:val="3"/>
  </w:num>
  <w:num w:numId="9" w16cid:durableId="1033769805">
    <w:abstractNumId w:val="2"/>
  </w:num>
  <w:num w:numId="10" w16cid:durableId="2085488356">
    <w:abstractNumId w:val="1"/>
  </w:num>
  <w:num w:numId="11" w16cid:durableId="1151485819">
    <w:abstractNumId w:val="0"/>
  </w:num>
  <w:num w:numId="12" w16cid:durableId="1987203527">
    <w:abstractNumId w:val="20"/>
  </w:num>
  <w:num w:numId="13" w16cid:durableId="2039040967">
    <w:abstractNumId w:val="40"/>
  </w:num>
  <w:num w:numId="14" w16cid:durableId="527372570">
    <w:abstractNumId w:val="40"/>
  </w:num>
  <w:num w:numId="15" w16cid:durableId="424348890">
    <w:abstractNumId w:val="22"/>
  </w:num>
  <w:num w:numId="16" w16cid:durableId="1378893289">
    <w:abstractNumId w:val="22"/>
  </w:num>
  <w:num w:numId="17" w16cid:durableId="1399668399">
    <w:abstractNumId w:val="22"/>
  </w:num>
  <w:num w:numId="18" w16cid:durableId="1666737519">
    <w:abstractNumId w:val="22"/>
  </w:num>
  <w:num w:numId="19" w16cid:durableId="315958304">
    <w:abstractNumId w:val="22"/>
  </w:num>
  <w:num w:numId="20" w16cid:durableId="55016163">
    <w:abstractNumId w:val="22"/>
  </w:num>
  <w:num w:numId="21" w16cid:durableId="1618372363">
    <w:abstractNumId w:val="43"/>
  </w:num>
  <w:num w:numId="22" w16cid:durableId="1543908276">
    <w:abstractNumId w:val="35"/>
  </w:num>
  <w:num w:numId="23" w16cid:durableId="1154370941">
    <w:abstractNumId w:val="29"/>
  </w:num>
  <w:num w:numId="24" w16cid:durableId="803238612">
    <w:abstractNumId w:val="31"/>
  </w:num>
  <w:num w:numId="25" w16cid:durableId="1360928880">
    <w:abstractNumId w:val="26"/>
  </w:num>
  <w:num w:numId="26" w16cid:durableId="899051553">
    <w:abstractNumId w:val="47"/>
  </w:num>
  <w:num w:numId="27" w16cid:durableId="1100612341">
    <w:abstractNumId w:val="25"/>
  </w:num>
  <w:num w:numId="28" w16cid:durableId="65154093">
    <w:abstractNumId w:val="9"/>
  </w:num>
  <w:num w:numId="29" w16cid:durableId="520558549">
    <w:abstractNumId w:val="24"/>
  </w:num>
  <w:num w:numId="30" w16cid:durableId="394739825">
    <w:abstractNumId w:val="9"/>
  </w:num>
  <w:num w:numId="31" w16cid:durableId="1774518512">
    <w:abstractNumId w:val="9"/>
  </w:num>
  <w:num w:numId="32" w16cid:durableId="1493791971">
    <w:abstractNumId w:val="18"/>
  </w:num>
  <w:num w:numId="33" w16cid:durableId="492061706">
    <w:abstractNumId w:val="12"/>
  </w:num>
  <w:num w:numId="34" w16cid:durableId="1848792152">
    <w:abstractNumId w:val="48"/>
  </w:num>
  <w:num w:numId="35" w16cid:durableId="196354633">
    <w:abstractNumId w:val="16"/>
  </w:num>
  <w:num w:numId="36" w16cid:durableId="882670026">
    <w:abstractNumId w:val="41"/>
  </w:num>
  <w:num w:numId="37" w16cid:durableId="214900008">
    <w:abstractNumId w:val="32"/>
  </w:num>
  <w:num w:numId="38" w16cid:durableId="1178495580">
    <w:abstractNumId w:val="19"/>
  </w:num>
  <w:num w:numId="39" w16cid:durableId="1192763480">
    <w:abstractNumId w:val="44"/>
  </w:num>
  <w:num w:numId="40" w16cid:durableId="1995717399">
    <w:abstractNumId w:val="9"/>
  </w:num>
  <w:num w:numId="41" w16cid:durableId="1785928469">
    <w:abstractNumId w:val="11"/>
  </w:num>
  <w:num w:numId="42" w16cid:durableId="352726433">
    <w:abstractNumId w:val="36"/>
  </w:num>
  <w:num w:numId="43" w16cid:durableId="1303341297">
    <w:abstractNumId w:val="28"/>
  </w:num>
  <w:num w:numId="44" w16cid:durableId="619459014">
    <w:abstractNumId w:val="14"/>
  </w:num>
  <w:num w:numId="45" w16cid:durableId="526873432">
    <w:abstractNumId w:val="37"/>
  </w:num>
  <w:num w:numId="46" w16cid:durableId="1318874846">
    <w:abstractNumId w:val="9"/>
  </w:num>
  <w:num w:numId="47" w16cid:durableId="284894001">
    <w:abstractNumId w:val="9"/>
  </w:num>
  <w:num w:numId="48" w16cid:durableId="1569002043">
    <w:abstractNumId w:val="9"/>
  </w:num>
  <w:num w:numId="49" w16cid:durableId="1518882448">
    <w:abstractNumId w:val="9"/>
  </w:num>
  <w:num w:numId="50" w16cid:durableId="1791583809">
    <w:abstractNumId w:val="9"/>
  </w:num>
  <w:num w:numId="51" w16cid:durableId="279384281">
    <w:abstractNumId w:val="9"/>
  </w:num>
  <w:num w:numId="52" w16cid:durableId="2028359396">
    <w:abstractNumId w:val="21"/>
  </w:num>
  <w:num w:numId="53" w16cid:durableId="729040738">
    <w:abstractNumId w:val="23"/>
  </w:num>
  <w:num w:numId="54" w16cid:durableId="1204517958">
    <w:abstractNumId w:val="39"/>
  </w:num>
  <w:num w:numId="55" w16cid:durableId="894701896">
    <w:abstractNumId w:val="45"/>
  </w:num>
  <w:num w:numId="56" w16cid:durableId="99110957">
    <w:abstractNumId w:val="33"/>
  </w:num>
  <w:num w:numId="57" w16cid:durableId="1569457129">
    <w:abstractNumId w:val="10"/>
  </w:num>
  <w:num w:numId="58" w16cid:durableId="31929201">
    <w:abstractNumId w:val="13"/>
  </w:num>
  <w:num w:numId="59" w16cid:durableId="1657880532">
    <w:abstractNumId w:val="17"/>
  </w:num>
  <w:num w:numId="60" w16cid:durableId="286594450">
    <w:abstractNumId w:val="38"/>
  </w:num>
  <w:num w:numId="61" w16cid:durableId="577445749">
    <w:abstractNumId w:val="49"/>
  </w:num>
  <w:num w:numId="62" w16cid:durableId="647786824">
    <w:abstractNumId w:val="34"/>
  </w:num>
  <w:num w:numId="63" w16cid:durableId="1600062484">
    <w:abstractNumId w:val="42"/>
  </w:num>
  <w:num w:numId="64" w16cid:durableId="1379280546">
    <w:abstractNumId w:val="30"/>
  </w:num>
  <w:num w:numId="65" w16cid:durableId="1209683577">
    <w:abstractNumId w:val="27"/>
  </w:num>
  <w:num w:numId="66" w16cid:durableId="500201486">
    <w:abstractNumId w:val="15"/>
  </w:num>
  <w:num w:numId="67" w16cid:durableId="1783961400">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5219"/>
    <w:rsid w:val="00006660"/>
    <w:rsid w:val="0001016C"/>
    <w:rsid w:val="0001128F"/>
    <w:rsid w:val="00014206"/>
    <w:rsid w:val="00014E98"/>
    <w:rsid w:val="00014EB8"/>
    <w:rsid w:val="000151A9"/>
    <w:rsid w:val="0001706E"/>
    <w:rsid w:val="00020023"/>
    <w:rsid w:val="000207BD"/>
    <w:rsid w:val="00021C23"/>
    <w:rsid w:val="00022223"/>
    <w:rsid w:val="000227A8"/>
    <w:rsid w:val="0002436B"/>
    <w:rsid w:val="00024E73"/>
    <w:rsid w:val="0002595E"/>
    <w:rsid w:val="0002637C"/>
    <w:rsid w:val="00026543"/>
    <w:rsid w:val="00027E23"/>
    <w:rsid w:val="00030565"/>
    <w:rsid w:val="0003077E"/>
    <w:rsid w:val="00030C9C"/>
    <w:rsid w:val="00031E32"/>
    <w:rsid w:val="0003263C"/>
    <w:rsid w:val="000346D2"/>
    <w:rsid w:val="00035639"/>
    <w:rsid w:val="0003564E"/>
    <w:rsid w:val="0003659D"/>
    <w:rsid w:val="000375D5"/>
    <w:rsid w:val="00037FD5"/>
    <w:rsid w:val="000411F6"/>
    <w:rsid w:val="00042681"/>
    <w:rsid w:val="00043B92"/>
    <w:rsid w:val="000440C3"/>
    <w:rsid w:val="000442F0"/>
    <w:rsid w:val="00045975"/>
    <w:rsid w:val="000477E1"/>
    <w:rsid w:val="00050CD8"/>
    <w:rsid w:val="00051237"/>
    <w:rsid w:val="000516E3"/>
    <w:rsid w:val="00053D29"/>
    <w:rsid w:val="000550BE"/>
    <w:rsid w:val="000564AF"/>
    <w:rsid w:val="000575F8"/>
    <w:rsid w:val="00057CB3"/>
    <w:rsid w:val="00057FCB"/>
    <w:rsid w:val="00060B58"/>
    <w:rsid w:val="000618BB"/>
    <w:rsid w:val="0006207C"/>
    <w:rsid w:val="000626FD"/>
    <w:rsid w:val="00062859"/>
    <w:rsid w:val="0006316C"/>
    <w:rsid w:val="000645C8"/>
    <w:rsid w:val="00067161"/>
    <w:rsid w:val="000673A1"/>
    <w:rsid w:val="00071200"/>
    <w:rsid w:val="00071332"/>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621"/>
    <w:rsid w:val="000A2C78"/>
    <w:rsid w:val="000A417B"/>
    <w:rsid w:val="000A4E9E"/>
    <w:rsid w:val="000A6F73"/>
    <w:rsid w:val="000A75A4"/>
    <w:rsid w:val="000A78FF"/>
    <w:rsid w:val="000B1069"/>
    <w:rsid w:val="000B127E"/>
    <w:rsid w:val="000B271C"/>
    <w:rsid w:val="000B370C"/>
    <w:rsid w:val="000B6008"/>
    <w:rsid w:val="000B6316"/>
    <w:rsid w:val="000C00E5"/>
    <w:rsid w:val="000C097F"/>
    <w:rsid w:val="000C2AB2"/>
    <w:rsid w:val="000C3951"/>
    <w:rsid w:val="000C3CC8"/>
    <w:rsid w:val="000C453F"/>
    <w:rsid w:val="000D05E3"/>
    <w:rsid w:val="000D12B3"/>
    <w:rsid w:val="000D799A"/>
    <w:rsid w:val="000E149C"/>
    <w:rsid w:val="000E264B"/>
    <w:rsid w:val="000E2D7E"/>
    <w:rsid w:val="000E326C"/>
    <w:rsid w:val="000E4DC1"/>
    <w:rsid w:val="000E5EE6"/>
    <w:rsid w:val="000F21C2"/>
    <w:rsid w:val="000F2309"/>
    <w:rsid w:val="000F231F"/>
    <w:rsid w:val="000F2402"/>
    <w:rsid w:val="000F3527"/>
    <w:rsid w:val="000F3CB4"/>
    <w:rsid w:val="000F3F7E"/>
    <w:rsid w:val="000F5C76"/>
    <w:rsid w:val="000F648C"/>
    <w:rsid w:val="00100337"/>
    <w:rsid w:val="001003F7"/>
    <w:rsid w:val="00101B6A"/>
    <w:rsid w:val="00101F55"/>
    <w:rsid w:val="0010245F"/>
    <w:rsid w:val="00103875"/>
    <w:rsid w:val="00104EC7"/>
    <w:rsid w:val="00106323"/>
    <w:rsid w:val="00106A75"/>
    <w:rsid w:val="0011338E"/>
    <w:rsid w:val="00113E8F"/>
    <w:rsid w:val="001142DA"/>
    <w:rsid w:val="00115AF2"/>
    <w:rsid w:val="0011627F"/>
    <w:rsid w:val="00116B0F"/>
    <w:rsid w:val="00116F0D"/>
    <w:rsid w:val="001203EE"/>
    <w:rsid w:val="00120A45"/>
    <w:rsid w:val="001221F9"/>
    <w:rsid w:val="0012232D"/>
    <w:rsid w:val="00122685"/>
    <w:rsid w:val="00123E52"/>
    <w:rsid w:val="00126219"/>
    <w:rsid w:val="0012683A"/>
    <w:rsid w:val="00130BC5"/>
    <w:rsid w:val="001312F5"/>
    <w:rsid w:val="00132343"/>
    <w:rsid w:val="001336E8"/>
    <w:rsid w:val="0013413E"/>
    <w:rsid w:val="00134F5E"/>
    <w:rsid w:val="00136C3A"/>
    <w:rsid w:val="0014452C"/>
    <w:rsid w:val="001453B0"/>
    <w:rsid w:val="00146A4F"/>
    <w:rsid w:val="0014725A"/>
    <w:rsid w:val="00153F10"/>
    <w:rsid w:val="00155EFA"/>
    <w:rsid w:val="001612BF"/>
    <w:rsid w:val="00162154"/>
    <w:rsid w:val="00162275"/>
    <w:rsid w:val="00162560"/>
    <w:rsid w:val="00163233"/>
    <w:rsid w:val="00165754"/>
    <w:rsid w:val="001671DC"/>
    <w:rsid w:val="001708F4"/>
    <w:rsid w:val="0017252E"/>
    <w:rsid w:val="00172A22"/>
    <w:rsid w:val="00172DFE"/>
    <w:rsid w:val="00173FD1"/>
    <w:rsid w:val="00174755"/>
    <w:rsid w:val="00176E9A"/>
    <w:rsid w:val="001772A3"/>
    <w:rsid w:val="0018091E"/>
    <w:rsid w:val="001812C7"/>
    <w:rsid w:val="001815E8"/>
    <w:rsid w:val="00185ABC"/>
    <w:rsid w:val="00186C79"/>
    <w:rsid w:val="00186F6C"/>
    <w:rsid w:val="001875E2"/>
    <w:rsid w:val="00187715"/>
    <w:rsid w:val="00190510"/>
    <w:rsid w:val="00191ACA"/>
    <w:rsid w:val="00191F05"/>
    <w:rsid w:val="001945A8"/>
    <w:rsid w:val="00194A32"/>
    <w:rsid w:val="00194E0A"/>
    <w:rsid w:val="00194E98"/>
    <w:rsid w:val="00197236"/>
    <w:rsid w:val="001A00F1"/>
    <w:rsid w:val="001A1637"/>
    <w:rsid w:val="001A1AA1"/>
    <w:rsid w:val="001A1EC8"/>
    <w:rsid w:val="001A4F0B"/>
    <w:rsid w:val="001A5B5E"/>
    <w:rsid w:val="001A704A"/>
    <w:rsid w:val="001A7C13"/>
    <w:rsid w:val="001B0AF4"/>
    <w:rsid w:val="001B1F0F"/>
    <w:rsid w:val="001B5DFD"/>
    <w:rsid w:val="001B75A6"/>
    <w:rsid w:val="001B7940"/>
    <w:rsid w:val="001C0122"/>
    <w:rsid w:val="001C0E34"/>
    <w:rsid w:val="001C0E5F"/>
    <w:rsid w:val="001C2248"/>
    <w:rsid w:val="001C23F4"/>
    <w:rsid w:val="001C398A"/>
    <w:rsid w:val="001C39B5"/>
    <w:rsid w:val="001C5166"/>
    <w:rsid w:val="001C5452"/>
    <w:rsid w:val="001C5A46"/>
    <w:rsid w:val="001C5AB7"/>
    <w:rsid w:val="001D097C"/>
    <w:rsid w:val="001D0E26"/>
    <w:rsid w:val="001D0E78"/>
    <w:rsid w:val="001D133A"/>
    <w:rsid w:val="001D1BB5"/>
    <w:rsid w:val="001D6B1C"/>
    <w:rsid w:val="001D73CA"/>
    <w:rsid w:val="001E0F3B"/>
    <w:rsid w:val="001E2792"/>
    <w:rsid w:val="001E27DB"/>
    <w:rsid w:val="001E2B26"/>
    <w:rsid w:val="001E49B2"/>
    <w:rsid w:val="001E507E"/>
    <w:rsid w:val="001E7CA4"/>
    <w:rsid w:val="001F010B"/>
    <w:rsid w:val="001F0E79"/>
    <w:rsid w:val="001F2503"/>
    <w:rsid w:val="001F3B8E"/>
    <w:rsid w:val="001F4B2B"/>
    <w:rsid w:val="001F57B6"/>
    <w:rsid w:val="001F5938"/>
    <w:rsid w:val="001F618B"/>
    <w:rsid w:val="00201E8B"/>
    <w:rsid w:val="0020290C"/>
    <w:rsid w:val="00202CD4"/>
    <w:rsid w:val="00203E4E"/>
    <w:rsid w:val="00205A8A"/>
    <w:rsid w:val="00211F68"/>
    <w:rsid w:val="00213ED7"/>
    <w:rsid w:val="00222CC4"/>
    <w:rsid w:val="002256A0"/>
    <w:rsid w:val="002309B5"/>
    <w:rsid w:val="002347AA"/>
    <w:rsid w:val="00237136"/>
    <w:rsid w:val="00237421"/>
    <w:rsid w:val="00237CFF"/>
    <w:rsid w:val="00240A8E"/>
    <w:rsid w:val="00246BFC"/>
    <w:rsid w:val="00252BEB"/>
    <w:rsid w:val="00252BF9"/>
    <w:rsid w:val="00257C73"/>
    <w:rsid w:val="00263ACB"/>
    <w:rsid w:val="00266912"/>
    <w:rsid w:val="00271FAE"/>
    <w:rsid w:val="00273008"/>
    <w:rsid w:val="002735A9"/>
    <w:rsid w:val="00276A66"/>
    <w:rsid w:val="002801BD"/>
    <w:rsid w:val="0028049D"/>
    <w:rsid w:val="00280676"/>
    <w:rsid w:val="00280887"/>
    <w:rsid w:val="0028314F"/>
    <w:rsid w:val="00284FE6"/>
    <w:rsid w:val="00285EA6"/>
    <w:rsid w:val="00285EF8"/>
    <w:rsid w:val="002863B5"/>
    <w:rsid w:val="00286B47"/>
    <w:rsid w:val="002872F7"/>
    <w:rsid w:val="00287C54"/>
    <w:rsid w:val="002901B8"/>
    <w:rsid w:val="00294E56"/>
    <w:rsid w:val="00297CDF"/>
    <w:rsid w:val="002A18A8"/>
    <w:rsid w:val="002A41AA"/>
    <w:rsid w:val="002A5DE3"/>
    <w:rsid w:val="002A60C2"/>
    <w:rsid w:val="002A648F"/>
    <w:rsid w:val="002B0616"/>
    <w:rsid w:val="002B0B83"/>
    <w:rsid w:val="002B1F76"/>
    <w:rsid w:val="002B27D4"/>
    <w:rsid w:val="002B5704"/>
    <w:rsid w:val="002C2823"/>
    <w:rsid w:val="002C458A"/>
    <w:rsid w:val="002C616A"/>
    <w:rsid w:val="002D0251"/>
    <w:rsid w:val="002D336D"/>
    <w:rsid w:val="002D36BB"/>
    <w:rsid w:val="002D4902"/>
    <w:rsid w:val="002D4927"/>
    <w:rsid w:val="002D4DE0"/>
    <w:rsid w:val="002D6639"/>
    <w:rsid w:val="002D7840"/>
    <w:rsid w:val="002E09D3"/>
    <w:rsid w:val="002E11BF"/>
    <w:rsid w:val="002E1E69"/>
    <w:rsid w:val="002E3146"/>
    <w:rsid w:val="002E62B7"/>
    <w:rsid w:val="002F07BE"/>
    <w:rsid w:val="002F2400"/>
    <w:rsid w:val="002F2D26"/>
    <w:rsid w:val="002F5361"/>
    <w:rsid w:val="002F586E"/>
    <w:rsid w:val="002F692E"/>
    <w:rsid w:val="003000E8"/>
    <w:rsid w:val="00300442"/>
    <w:rsid w:val="003008BA"/>
    <w:rsid w:val="0030097A"/>
    <w:rsid w:val="00300C40"/>
    <w:rsid w:val="00301747"/>
    <w:rsid w:val="00301B57"/>
    <w:rsid w:val="00302551"/>
    <w:rsid w:val="00313043"/>
    <w:rsid w:val="003216AB"/>
    <w:rsid w:val="003232D0"/>
    <w:rsid w:val="00324761"/>
    <w:rsid w:val="00324F2D"/>
    <w:rsid w:val="00325E9D"/>
    <w:rsid w:val="00326B2D"/>
    <w:rsid w:val="00327C35"/>
    <w:rsid w:val="00327F5C"/>
    <w:rsid w:val="00330331"/>
    <w:rsid w:val="00331913"/>
    <w:rsid w:val="00334ED9"/>
    <w:rsid w:val="0033590A"/>
    <w:rsid w:val="00336011"/>
    <w:rsid w:val="003361AE"/>
    <w:rsid w:val="00340ADC"/>
    <w:rsid w:val="0034301C"/>
    <w:rsid w:val="00343491"/>
    <w:rsid w:val="0034373A"/>
    <w:rsid w:val="00345199"/>
    <w:rsid w:val="003452C0"/>
    <w:rsid w:val="00345690"/>
    <w:rsid w:val="00346D51"/>
    <w:rsid w:val="00347774"/>
    <w:rsid w:val="00347F09"/>
    <w:rsid w:val="003516D1"/>
    <w:rsid w:val="00351826"/>
    <w:rsid w:val="00351878"/>
    <w:rsid w:val="00351C3F"/>
    <w:rsid w:val="00351D50"/>
    <w:rsid w:val="00354809"/>
    <w:rsid w:val="003551DB"/>
    <w:rsid w:val="00355AB8"/>
    <w:rsid w:val="003564E0"/>
    <w:rsid w:val="00357A96"/>
    <w:rsid w:val="003605CF"/>
    <w:rsid w:val="003613F1"/>
    <w:rsid w:val="00361F4E"/>
    <w:rsid w:val="00362BD4"/>
    <w:rsid w:val="0036321F"/>
    <w:rsid w:val="0036380E"/>
    <w:rsid w:val="00365DAF"/>
    <w:rsid w:val="00367351"/>
    <w:rsid w:val="00367CB5"/>
    <w:rsid w:val="00371455"/>
    <w:rsid w:val="0037183B"/>
    <w:rsid w:val="00372203"/>
    <w:rsid w:val="003726BA"/>
    <w:rsid w:val="00372A99"/>
    <w:rsid w:val="00372FE9"/>
    <w:rsid w:val="00373737"/>
    <w:rsid w:val="00375289"/>
    <w:rsid w:val="00375A2D"/>
    <w:rsid w:val="00376812"/>
    <w:rsid w:val="00376972"/>
    <w:rsid w:val="00377118"/>
    <w:rsid w:val="003776D3"/>
    <w:rsid w:val="00385104"/>
    <w:rsid w:val="00385EAF"/>
    <w:rsid w:val="00387730"/>
    <w:rsid w:val="003904D7"/>
    <w:rsid w:val="003927AE"/>
    <w:rsid w:val="0039395B"/>
    <w:rsid w:val="00394D28"/>
    <w:rsid w:val="003A1185"/>
    <w:rsid w:val="003A2AFA"/>
    <w:rsid w:val="003A3130"/>
    <w:rsid w:val="003A342B"/>
    <w:rsid w:val="003A3538"/>
    <w:rsid w:val="003A3E82"/>
    <w:rsid w:val="003A5831"/>
    <w:rsid w:val="003A6939"/>
    <w:rsid w:val="003B0F42"/>
    <w:rsid w:val="003B310A"/>
    <w:rsid w:val="003B403A"/>
    <w:rsid w:val="003C00FD"/>
    <w:rsid w:val="003C031F"/>
    <w:rsid w:val="003C05C1"/>
    <w:rsid w:val="003C0BA4"/>
    <w:rsid w:val="003C2846"/>
    <w:rsid w:val="003C410C"/>
    <w:rsid w:val="003C481F"/>
    <w:rsid w:val="003C5C8D"/>
    <w:rsid w:val="003C5EB3"/>
    <w:rsid w:val="003C64C5"/>
    <w:rsid w:val="003C6579"/>
    <w:rsid w:val="003C7A36"/>
    <w:rsid w:val="003D0EA6"/>
    <w:rsid w:val="003D0ECA"/>
    <w:rsid w:val="003D10D6"/>
    <w:rsid w:val="003D11C3"/>
    <w:rsid w:val="003D2DDC"/>
    <w:rsid w:val="003D3521"/>
    <w:rsid w:val="003D37DB"/>
    <w:rsid w:val="003D44C2"/>
    <w:rsid w:val="003D5227"/>
    <w:rsid w:val="003D77D3"/>
    <w:rsid w:val="003E0111"/>
    <w:rsid w:val="003E13EF"/>
    <w:rsid w:val="003E2663"/>
    <w:rsid w:val="003E32F3"/>
    <w:rsid w:val="003E55F7"/>
    <w:rsid w:val="003E5AD6"/>
    <w:rsid w:val="003F0B30"/>
    <w:rsid w:val="003F22BD"/>
    <w:rsid w:val="003F2E7D"/>
    <w:rsid w:val="003F58FA"/>
    <w:rsid w:val="003F5FA5"/>
    <w:rsid w:val="003F667E"/>
    <w:rsid w:val="003F6E2B"/>
    <w:rsid w:val="003F7C59"/>
    <w:rsid w:val="00401876"/>
    <w:rsid w:val="00402E6D"/>
    <w:rsid w:val="004067A2"/>
    <w:rsid w:val="00411F3E"/>
    <w:rsid w:val="0041221E"/>
    <w:rsid w:val="0041525E"/>
    <w:rsid w:val="00416D58"/>
    <w:rsid w:val="004203B4"/>
    <w:rsid w:val="00420C6F"/>
    <w:rsid w:val="004210AA"/>
    <w:rsid w:val="004219E2"/>
    <w:rsid w:val="00422897"/>
    <w:rsid w:val="0042535F"/>
    <w:rsid w:val="00425EEB"/>
    <w:rsid w:val="0042783B"/>
    <w:rsid w:val="00427DB5"/>
    <w:rsid w:val="00431FEE"/>
    <w:rsid w:val="00436621"/>
    <w:rsid w:val="0043710E"/>
    <w:rsid w:val="00437FB8"/>
    <w:rsid w:val="00440B70"/>
    <w:rsid w:val="00440C1F"/>
    <w:rsid w:val="004418E9"/>
    <w:rsid w:val="00442732"/>
    <w:rsid w:val="00442847"/>
    <w:rsid w:val="00442916"/>
    <w:rsid w:val="00443BCB"/>
    <w:rsid w:val="004442C4"/>
    <w:rsid w:val="00444CE9"/>
    <w:rsid w:val="00444E4D"/>
    <w:rsid w:val="00444EC5"/>
    <w:rsid w:val="004467EA"/>
    <w:rsid w:val="00447D49"/>
    <w:rsid w:val="00451821"/>
    <w:rsid w:val="004522D0"/>
    <w:rsid w:val="0045299A"/>
    <w:rsid w:val="00453376"/>
    <w:rsid w:val="004533AC"/>
    <w:rsid w:val="004536A3"/>
    <w:rsid w:val="00454B08"/>
    <w:rsid w:val="004562EC"/>
    <w:rsid w:val="0045640E"/>
    <w:rsid w:val="00456590"/>
    <w:rsid w:val="00456937"/>
    <w:rsid w:val="0045774B"/>
    <w:rsid w:val="00460C8B"/>
    <w:rsid w:val="004629AB"/>
    <w:rsid w:val="00466283"/>
    <w:rsid w:val="00466287"/>
    <w:rsid w:val="00470173"/>
    <w:rsid w:val="00470D08"/>
    <w:rsid w:val="00471863"/>
    <w:rsid w:val="00471DFC"/>
    <w:rsid w:val="0047302C"/>
    <w:rsid w:val="004750B2"/>
    <w:rsid w:val="0047547E"/>
    <w:rsid w:val="004754F9"/>
    <w:rsid w:val="00475E3E"/>
    <w:rsid w:val="00477577"/>
    <w:rsid w:val="004779F0"/>
    <w:rsid w:val="00477EB1"/>
    <w:rsid w:val="004809D1"/>
    <w:rsid w:val="00482EE6"/>
    <w:rsid w:val="0048548B"/>
    <w:rsid w:val="00486A12"/>
    <w:rsid w:val="0048713B"/>
    <w:rsid w:val="00487498"/>
    <w:rsid w:val="0049018A"/>
    <w:rsid w:val="00491437"/>
    <w:rsid w:val="00492AA6"/>
    <w:rsid w:val="004940A1"/>
    <w:rsid w:val="004951A1"/>
    <w:rsid w:val="004955B3"/>
    <w:rsid w:val="0049712A"/>
    <w:rsid w:val="00497E04"/>
    <w:rsid w:val="00497EC1"/>
    <w:rsid w:val="004A1A64"/>
    <w:rsid w:val="004A1B46"/>
    <w:rsid w:val="004A1B78"/>
    <w:rsid w:val="004A1E16"/>
    <w:rsid w:val="004A2C04"/>
    <w:rsid w:val="004A31C9"/>
    <w:rsid w:val="004A3696"/>
    <w:rsid w:val="004A43E4"/>
    <w:rsid w:val="004A4485"/>
    <w:rsid w:val="004A4811"/>
    <w:rsid w:val="004A63EB"/>
    <w:rsid w:val="004B0ACE"/>
    <w:rsid w:val="004B0FFB"/>
    <w:rsid w:val="004B57AD"/>
    <w:rsid w:val="004B5D0E"/>
    <w:rsid w:val="004B6B7F"/>
    <w:rsid w:val="004C2EF6"/>
    <w:rsid w:val="004C45E2"/>
    <w:rsid w:val="004C5F66"/>
    <w:rsid w:val="004C659E"/>
    <w:rsid w:val="004C7ED0"/>
    <w:rsid w:val="004D0C22"/>
    <w:rsid w:val="004D15E4"/>
    <w:rsid w:val="004D1E56"/>
    <w:rsid w:val="004D20F2"/>
    <w:rsid w:val="004D27C8"/>
    <w:rsid w:val="004D3800"/>
    <w:rsid w:val="004D650A"/>
    <w:rsid w:val="004D68A6"/>
    <w:rsid w:val="004D751F"/>
    <w:rsid w:val="004E0CEE"/>
    <w:rsid w:val="004E22E6"/>
    <w:rsid w:val="004E3295"/>
    <w:rsid w:val="004E44A5"/>
    <w:rsid w:val="004E4642"/>
    <w:rsid w:val="004E474E"/>
    <w:rsid w:val="004E5FCD"/>
    <w:rsid w:val="004E65F6"/>
    <w:rsid w:val="004E7C6C"/>
    <w:rsid w:val="004E7F32"/>
    <w:rsid w:val="004F0E9E"/>
    <w:rsid w:val="004F1DB4"/>
    <w:rsid w:val="004F1FB5"/>
    <w:rsid w:val="004F4AB0"/>
    <w:rsid w:val="004F5143"/>
    <w:rsid w:val="004F6193"/>
    <w:rsid w:val="0050275F"/>
    <w:rsid w:val="00502DBF"/>
    <w:rsid w:val="005030FB"/>
    <w:rsid w:val="005037F1"/>
    <w:rsid w:val="00506B3A"/>
    <w:rsid w:val="00506C0E"/>
    <w:rsid w:val="00506CB5"/>
    <w:rsid w:val="00506DED"/>
    <w:rsid w:val="00507F16"/>
    <w:rsid w:val="005122CD"/>
    <w:rsid w:val="005132CB"/>
    <w:rsid w:val="00513F46"/>
    <w:rsid w:val="00516B4E"/>
    <w:rsid w:val="005211E4"/>
    <w:rsid w:val="00521D19"/>
    <w:rsid w:val="00523CFF"/>
    <w:rsid w:val="00524886"/>
    <w:rsid w:val="00526D8B"/>
    <w:rsid w:val="00527FCF"/>
    <w:rsid w:val="00530754"/>
    <w:rsid w:val="005307BA"/>
    <w:rsid w:val="005312F5"/>
    <w:rsid w:val="00531385"/>
    <w:rsid w:val="0053264A"/>
    <w:rsid w:val="00534988"/>
    <w:rsid w:val="005360FF"/>
    <w:rsid w:val="00540C8A"/>
    <w:rsid w:val="00544127"/>
    <w:rsid w:val="00545AC6"/>
    <w:rsid w:val="00546A7D"/>
    <w:rsid w:val="005472AC"/>
    <w:rsid w:val="005505E4"/>
    <w:rsid w:val="00550DF7"/>
    <w:rsid w:val="00550F81"/>
    <w:rsid w:val="00551038"/>
    <w:rsid w:val="0055213E"/>
    <w:rsid w:val="00552A7A"/>
    <w:rsid w:val="00553980"/>
    <w:rsid w:val="00554A2C"/>
    <w:rsid w:val="00556960"/>
    <w:rsid w:val="0056018B"/>
    <w:rsid w:val="005612AD"/>
    <w:rsid w:val="00561A64"/>
    <w:rsid w:val="005636E6"/>
    <w:rsid w:val="00566E7B"/>
    <w:rsid w:val="00567031"/>
    <w:rsid w:val="0056725F"/>
    <w:rsid w:val="00570E7B"/>
    <w:rsid w:val="005713D4"/>
    <w:rsid w:val="005741B0"/>
    <w:rsid w:val="00575E21"/>
    <w:rsid w:val="00576675"/>
    <w:rsid w:val="00576997"/>
    <w:rsid w:val="0058095D"/>
    <w:rsid w:val="0058200C"/>
    <w:rsid w:val="005829CE"/>
    <w:rsid w:val="00582E73"/>
    <w:rsid w:val="005830BB"/>
    <w:rsid w:val="005840AF"/>
    <w:rsid w:val="0058762A"/>
    <w:rsid w:val="00587A31"/>
    <w:rsid w:val="0059035B"/>
    <w:rsid w:val="00591804"/>
    <w:rsid w:val="00593C05"/>
    <w:rsid w:val="00594A6C"/>
    <w:rsid w:val="00595E4B"/>
    <w:rsid w:val="00596C1A"/>
    <w:rsid w:val="00596EF3"/>
    <w:rsid w:val="005A17C5"/>
    <w:rsid w:val="005A229C"/>
    <w:rsid w:val="005A2572"/>
    <w:rsid w:val="005A28F1"/>
    <w:rsid w:val="005A2C7E"/>
    <w:rsid w:val="005A30F6"/>
    <w:rsid w:val="005A397B"/>
    <w:rsid w:val="005A45D4"/>
    <w:rsid w:val="005A75BA"/>
    <w:rsid w:val="005B06A8"/>
    <w:rsid w:val="005B10E1"/>
    <w:rsid w:val="005B4A86"/>
    <w:rsid w:val="005B4FC3"/>
    <w:rsid w:val="005B5053"/>
    <w:rsid w:val="005B50E0"/>
    <w:rsid w:val="005B5229"/>
    <w:rsid w:val="005B59E8"/>
    <w:rsid w:val="005B71DD"/>
    <w:rsid w:val="005B740B"/>
    <w:rsid w:val="005C0EBF"/>
    <w:rsid w:val="005C4C30"/>
    <w:rsid w:val="005C538C"/>
    <w:rsid w:val="005C7AF5"/>
    <w:rsid w:val="005D3386"/>
    <w:rsid w:val="005D4AF1"/>
    <w:rsid w:val="005D5F07"/>
    <w:rsid w:val="005D62DC"/>
    <w:rsid w:val="005D66C5"/>
    <w:rsid w:val="005D6C0E"/>
    <w:rsid w:val="005D7164"/>
    <w:rsid w:val="005D71EA"/>
    <w:rsid w:val="005D7A1A"/>
    <w:rsid w:val="005E06FD"/>
    <w:rsid w:val="005E2A35"/>
    <w:rsid w:val="005E3135"/>
    <w:rsid w:val="005E3DE9"/>
    <w:rsid w:val="005E68C0"/>
    <w:rsid w:val="005E6C59"/>
    <w:rsid w:val="005E75FC"/>
    <w:rsid w:val="005F0E0E"/>
    <w:rsid w:val="005F2CA5"/>
    <w:rsid w:val="005F427B"/>
    <w:rsid w:val="005F4B69"/>
    <w:rsid w:val="005F4EC6"/>
    <w:rsid w:val="005F5991"/>
    <w:rsid w:val="005F5FD1"/>
    <w:rsid w:val="005F7A3D"/>
    <w:rsid w:val="005F7EE8"/>
    <w:rsid w:val="00600C7E"/>
    <w:rsid w:val="00601353"/>
    <w:rsid w:val="006022B4"/>
    <w:rsid w:val="00602728"/>
    <w:rsid w:val="00603D53"/>
    <w:rsid w:val="00604DCB"/>
    <w:rsid w:val="00606477"/>
    <w:rsid w:val="00611740"/>
    <w:rsid w:val="00612673"/>
    <w:rsid w:val="00612AFA"/>
    <w:rsid w:val="00614552"/>
    <w:rsid w:val="00620CA4"/>
    <w:rsid w:val="00621D45"/>
    <w:rsid w:val="00623950"/>
    <w:rsid w:val="00624400"/>
    <w:rsid w:val="00626492"/>
    <w:rsid w:val="00632BC3"/>
    <w:rsid w:val="00633F16"/>
    <w:rsid w:val="0063412F"/>
    <w:rsid w:val="00634506"/>
    <w:rsid w:val="0063471B"/>
    <w:rsid w:val="0063544E"/>
    <w:rsid w:val="00635BBB"/>
    <w:rsid w:val="006367AD"/>
    <w:rsid w:val="00640189"/>
    <w:rsid w:val="0064056C"/>
    <w:rsid w:val="00640B15"/>
    <w:rsid w:val="00641CB8"/>
    <w:rsid w:val="00642D98"/>
    <w:rsid w:val="0064395B"/>
    <w:rsid w:val="0064537C"/>
    <w:rsid w:val="00645B72"/>
    <w:rsid w:val="006506BC"/>
    <w:rsid w:val="00651CEC"/>
    <w:rsid w:val="006538BF"/>
    <w:rsid w:val="006540AF"/>
    <w:rsid w:val="0065653A"/>
    <w:rsid w:val="00656EFD"/>
    <w:rsid w:val="006632B2"/>
    <w:rsid w:val="006633EF"/>
    <w:rsid w:val="00666D0F"/>
    <w:rsid w:val="00667FCB"/>
    <w:rsid w:val="00670228"/>
    <w:rsid w:val="006710B5"/>
    <w:rsid w:val="00671EDB"/>
    <w:rsid w:val="00673E9B"/>
    <w:rsid w:val="006740B0"/>
    <w:rsid w:val="00674D4C"/>
    <w:rsid w:val="00674F8F"/>
    <w:rsid w:val="00675CBA"/>
    <w:rsid w:val="006769BD"/>
    <w:rsid w:val="00682ACF"/>
    <w:rsid w:val="00683471"/>
    <w:rsid w:val="0068360A"/>
    <w:rsid w:val="00683870"/>
    <w:rsid w:val="00683BF1"/>
    <w:rsid w:val="00684141"/>
    <w:rsid w:val="00685FA7"/>
    <w:rsid w:val="00686A78"/>
    <w:rsid w:val="00694BF2"/>
    <w:rsid w:val="00695C95"/>
    <w:rsid w:val="00695EAB"/>
    <w:rsid w:val="00696D00"/>
    <w:rsid w:val="00697DF2"/>
    <w:rsid w:val="006A2280"/>
    <w:rsid w:val="006A2A7F"/>
    <w:rsid w:val="006A38B2"/>
    <w:rsid w:val="006A5640"/>
    <w:rsid w:val="006A6D25"/>
    <w:rsid w:val="006B4035"/>
    <w:rsid w:val="006B723B"/>
    <w:rsid w:val="006C1B5E"/>
    <w:rsid w:val="006C1FBD"/>
    <w:rsid w:val="006C2473"/>
    <w:rsid w:val="006C3E53"/>
    <w:rsid w:val="006C4218"/>
    <w:rsid w:val="006C56B3"/>
    <w:rsid w:val="006C73B6"/>
    <w:rsid w:val="006C76A2"/>
    <w:rsid w:val="006D1FBC"/>
    <w:rsid w:val="006E0883"/>
    <w:rsid w:val="006E28E7"/>
    <w:rsid w:val="006E41E5"/>
    <w:rsid w:val="006F0836"/>
    <w:rsid w:val="006F2A07"/>
    <w:rsid w:val="006F481B"/>
    <w:rsid w:val="006F6540"/>
    <w:rsid w:val="006F6652"/>
    <w:rsid w:val="006F7045"/>
    <w:rsid w:val="006F7124"/>
    <w:rsid w:val="006F7FA4"/>
    <w:rsid w:val="00700589"/>
    <w:rsid w:val="00701F8B"/>
    <w:rsid w:val="0070281C"/>
    <w:rsid w:val="007041EA"/>
    <w:rsid w:val="007057B7"/>
    <w:rsid w:val="0071272C"/>
    <w:rsid w:val="00713D4E"/>
    <w:rsid w:val="007140CE"/>
    <w:rsid w:val="0071562A"/>
    <w:rsid w:val="0071682A"/>
    <w:rsid w:val="00716FD1"/>
    <w:rsid w:val="00717FA3"/>
    <w:rsid w:val="00720A00"/>
    <w:rsid w:val="00720F93"/>
    <w:rsid w:val="00721496"/>
    <w:rsid w:val="00721689"/>
    <w:rsid w:val="00723509"/>
    <w:rsid w:val="00723D21"/>
    <w:rsid w:val="007249EC"/>
    <w:rsid w:val="007265DF"/>
    <w:rsid w:val="00727C8A"/>
    <w:rsid w:val="0073124E"/>
    <w:rsid w:val="00731754"/>
    <w:rsid w:val="00732229"/>
    <w:rsid w:val="00732498"/>
    <w:rsid w:val="00732D8A"/>
    <w:rsid w:val="00733D92"/>
    <w:rsid w:val="007351FF"/>
    <w:rsid w:val="00735790"/>
    <w:rsid w:val="00735B24"/>
    <w:rsid w:val="00735B28"/>
    <w:rsid w:val="00735E89"/>
    <w:rsid w:val="00737C28"/>
    <w:rsid w:val="00741726"/>
    <w:rsid w:val="00742966"/>
    <w:rsid w:val="0075022B"/>
    <w:rsid w:val="00751C97"/>
    <w:rsid w:val="00753279"/>
    <w:rsid w:val="00753C8C"/>
    <w:rsid w:val="00753EEE"/>
    <w:rsid w:val="00754862"/>
    <w:rsid w:val="00754A7A"/>
    <w:rsid w:val="00755854"/>
    <w:rsid w:val="00760115"/>
    <w:rsid w:val="0076011C"/>
    <w:rsid w:val="00762097"/>
    <w:rsid w:val="0076331C"/>
    <w:rsid w:val="00765CA4"/>
    <w:rsid w:val="00766A1C"/>
    <w:rsid w:val="00766C18"/>
    <w:rsid w:val="00767553"/>
    <w:rsid w:val="007736B4"/>
    <w:rsid w:val="00773975"/>
    <w:rsid w:val="00773F15"/>
    <w:rsid w:val="00776DCB"/>
    <w:rsid w:val="00780299"/>
    <w:rsid w:val="00780769"/>
    <w:rsid w:val="00782EC4"/>
    <w:rsid w:val="007830E1"/>
    <w:rsid w:val="00783BBC"/>
    <w:rsid w:val="007841FD"/>
    <w:rsid w:val="007845C3"/>
    <w:rsid w:val="007862DE"/>
    <w:rsid w:val="00786A0F"/>
    <w:rsid w:val="0079076A"/>
    <w:rsid w:val="00790ADD"/>
    <w:rsid w:val="00792A3E"/>
    <w:rsid w:val="0079471C"/>
    <w:rsid w:val="00794CC1"/>
    <w:rsid w:val="00794E0E"/>
    <w:rsid w:val="00795244"/>
    <w:rsid w:val="00796201"/>
    <w:rsid w:val="007964A4"/>
    <w:rsid w:val="0079771E"/>
    <w:rsid w:val="007A3E74"/>
    <w:rsid w:val="007A5E76"/>
    <w:rsid w:val="007B05B2"/>
    <w:rsid w:val="007B1BDE"/>
    <w:rsid w:val="007B230A"/>
    <w:rsid w:val="007B3114"/>
    <w:rsid w:val="007B32AB"/>
    <w:rsid w:val="007B3EDD"/>
    <w:rsid w:val="007B5A7A"/>
    <w:rsid w:val="007B7176"/>
    <w:rsid w:val="007B77DD"/>
    <w:rsid w:val="007B7C1F"/>
    <w:rsid w:val="007C0486"/>
    <w:rsid w:val="007C21C8"/>
    <w:rsid w:val="007C47A9"/>
    <w:rsid w:val="007C76D0"/>
    <w:rsid w:val="007C7AE1"/>
    <w:rsid w:val="007D008C"/>
    <w:rsid w:val="007D0E2E"/>
    <w:rsid w:val="007D0E9F"/>
    <w:rsid w:val="007D6C1C"/>
    <w:rsid w:val="007D6D30"/>
    <w:rsid w:val="007E2300"/>
    <w:rsid w:val="007E2564"/>
    <w:rsid w:val="007E2FB7"/>
    <w:rsid w:val="007E3E39"/>
    <w:rsid w:val="007E77DC"/>
    <w:rsid w:val="007F1AE2"/>
    <w:rsid w:val="007F366D"/>
    <w:rsid w:val="007F3905"/>
    <w:rsid w:val="007F4BAB"/>
    <w:rsid w:val="007F5884"/>
    <w:rsid w:val="007F6001"/>
    <w:rsid w:val="007F6680"/>
    <w:rsid w:val="007F6A81"/>
    <w:rsid w:val="0080079A"/>
    <w:rsid w:val="00801E41"/>
    <w:rsid w:val="00802A8D"/>
    <w:rsid w:val="00803BF0"/>
    <w:rsid w:val="00803E47"/>
    <w:rsid w:val="008044BB"/>
    <w:rsid w:val="0080529D"/>
    <w:rsid w:val="00805561"/>
    <w:rsid w:val="00806FE1"/>
    <w:rsid w:val="00807ED1"/>
    <w:rsid w:val="008151FF"/>
    <w:rsid w:val="0081582E"/>
    <w:rsid w:val="008177FA"/>
    <w:rsid w:val="00817B11"/>
    <w:rsid w:val="008203EE"/>
    <w:rsid w:val="00821C4C"/>
    <w:rsid w:val="008223B3"/>
    <w:rsid w:val="00822B66"/>
    <w:rsid w:val="00822DC8"/>
    <w:rsid w:val="008245C3"/>
    <w:rsid w:val="00824DB4"/>
    <w:rsid w:val="00825325"/>
    <w:rsid w:val="0082615A"/>
    <w:rsid w:val="00826607"/>
    <w:rsid w:val="008267A0"/>
    <w:rsid w:val="00830097"/>
    <w:rsid w:val="008308A7"/>
    <w:rsid w:val="008325D5"/>
    <w:rsid w:val="0083547C"/>
    <w:rsid w:val="00835D24"/>
    <w:rsid w:val="008365F5"/>
    <w:rsid w:val="00842FBF"/>
    <w:rsid w:val="00843197"/>
    <w:rsid w:val="008439FC"/>
    <w:rsid w:val="00844228"/>
    <w:rsid w:val="008456F5"/>
    <w:rsid w:val="008476E6"/>
    <w:rsid w:val="008478DA"/>
    <w:rsid w:val="00850EF0"/>
    <w:rsid w:val="008526DE"/>
    <w:rsid w:val="00853F21"/>
    <w:rsid w:val="0085463A"/>
    <w:rsid w:val="00855B9E"/>
    <w:rsid w:val="00855D9A"/>
    <w:rsid w:val="0085706D"/>
    <w:rsid w:val="00860904"/>
    <w:rsid w:val="008616D5"/>
    <w:rsid w:val="00861804"/>
    <w:rsid w:val="008634A3"/>
    <w:rsid w:val="00863AF9"/>
    <w:rsid w:val="00865372"/>
    <w:rsid w:val="00865E50"/>
    <w:rsid w:val="00865EAA"/>
    <w:rsid w:val="00866A99"/>
    <w:rsid w:val="00867136"/>
    <w:rsid w:val="00867E89"/>
    <w:rsid w:val="0087247B"/>
    <w:rsid w:val="00873E3D"/>
    <w:rsid w:val="008744CA"/>
    <w:rsid w:val="00874C5E"/>
    <w:rsid w:val="00874DE9"/>
    <w:rsid w:val="00876FF3"/>
    <w:rsid w:val="00883378"/>
    <w:rsid w:val="00884050"/>
    <w:rsid w:val="008862C8"/>
    <w:rsid w:val="00887B94"/>
    <w:rsid w:val="008913F9"/>
    <w:rsid w:val="008913FE"/>
    <w:rsid w:val="00891FB1"/>
    <w:rsid w:val="008930B6"/>
    <w:rsid w:val="0089412A"/>
    <w:rsid w:val="00894A73"/>
    <w:rsid w:val="00895190"/>
    <w:rsid w:val="008978C5"/>
    <w:rsid w:val="008A043A"/>
    <w:rsid w:val="008A084B"/>
    <w:rsid w:val="008A09CE"/>
    <w:rsid w:val="008A0EBB"/>
    <w:rsid w:val="008A13AC"/>
    <w:rsid w:val="008A33F0"/>
    <w:rsid w:val="008A4AA4"/>
    <w:rsid w:val="008A5136"/>
    <w:rsid w:val="008A77FC"/>
    <w:rsid w:val="008B1D03"/>
    <w:rsid w:val="008B201D"/>
    <w:rsid w:val="008B243C"/>
    <w:rsid w:val="008B2BE2"/>
    <w:rsid w:val="008B5322"/>
    <w:rsid w:val="008B61FB"/>
    <w:rsid w:val="008B6401"/>
    <w:rsid w:val="008B74C1"/>
    <w:rsid w:val="008B79A8"/>
    <w:rsid w:val="008C0B4D"/>
    <w:rsid w:val="008C37C8"/>
    <w:rsid w:val="008C3F33"/>
    <w:rsid w:val="008D09CB"/>
    <w:rsid w:val="008D21B4"/>
    <w:rsid w:val="008D6E7A"/>
    <w:rsid w:val="008D774C"/>
    <w:rsid w:val="008D7766"/>
    <w:rsid w:val="008E0207"/>
    <w:rsid w:val="008E054D"/>
    <w:rsid w:val="008E08E3"/>
    <w:rsid w:val="008E2FD9"/>
    <w:rsid w:val="008E525F"/>
    <w:rsid w:val="008E52B8"/>
    <w:rsid w:val="008E562C"/>
    <w:rsid w:val="008E65A3"/>
    <w:rsid w:val="008E6C44"/>
    <w:rsid w:val="008F0E0C"/>
    <w:rsid w:val="008F12FD"/>
    <w:rsid w:val="008F23E9"/>
    <w:rsid w:val="008F52FC"/>
    <w:rsid w:val="00900CF5"/>
    <w:rsid w:val="00901B0A"/>
    <w:rsid w:val="00902EC0"/>
    <w:rsid w:val="009077E2"/>
    <w:rsid w:val="00910F45"/>
    <w:rsid w:val="00911600"/>
    <w:rsid w:val="0091160E"/>
    <w:rsid w:val="00911725"/>
    <w:rsid w:val="00911D8D"/>
    <w:rsid w:val="00913608"/>
    <w:rsid w:val="00913641"/>
    <w:rsid w:val="00913836"/>
    <w:rsid w:val="00914D86"/>
    <w:rsid w:val="00917E5E"/>
    <w:rsid w:val="0092000E"/>
    <w:rsid w:val="009210BA"/>
    <w:rsid w:val="009258CF"/>
    <w:rsid w:val="00926AD1"/>
    <w:rsid w:val="00927549"/>
    <w:rsid w:val="00927BEC"/>
    <w:rsid w:val="00930255"/>
    <w:rsid w:val="009302D1"/>
    <w:rsid w:val="00930BFE"/>
    <w:rsid w:val="00931E80"/>
    <w:rsid w:val="00933039"/>
    <w:rsid w:val="0093429D"/>
    <w:rsid w:val="009351E9"/>
    <w:rsid w:val="00935EE2"/>
    <w:rsid w:val="00940C04"/>
    <w:rsid w:val="00945108"/>
    <w:rsid w:val="00945CBA"/>
    <w:rsid w:val="009465BB"/>
    <w:rsid w:val="009478AB"/>
    <w:rsid w:val="00951702"/>
    <w:rsid w:val="009523EC"/>
    <w:rsid w:val="009562E4"/>
    <w:rsid w:val="009565EF"/>
    <w:rsid w:val="00956E94"/>
    <w:rsid w:val="00957666"/>
    <w:rsid w:val="0095776A"/>
    <w:rsid w:val="0095786C"/>
    <w:rsid w:val="00957887"/>
    <w:rsid w:val="00957A8E"/>
    <w:rsid w:val="009609A1"/>
    <w:rsid w:val="0096289B"/>
    <w:rsid w:val="00963288"/>
    <w:rsid w:val="009636D3"/>
    <w:rsid w:val="00963E83"/>
    <w:rsid w:val="00964A6C"/>
    <w:rsid w:val="00965E89"/>
    <w:rsid w:val="00967090"/>
    <w:rsid w:val="00970179"/>
    <w:rsid w:val="00970F86"/>
    <w:rsid w:val="00972AE0"/>
    <w:rsid w:val="00972C0F"/>
    <w:rsid w:val="00972D2F"/>
    <w:rsid w:val="00973219"/>
    <w:rsid w:val="00973DCC"/>
    <w:rsid w:val="00974FBE"/>
    <w:rsid w:val="0097549F"/>
    <w:rsid w:val="00975C70"/>
    <w:rsid w:val="0097653D"/>
    <w:rsid w:val="00977E40"/>
    <w:rsid w:val="00980BCA"/>
    <w:rsid w:val="00981D06"/>
    <w:rsid w:val="00982182"/>
    <w:rsid w:val="00982D33"/>
    <w:rsid w:val="00985984"/>
    <w:rsid w:val="009868FD"/>
    <w:rsid w:val="00987E16"/>
    <w:rsid w:val="00990A10"/>
    <w:rsid w:val="009933C0"/>
    <w:rsid w:val="00993AC0"/>
    <w:rsid w:val="00994854"/>
    <w:rsid w:val="00994DCE"/>
    <w:rsid w:val="0099587E"/>
    <w:rsid w:val="009962F5"/>
    <w:rsid w:val="009979FA"/>
    <w:rsid w:val="009A0A5E"/>
    <w:rsid w:val="009A3B8F"/>
    <w:rsid w:val="009A6687"/>
    <w:rsid w:val="009A6996"/>
    <w:rsid w:val="009A7ABD"/>
    <w:rsid w:val="009B016F"/>
    <w:rsid w:val="009B13D6"/>
    <w:rsid w:val="009B3103"/>
    <w:rsid w:val="009B3B93"/>
    <w:rsid w:val="009C0731"/>
    <w:rsid w:val="009C10F5"/>
    <w:rsid w:val="009C12FA"/>
    <w:rsid w:val="009C2A70"/>
    <w:rsid w:val="009C2D0D"/>
    <w:rsid w:val="009C726E"/>
    <w:rsid w:val="009D2ECB"/>
    <w:rsid w:val="009D32A7"/>
    <w:rsid w:val="009D367C"/>
    <w:rsid w:val="009D3EB2"/>
    <w:rsid w:val="009D72FE"/>
    <w:rsid w:val="009D747B"/>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61B1"/>
    <w:rsid w:val="009F7524"/>
    <w:rsid w:val="00A00465"/>
    <w:rsid w:val="00A00C30"/>
    <w:rsid w:val="00A02257"/>
    <w:rsid w:val="00A02297"/>
    <w:rsid w:val="00A02AEF"/>
    <w:rsid w:val="00A03790"/>
    <w:rsid w:val="00A057BA"/>
    <w:rsid w:val="00A0630F"/>
    <w:rsid w:val="00A06383"/>
    <w:rsid w:val="00A063C8"/>
    <w:rsid w:val="00A120AB"/>
    <w:rsid w:val="00A14552"/>
    <w:rsid w:val="00A14A03"/>
    <w:rsid w:val="00A15CDB"/>
    <w:rsid w:val="00A2122C"/>
    <w:rsid w:val="00A24264"/>
    <w:rsid w:val="00A24571"/>
    <w:rsid w:val="00A266ED"/>
    <w:rsid w:val="00A32CD7"/>
    <w:rsid w:val="00A34E17"/>
    <w:rsid w:val="00A35AA5"/>
    <w:rsid w:val="00A362D2"/>
    <w:rsid w:val="00A37020"/>
    <w:rsid w:val="00A37C23"/>
    <w:rsid w:val="00A40691"/>
    <w:rsid w:val="00A40DED"/>
    <w:rsid w:val="00A41E4E"/>
    <w:rsid w:val="00A43CE0"/>
    <w:rsid w:val="00A4412E"/>
    <w:rsid w:val="00A4526C"/>
    <w:rsid w:val="00A45F50"/>
    <w:rsid w:val="00A47353"/>
    <w:rsid w:val="00A51871"/>
    <w:rsid w:val="00A51ECE"/>
    <w:rsid w:val="00A522D3"/>
    <w:rsid w:val="00A525E0"/>
    <w:rsid w:val="00A527FC"/>
    <w:rsid w:val="00A54A64"/>
    <w:rsid w:val="00A55204"/>
    <w:rsid w:val="00A61EA7"/>
    <w:rsid w:val="00A64134"/>
    <w:rsid w:val="00A6603C"/>
    <w:rsid w:val="00A6675F"/>
    <w:rsid w:val="00A67BC8"/>
    <w:rsid w:val="00A707E0"/>
    <w:rsid w:val="00A71CEF"/>
    <w:rsid w:val="00A73C38"/>
    <w:rsid w:val="00A74299"/>
    <w:rsid w:val="00A755A5"/>
    <w:rsid w:val="00A7563F"/>
    <w:rsid w:val="00A756A7"/>
    <w:rsid w:val="00A76532"/>
    <w:rsid w:val="00A76845"/>
    <w:rsid w:val="00A76BF2"/>
    <w:rsid w:val="00A77B0C"/>
    <w:rsid w:val="00A77C45"/>
    <w:rsid w:val="00A80C35"/>
    <w:rsid w:val="00A80EA2"/>
    <w:rsid w:val="00A8245E"/>
    <w:rsid w:val="00A82599"/>
    <w:rsid w:val="00A82CC7"/>
    <w:rsid w:val="00A83932"/>
    <w:rsid w:val="00A83DEC"/>
    <w:rsid w:val="00A84761"/>
    <w:rsid w:val="00A85305"/>
    <w:rsid w:val="00A85561"/>
    <w:rsid w:val="00A85ACD"/>
    <w:rsid w:val="00A8686E"/>
    <w:rsid w:val="00A86EA3"/>
    <w:rsid w:val="00A870F6"/>
    <w:rsid w:val="00A8732A"/>
    <w:rsid w:val="00A90F97"/>
    <w:rsid w:val="00A91173"/>
    <w:rsid w:val="00A91E70"/>
    <w:rsid w:val="00A93EB9"/>
    <w:rsid w:val="00A96277"/>
    <w:rsid w:val="00A970A2"/>
    <w:rsid w:val="00AA00CD"/>
    <w:rsid w:val="00AA05B6"/>
    <w:rsid w:val="00AA34F3"/>
    <w:rsid w:val="00AA3812"/>
    <w:rsid w:val="00AA3A8F"/>
    <w:rsid w:val="00AA65F1"/>
    <w:rsid w:val="00AB096C"/>
    <w:rsid w:val="00AB0B56"/>
    <w:rsid w:val="00AB120A"/>
    <w:rsid w:val="00AB50E4"/>
    <w:rsid w:val="00AB5DEE"/>
    <w:rsid w:val="00AB767C"/>
    <w:rsid w:val="00AC04D7"/>
    <w:rsid w:val="00AC1AF9"/>
    <w:rsid w:val="00AC273D"/>
    <w:rsid w:val="00AC3EE2"/>
    <w:rsid w:val="00AC56BF"/>
    <w:rsid w:val="00AC56D6"/>
    <w:rsid w:val="00AC742D"/>
    <w:rsid w:val="00AC7D9E"/>
    <w:rsid w:val="00AC7DC9"/>
    <w:rsid w:val="00AD0875"/>
    <w:rsid w:val="00AD4152"/>
    <w:rsid w:val="00AD5945"/>
    <w:rsid w:val="00AE10EC"/>
    <w:rsid w:val="00AE14D7"/>
    <w:rsid w:val="00AE2222"/>
    <w:rsid w:val="00AE43A9"/>
    <w:rsid w:val="00AE75EA"/>
    <w:rsid w:val="00AF01AC"/>
    <w:rsid w:val="00AF0507"/>
    <w:rsid w:val="00AF3FE7"/>
    <w:rsid w:val="00AF4777"/>
    <w:rsid w:val="00AF6C3D"/>
    <w:rsid w:val="00AF6C63"/>
    <w:rsid w:val="00AF7D0C"/>
    <w:rsid w:val="00B0402F"/>
    <w:rsid w:val="00B04165"/>
    <w:rsid w:val="00B04C0D"/>
    <w:rsid w:val="00B04E23"/>
    <w:rsid w:val="00B0574B"/>
    <w:rsid w:val="00B0582E"/>
    <w:rsid w:val="00B0696D"/>
    <w:rsid w:val="00B0703F"/>
    <w:rsid w:val="00B07555"/>
    <w:rsid w:val="00B10AB7"/>
    <w:rsid w:val="00B131DB"/>
    <w:rsid w:val="00B1410C"/>
    <w:rsid w:val="00B2037F"/>
    <w:rsid w:val="00B2131F"/>
    <w:rsid w:val="00B21C0B"/>
    <w:rsid w:val="00B223FE"/>
    <w:rsid w:val="00B229B3"/>
    <w:rsid w:val="00B24067"/>
    <w:rsid w:val="00B2603F"/>
    <w:rsid w:val="00B262BC"/>
    <w:rsid w:val="00B26557"/>
    <w:rsid w:val="00B277E5"/>
    <w:rsid w:val="00B279BF"/>
    <w:rsid w:val="00B32691"/>
    <w:rsid w:val="00B3444D"/>
    <w:rsid w:val="00B35D7C"/>
    <w:rsid w:val="00B3664D"/>
    <w:rsid w:val="00B36ADB"/>
    <w:rsid w:val="00B37EC4"/>
    <w:rsid w:val="00B407F6"/>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5E3"/>
    <w:rsid w:val="00B6379C"/>
    <w:rsid w:val="00B65238"/>
    <w:rsid w:val="00B652C7"/>
    <w:rsid w:val="00B65548"/>
    <w:rsid w:val="00B67CEE"/>
    <w:rsid w:val="00B710DA"/>
    <w:rsid w:val="00B72341"/>
    <w:rsid w:val="00B72B4F"/>
    <w:rsid w:val="00B7538A"/>
    <w:rsid w:val="00B75918"/>
    <w:rsid w:val="00B80BAB"/>
    <w:rsid w:val="00B81F30"/>
    <w:rsid w:val="00B835C0"/>
    <w:rsid w:val="00B876AF"/>
    <w:rsid w:val="00B9055C"/>
    <w:rsid w:val="00B91FB1"/>
    <w:rsid w:val="00B92BA2"/>
    <w:rsid w:val="00B92D96"/>
    <w:rsid w:val="00B93AF5"/>
    <w:rsid w:val="00BA0516"/>
    <w:rsid w:val="00BA2FCB"/>
    <w:rsid w:val="00BA36ED"/>
    <w:rsid w:val="00BA3815"/>
    <w:rsid w:val="00BA5174"/>
    <w:rsid w:val="00BA6905"/>
    <w:rsid w:val="00BA759E"/>
    <w:rsid w:val="00BB12E9"/>
    <w:rsid w:val="00BB532F"/>
    <w:rsid w:val="00BC162D"/>
    <w:rsid w:val="00BC2FE4"/>
    <w:rsid w:val="00BC3F78"/>
    <w:rsid w:val="00BC4188"/>
    <w:rsid w:val="00BC543C"/>
    <w:rsid w:val="00BC78A9"/>
    <w:rsid w:val="00BD1219"/>
    <w:rsid w:val="00BD4313"/>
    <w:rsid w:val="00BD4DDA"/>
    <w:rsid w:val="00BD5C1C"/>
    <w:rsid w:val="00BD7587"/>
    <w:rsid w:val="00BD79F4"/>
    <w:rsid w:val="00BE4EAE"/>
    <w:rsid w:val="00BE57E8"/>
    <w:rsid w:val="00BE6E24"/>
    <w:rsid w:val="00BF0A1B"/>
    <w:rsid w:val="00BF3DFD"/>
    <w:rsid w:val="00BF416E"/>
    <w:rsid w:val="00BF4984"/>
    <w:rsid w:val="00BF5AC8"/>
    <w:rsid w:val="00BF5DDE"/>
    <w:rsid w:val="00C002B4"/>
    <w:rsid w:val="00C01CED"/>
    <w:rsid w:val="00C01FA7"/>
    <w:rsid w:val="00C026B0"/>
    <w:rsid w:val="00C03AFD"/>
    <w:rsid w:val="00C03F75"/>
    <w:rsid w:val="00C041AA"/>
    <w:rsid w:val="00C04A88"/>
    <w:rsid w:val="00C0626A"/>
    <w:rsid w:val="00C07064"/>
    <w:rsid w:val="00C07262"/>
    <w:rsid w:val="00C07EBD"/>
    <w:rsid w:val="00C07ECF"/>
    <w:rsid w:val="00C138D1"/>
    <w:rsid w:val="00C13977"/>
    <w:rsid w:val="00C14928"/>
    <w:rsid w:val="00C15332"/>
    <w:rsid w:val="00C15DAD"/>
    <w:rsid w:val="00C15E96"/>
    <w:rsid w:val="00C17097"/>
    <w:rsid w:val="00C223B9"/>
    <w:rsid w:val="00C22BDB"/>
    <w:rsid w:val="00C22C71"/>
    <w:rsid w:val="00C22FA8"/>
    <w:rsid w:val="00C23420"/>
    <w:rsid w:val="00C23E79"/>
    <w:rsid w:val="00C24A20"/>
    <w:rsid w:val="00C267D4"/>
    <w:rsid w:val="00C271F9"/>
    <w:rsid w:val="00C272EE"/>
    <w:rsid w:val="00C34914"/>
    <w:rsid w:val="00C362C0"/>
    <w:rsid w:val="00C365B8"/>
    <w:rsid w:val="00C443BB"/>
    <w:rsid w:val="00C45998"/>
    <w:rsid w:val="00C45AEA"/>
    <w:rsid w:val="00C45CAA"/>
    <w:rsid w:val="00C470CB"/>
    <w:rsid w:val="00C47ADE"/>
    <w:rsid w:val="00C47CBA"/>
    <w:rsid w:val="00C47F9B"/>
    <w:rsid w:val="00C517B6"/>
    <w:rsid w:val="00C51A0A"/>
    <w:rsid w:val="00C51DA7"/>
    <w:rsid w:val="00C53419"/>
    <w:rsid w:val="00C54432"/>
    <w:rsid w:val="00C550B9"/>
    <w:rsid w:val="00C5547A"/>
    <w:rsid w:val="00C5778D"/>
    <w:rsid w:val="00C57959"/>
    <w:rsid w:val="00C61154"/>
    <w:rsid w:val="00C63F0F"/>
    <w:rsid w:val="00C64392"/>
    <w:rsid w:val="00C64BAF"/>
    <w:rsid w:val="00C67638"/>
    <w:rsid w:val="00C677C0"/>
    <w:rsid w:val="00C70636"/>
    <w:rsid w:val="00C70842"/>
    <w:rsid w:val="00C71ECA"/>
    <w:rsid w:val="00C740FF"/>
    <w:rsid w:val="00C75830"/>
    <w:rsid w:val="00C76E4D"/>
    <w:rsid w:val="00C774D1"/>
    <w:rsid w:val="00C801E1"/>
    <w:rsid w:val="00C84019"/>
    <w:rsid w:val="00C84FF5"/>
    <w:rsid w:val="00C8578E"/>
    <w:rsid w:val="00C85EB2"/>
    <w:rsid w:val="00C861F7"/>
    <w:rsid w:val="00C90657"/>
    <w:rsid w:val="00C91D7E"/>
    <w:rsid w:val="00C92D66"/>
    <w:rsid w:val="00C932BD"/>
    <w:rsid w:val="00C9331B"/>
    <w:rsid w:val="00C9380D"/>
    <w:rsid w:val="00C9515B"/>
    <w:rsid w:val="00C95A08"/>
    <w:rsid w:val="00C97302"/>
    <w:rsid w:val="00C974BD"/>
    <w:rsid w:val="00C978B9"/>
    <w:rsid w:val="00CA1F6A"/>
    <w:rsid w:val="00CA3DE5"/>
    <w:rsid w:val="00CA4745"/>
    <w:rsid w:val="00CA5938"/>
    <w:rsid w:val="00CA5AF4"/>
    <w:rsid w:val="00CA5D7F"/>
    <w:rsid w:val="00CA5FC3"/>
    <w:rsid w:val="00CA76B5"/>
    <w:rsid w:val="00CB036C"/>
    <w:rsid w:val="00CB3D1A"/>
    <w:rsid w:val="00CB464E"/>
    <w:rsid w:val="00CB61A0"/>
    <w:rsid w:val="00CB75E5"/>
    <w:rsid w:val="00CC2CD9"/>
    <w:rsid w:val="00CC2CE8"/>
    <w:rsid w:val="00CC47BF"/>
    <w:rsid w:val="00CC5817"/>
    <w:rsid w:val="00CC76F2"/>
    <w:rsid w:val="00CC7C17"/>
    <w:rsid w:val="00CD323E"/>
    <w:rsid w:val="00CD3717"/>
    <w:rsid w:val="00CD5CA8"/>
    <w:rsid w:val="00CD629C"/>
    <w:rsid w:val="00CD6BA6"/>
    <w:rsid w:val="00CE105E"/>
    <w:rsid w:val="00CE17D7"/>
    <w:rsid w:val="00CE1E5E"/>
    <w:rsid w:val="00CE5B1D"/>
    <w:rsid w:val="00CF008C"/>
    <w:rsid w:val="00CF0299"/>
    <w:rsid w:val="00CF15AA"/>
    <w:rsid w:val="00CF2A85"/>
    <w:rsid w:val="00CF4997"/>
    <w:rsid w:val="00D009F6"/>
    <w:rsid w:val="00D015F9"/>
    <w:rsid w:val="00D01DB5"/>
    <w:rsid w:val="00D01DE9"/>
    <w:rsid w:val="00D03021"/>
    <w:rsid w:val="00D05B7B"/>
    <w:rsid w:val="00D145C0"/>
    <w:rsid w:val="00D201B3"/>
    <w:rsid w:val="00D248B7"/>
    <w:rsid w:val="00D24E35"/>
    <w:rsid w:val="00D2560A"/>
    <w:rsid w:val="00D25C96"/>
    <w:rsid w:val="00D26B31"/>
    <w:rsid w:val="00D2725D"/>
    <w:rsid w:val="00D30028"/>
    <w:rsid w:val="00D312DA"/>
    <w:rsid w:val="00D31E55"/>
    <w:rsid w:val="00D31F7B"/>
    <w:rsid w:val="00D336FE"/>
    <w:rsid w:val="00D34DFE"/>
    <w:rsid w:val="00D351CC"/>
    <w:rsid w:val="00D35E99"/>
    <w:rsid w:val="00D36168"/>
    <w:rsid w:val="00D37CC3"/>
    <w:rsid w:val="00D41B3C"/>
    <w:rsid w:val="00D42207"/>
    <w:rsid w:val="00D50088"/>
    <w:rsid w:val="00D55E55"/>
    <w:rsid w:val="00D57BD0"/>
    <w:rsid w:val="00D60597"/>
    <w:rsid w:val="00D6084A"/>
    <w:rsid w:val="00D6122E"/>
    <w:rsid w:val="00D6282F"/>
    <w:rsid w:val="00D6349E"/>
    <w:rsid w:val="00D64165"/>
    <w:rsid w:val="00D64474"/>
    <w:rsid w:val="00D64638"/>
    <w:rsid w:val="00D64C06"/>
    <w:rsid w:val="00D64DCD"/>
    <w:rsid w:val="00D663ED"/>
    <w:rsid w:val="00D66802"/>
    <w:rsid w:val="00D66BB4"/>
    <w:rsid w:val="00D67A17"/>
    <w:rsid w:val="00D67A8B"/>
    <w:rsid w:val="00D72E43"/>
    <w:rsid w:val="00D74850"/>
    <w:rsid w:val="00D74882"/>
    <w:rsid w:val="00D759EE"/>
    <w:rsid w:val="00D77AEA"/>
    <w:rsid w:val="00D77D7D"/>
    <w:rsid w:val="00D8231D"/>
    <w:rsid w:val="00D83555"/>
    <w:rsid w:val="00D87288"/>
    <w:rsid w:val="00D903AB"/>
    <w:rsid w:val="00D904C8"/>
    <w:rsid w:val="00D9203A"/>
    <w:rsid w:val="00D92694"/>
    <w:rsid w:val="00D93107"/>
    <w:rsid w:val="00D9376A"/>
    <w:rsid w:val="00D956AA"/>
    <w:rsid w:val="00D95C64"/>
    <w:rsid w:val="00D96261"/>
    <w:rsid w:val="00DA0A2D"/>
    <w:rsid w:val="00DA0A53"/>
    <w:rsid w:val="00DA27C4"/>
    <w:rsid w:val="00DA3502"/>
    <w:rsid w:val="00DA457E"/>
    <w:rsid w:val="00DA45C4"/>
    <w:rsid w:val="00DA543F"/>
    <w:rsid w:val="00DA65BD"/>
    <w:rsid w:val="00DA68D9"/>
    <w:rsid w:val="00DA6BE6"/>
    <w:rsid w:val="00DB0F65"/>
    <w:rsid w:val="00DB14CE"/>
    <w:rsid w:val="00DB4946"/>
    <w:rsid w:val="00DC006B"/>
    <w:rsid w:val="00DC0173"/>
    <w:rsid w:val="00DC11EA"/>
    <w:rsid w:val="00DC18CB"/>
    <w:rsid w:val="00DC338F"/>
    <w:rsid w:val="00DC3A8C"/>
    <w:rsid w:val="00DC400E"/>
    <w:rsid w:val="00DC4056"/>
    <w:rsid w:val="00DC4999"/>
    <w:rsid w:val="00DC6FA6"/>
    <w:rsid w:val="00DD0F46"/>
    <w:rsid w:val="00DD1135"/>
    <w:rsid w:val="00DD1535"/>
    <w:rsid w:val="00DD15D6"/>
    <w:rsid w:val="00DD3989"/>
    <w:rsid w:val="00DD475B"/>
    <w:rsid w:val="00DD61DC"/>
    <w:rsid w:val="00DE1551"/>
    <w:rsid w:val="00DE1E21"/>
    <w:rsid w:val="00DE2472"/>
    <w:rsid w:val="00DE405D"/>
    <w:rsid w:val="00DE498C"/>
    <w:rsid w:val="00DE54F9"/>
    <w:rsid w:val="00DE58C6"/>
    <w:rsid w:val="00DE6AF8"/>
    <w:rsid w:val="00DE6C80"/>
    <w:rsid w:val="00DF1540"/>
    <w:rsid w:val="00DF2209"/>
    <w:rsid w:val="00DF3DC9"/>
    <w:rsid w:val="00DF3F93"/>
    <w:rsid w:val="00DF42A4"/>
    <w:rsid w:val="00DF59CB"/>
    <w:rsid w:val="00DF5EB4"/>
    <w:rsid w:val="00E04F5B"/>
    <w:rsid w:val="00E058FB"/>
    <w:rsid w:val="00E0672D"/>
    <w:rsid w:val="00E0696A"/>
    <w:rsid w:val="00E0750F"/>
    <w:rsid w:val="00E10BFC"/>
    <w:rsid w:val="00E12DDA"/>
    <w:rsid w:val="00E135C5"/>
    <w:rsid w:val="00E158C8"/>
    <w:rsid w:val="00E22488"/>
    <w:rsid w:val="00E23F6C"/>
    <w:rsid w:val="00E2410D"/>
    <w:rsid w:val="00E24161"/>
    <w:rsid w:val="00E25470"/>
    <w:rsid w:val="00E25BBE"/>
    <w:rsid w:val="00E2699A"/>
    <w:rsid w:val="00E27471"/>
    <w:rsid w:val="00E30E47"/>
    <w:rsid w:val="00E30F38"/>
    <w:rsid w:val="00E310E1"/>
    <w:rsid w:val="00E315F8"/>
    <w:rsid w:val="00E31B30"/>
    <w:rsid w:val="00E31CD3"/>
    <w:rsid w:val="00E334D8"/>
    <w:rsid w:val="00E34F95"/>
    <w:rsid w:val="00E36116"/>
    <w:rsid w:val="00E36B31"/>
    <w:rsid w:val="00E37F8A"/>
    <w:rsid w:val="00E42376"/>
    <w:rsid w:val="00E4329E"/>
    <w:rsid w:val="00E43C5B"/>
    <w:rsid w:val="00E44564"/>
    <w:rsid w:val="00E47997"/>
    <w:rsid w:val="00E5168D"/>
    <w:rsid w:val="00E531A9"/>
    <w:rsid w:val="00E5503B"/>
    <w:rsid w:val="00E55704"/>
    <w:rsid w:val="00E565B9"/>
    <w:rsid w:val="00E565D0"/>
    <w:rsid w:val="00E62A50"/>
    <w:rsid w:val="00E62C1F"/>
    <w:rsid w:val="00E62FC0"/>
    <w:rsid w:val="00E63C28"/>
    <w:rsid w:val="00E6495E"/>
    <w:rsid w:val="00E71EAD"/>
    <w:rsid w:val="00E720F5"/>
    <w:rsid w:val="00E72D70"/>
    <w:rsid w:val="00E747B4"/>
    <w:rsid w:val="00E74F63"/>
    <w:rsid w:val="00E752E9"/>
    <w:rsid w:val="00E802BF"/>
    <w:rsid w:val="00E80A46"/>
    <w:rsid w:val="00E80B45"/>
    <w:rsid w:val="00E8208B"/>
    <w:rsid w:val="00E827B0"/>
    <w:rsid w:val="00E83B02"/>
    <w:rsid w:val="00E84363"/>
    <w:rsid w:val="00E85FA0"/>
    <w:rsid w:val="00E86271"/>
    <w:rsid w:val="00E87403"/>
    <w:rsid w:val="00E877C1"/>
    <w:rsid w:val="00E87940"/>
    <w:rsid w:val="00E87997"/>
    <w:rsid w:val="00E87CAB"/>
    <w:rsid w:val="00E903AC"/>
    <w:rsid w:val="00E91D2A"/>
    <w:rsid w:val="00E94EEB"/>
    <w:rsid w:val="00E95F38"/>
    <w:rsid w:val="00E97B2E"/>
    <w:rsid w:val="00E97E4E"/>
    <w:rsid w:val="00EA0BC5"/>
    <w:rsid w:val="00EA2ACF"/>
    <w:rsid w:val="00EA2DF3"/>
    <w:rsid w:val="00EA3C27"/>
    <w:rsid w:val="00EA5D0F"/>
    <w:rsid w:val="00EA7A67"/>
    <w:rsid w:val="00EB277F"/>
    <w:rsid w:val="00EB431F"/>
    <w:rsid w:val="00EB64B8"/>
    <w:rsid w:val="00EB76CB"/>
    <w:rsid w:val="00EB7F9D"/>
    <w:rsid w:val="00EC0B04"/>
    <w:rsid w:val="00EC20DC"/>
    <w:rsid w:val="00EC237B"/>
    <w:rsid w:val="00EC4A51"/>
    <w:rsid w:val="00EC5C1D"/>
    <w:rsid w:val="00EC6E64"/>
    <w:rsid w:val="00ED00C2"/>
    <w:rsid w:val="00ED118C"/>
    <w:rsid w:val="00ED176B"/>
    <w:rsid w:val="00ED368F"/>
    <w:rsid w:val="00ED472C"/>
    <w:rsid w:val="00ED5CC6"/>
    <w:rsid w:val="00ED649D"/>
    <w:rsid w:val="00ED7943"/>
    <w:rsid w:val="00EE0C9A"/>
    <w:rsid w:val="00EE35DA"/>
    <w:rsid w:val="00EE75EC"/>
    <w:rsid w:val="00EF0BF3"/>
    <w:rsid w:val="00EF159C"/>
    <w:rsid w:val="00EF21AB"/>
    <w:rsid w:val="00EF4821"/>
    <w:rsid w:val="00EF5BA6"/>
    <w:rsid w:val="00EF6A76"/>
    <w:rsid w:val="00F035CC"/>
    <w:rsid w:val="00F06811"/>
    <w:rsid w:val="00F06934"/>
    <w:rsid w:val="00F07C69"/>
    <w:rsid w:val="00F1031C"/>
    <w:rsid w:val="00F11AD1"/>
    <w:rsid w:val="00F12900"/>
    <w:rsid w:val="00F12E9D"/>
    <w:rsid w:val="00F14555"/>
    <w:rsid w:val="00F14DF4"/>
    <w:rsid w:val="00F15669"/>
    <w:rsid w:val="00F1584F"/>
    <w:rsid w:val="00F15E5E"/>
    <w:rsid w:val="00F20050"/>
    <w:rsid w:val="00F2024E"/>
    <w:rsid w:val="00F24757"/>
    <w:rsid w:val="00F2621E"/>
    <w:rsid w:val="00F26622"/>
    <w:rsid w:val="00F26A4D"/>
    <w:rsid w:val="00F26F92"/>
    <w:rsid w:val="00F310FD"/>
    <w:rsid w:val="00F31B35"/>
    <w:rsid w:val="00F3329D"/>
    <w:rsid w:val="00F339CD"/>
    <w:rsid w:val="00F33A43"/>
    <w:rsid w:val="00F34477"/>
    <w:rsid w:val="00F34781"/>
    <w:rsid w:val="00F34B25"/>
    <w:rsid w:val="00F359FF"/>
    <w:rsid w:val="00F37DDA"/>
    <w:rsid w:val="00F410B1"/>
    <w:rsid w:val="00F4142A"/>
    <w:rsid w:val="00F41650"/>
    <w:rsid w:val="00F41DC7"/>
    <w:rsid w:val="00F4354F"/>
    <w:rsid w:val="00F438AB"/>
    <w:rsid w:val="00F444BA"/>
    <w:rsid w:val="00F4708C"/>
    <w:rsid w:val="00F47143"/>
    <w:rsid w:val="00F47559"/>
    <w:rsid w:val="00F50913"/>
    <w:rsid w:val="00F53A24"/>
    <w:rsid w:val="00F548BF"/>
    <w:rsid w:val="00F555D8"/>
    <w:rsid w:val="00F5699D"/>
    <w:rsid w:val="00F617C7"/>
    <w:rsid w:val="00F63E26"/>
    <w:rsid w:val="00F66266"/>
    <w:rsid w:val="00F66A54"/>
    <w:rsid w:val="00F66D56"/>
    <w:rsid w:val="00F670C8"/>
    <w:rsid w:val="00F67852"/>
    <w:rsid w:val="00F72BA5"/>
    <w:rsid w:val="00F73990"/>
    <w:rsid w:val="00F74562"/>
    <w:rsid w:val="00F749A4"/>
    <w:rsid w:val="00F74BFF"/>
    <w:rsid w:val="00F75EF9"/>
    <w:rsid w:val="00F80E67"/>
    <w:rsid w:val="00F81431"/>
    <w:rsid w:val="00F82237"/>
    <w:rsid w:val="00F83022"/>
    <w:rsid w:val="00F83A7A"/>
    <w:rsid w:val="00F83D95"/>
    <w:rsid w:val="00F84AE8"/>
    <w:rsid w:val="00F84D18"/>
    <w:rsid w:val="00F8592D"/>
    <w:rsid w:val="00F943D7"/>
    <w:rsid w:val="00F9569D"/>
    <w:rsid w:val="00F9774A"/>
    <w:rsid w:val="00FA1399"/>
    <w:rsid w:val="00FA190D"/>
    <w:rsid w:val="00FA3A77"/>
    <w:rsid w:val="00FA7304"/>
    <w:rsid w:val="00FB0070"/>
    <w:rsid w:val="00FB048D"/>
    <w:rsid w:val="00FB0603"/>
    <w:rsid w:val="00FB1347"/>
    <w:rsid w:val="00FB23EE"/>
    <w:rsid w:val="00FB27B0"/>
    <w:rsid w:val="00FC1BDC"/>
    <w:rsid w:val="00FC1D6A"/>
    <w:rsid w:val="00FC2FCD"/>
    <w:rsid w:val="00FC306C"/>
    <w:rsid w:val="00FC3181"/>
    <w:rsid w:val="00FC3C9C"/>
    <w:rsid w:val="00FC41C4"/>
    <w:rsid w:val="00FC59F8"/>
    <w:rsid w:val="00FC6457"/>
    <w:rsid w:val="00FC64E7"/>
    <w:rsid w:val="00FC6ECA"/>
    <w:rsid w:val="00FD3076"/>
    <w:rsid w:val="00FD46BA"/>
    <w:rsid w:val="00FD4B53"/>
    <w:rsid w:val="00FE1CBC"/>
    <w:rsid w:val="00FE270A"/>
    <w:rsid w:val="00FE2E58"/>
    <w:rsid w:val="00FE3F43"/>
    <w:rsid w:val="00FE5458"/>
    <w:rsid w:val="00FE5C48"/>
    <w:rsid w:val="00FE6656"/>
    <w:rsid w:val="00FF191E"/>
    <w:rsid w:val="00FF1C52"/>
    <w:rsid w:val="00FF35CF"/>
    <w:rsid w:val="00FF467A"/>
    <w:rsid w:val="00FF54EA"/>
    <w:rsid w:val="00FF6513"/>
    <w:rsid w:val="03CE5C4D"/>
    <w:rsid w:val="0EE2FE67"/>
    <w:rsid w:val="11544922"/>
    <w:rsid w:val="231D3070"/>
    <w:rsid w:val="28250B28"/>
    <w:rsid w:val="3207C25D"/>
    <w:rsid w:val="4598F93E"/>
    <w:rsid w:val="520D074F"/>
    <w:rsid w:val="5F6680E3"/>
    <w:rsid w:val="6D7F67FD"/>
    <w:rsid w:val="6DAC0685"/>
    <w:rsid w:val="6DD015A1"/>
    <w:rsid w:val="6ECD3494"/>
    <w:rsid w:val="706B44D4"/>
    <w:rsid w:val="732C38B4"/>
    <w:rsid w:val="78BFEBE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225ED6E"/>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9"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22" w:qFormat="1"/>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9"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608"/>
    <w:rPr>
      <w:rFonts w:ascii="Arial" w:hAnsi="Arial"/>
      <w:sz w:val="22"/>
    </w:rPr>
  </w:style>
  <w:style w:type="paragraph" w:styleId="Heading1">
    <w:name w:val="heading 1"/>
    <w:basedOn w:val="Normal"/>
    <w:next w:val="Normal"/>
    <w:link w:val="Heading1Char"/>
    <w:uiPriority w:val="1"/>
    <w:qFormat/>
    <w:rsid w:val="00913608"/>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913608"/>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913608"/>
    <w:pPr>
      <w:numPr>
        <w:numId w:val="2"/>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9"/>
    <w:semiHidden/>
    <w:rsid w:val="00913608"/>
    <w:pPr>
      <w:spacing w:before="120"/>
    </w:pPr>
    <w:rPr>
      <w:color w:val="404040" w:themeColor="text1" w:themeTint="BF"/>
    </w:rPr>
  </w:style>
  <w:style w:type="character" w:customStyle="1" w:styleId="BodyTextChar">
    <w:name w:val="Body Text Char"/>
    <w:basedOn w:val="DefaultParagraphFont"/>
    <w:link w:val="BodyText"/>
    <w:uiPriority w:val="99"/>
    <w:semiHidden/>
    <w:rsid w:val="00AC56BF"/>
    <w:rPr>
      <w:rFonts w:ascii="Arial" w:hAnsi="Arial"/>
      <w:color w:val="404040" w:themeColor="text1" w:themeTint="BF"/>
      <w:sz w:val="22"/>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1"/>
      </w:numPr>
    </w:pPr>
  </w:style>
  <w:style w:type="numbering" w:styleId="1ai">
    <w:name w:val="Outline List 1"/>
    <w:basedOn w:val="NoList"/>
    <w:uiPriority w:val="97"/>
    <w:semiHidden/>
    <w:rsid w:val="008E65A3"/>
    <w:pPr>
      <w:numPr>
        <w:numId w:val="22"/>
      </w:numPr>
    </w:pPr>
  </w:style>
  <w:style w:type="numbering" w:styleId="ArticleSection">
    <w:name w:val="Outline List 3"/>
    <w:basedOn w:val="NoList"/>
    <w:uiPriority w:val="97"/>
    <w:semiHidden/>
    <w:rsid w:val="008E65A3"/>
    <w:pPr>
      <w:numPr>
        <w:numId w:val="23"/>
      </w:numPr>
    </w:pPr>
  </w:style>
  <w:style w:type="paragraph" w:styleId="BalloonText">
    <w:name w:val="Balloon Text"/>
    <w:basedOn w:val="Normal"/>
    <w:link w:val="BalloonTextChar"/>
    <w:uiPriority w:val="99"/>
    <w:semiHidden/>
    <w:rsid w:val="00913608"/>
    <w:rPr>
      <w:rFonts w:cs="Tahoma"/>
      <w:sz w:val="16"/>
      <w:szCs w:val="16"/>
    </w:rPr>
  </w:style>
  <w:style w:type="character" w:customStyle="1" w:styleId="BalloonTextChar">
    <w:name w:val="Balloon Text Char"/>
    <w:basedOn w:val="DefaultParagraphFont"/>
    <w:link w:val="BalloonText"/>
    <w:uiPriority w:val="99"/>
    <w:semiHidden/>
    <w:rsid w:val="008E65A3"/>
    <w:rPr>
      <w:rFonts w:ascii="Arial" w:hAnsi="Arial"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913608"/>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Arial" w:hAnsi="Arial"/>
      <w:color w:val="404040" w:themeColor="text1" w:themeTint="BF"/>
      <w:sz w:val="22"/>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u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913608"/>
    <w:rPr>
      <w:rFonts w:asciiTheme="minorHAnsi" w:hAnsiTheme="minorHAnsi"/>
      <w:sz w:val="16"/>
      <w:szCs w:val="16"/>
    </w:rPr>
  </w:style>
  <w:style w:type="paragraph" w:styleId="CommentText">
    <w:name w:val="annotation text"/>
    <w:basedOn w:val="Normal"/>
    <w:link w:val="CommentTextChar"/>
    <w:uiPriority w:val="99"/>
    <w:rsid w:val="00913608"/>
  </w:style>
  <w:style w:type="character" w:customStyle="1" w:styleId="CommentTextChar">
    <w:name w:val="Comment Text Char"/>
    <w:basedOn w:val="DefaultParagraphFont"/>
    <w:link w:val="CommentText"/>
    <w:uiPriority w:val="99"/>
    <w:rsid w:val="008E65A3"/>
    <w:rPr>
      <w:rFonts w:ascii="Arial" w:hAnsi="Arial"/>
      <w:sz w:val="22"/>
    </w:rPr>
  </w:style>
  <w:style w:type="paragraph" w:styleId="CommentSubject">
    <w:name w:val="annotation subject"/>
    <w:basedOn w:val="CommentText"/>
    <w:next w:val="CommentText"/>
    <w:link w:val="CommentSubjectChar"/>
    <w:uiPriority w:val="99"/>
    <w:semiHidden/>
    <w:rsid w:val="00913608"/>
    <w:rPr>
      <w:b/>
      <w:bCs/>
    </w:rPr>
  </w:style>
  <w:style w:type="character" w:customStyle="1" w:styleId="CommentSubjectChar">
    <w:name w:val="Comment Subject Char"/>
    <w:basedOn w:val="CommentTextChar"/>
    <w:link w:val="CommentSubject"/>
    <w:uiPriority w:val="99"/>
    <w:semiHidden/>
    <w:rsid w:val="008E65A3"/>
    <w:rPr>
      <w:rFonts w:ascii="Arial" w:hAnsi="Arial"/>
      <w:b/>
      <w:bCs/>
      <w:sz w:val="22"/>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913608"/>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Arial" w:hAnsi="Arial"/>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913608"/>
    <w:pPr>
      <w:tabs>
        <w:tab w:val="center" w:pos="4513"/>
        <w:tab w:val="right" w:pos="9026"/>
      </w:tabs>
    </w:pPr>
  </w:style>
  <w:style w:type="character" w:customStyle="1" w:styleId="HeaderChar">
    <w:name w:val="Header Char"/>
    <w:basedOn w:val="DefaultParagraphFont"/>
    <w:link w:val="Header"/>
    <w:uiPriority w:val="99"/>
    <w:rsid w:val="008E65A3"/>
    <w:rPr>
      <w:rFonts w:ascii="Arial" w:hAnsi="Arial"/>
      <w:sz w:val="22"/>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3"/>
      </w:numPr>
      <w:contextualSpacing/>
    </w:pPr>
  </w:style>
  <w:style w:type="paragraph" w:styleId="ListBullet3">
    <w:name w:val="List Bullet 3"/>
    <w:basedOn w:val="Normal"/>
    <w:uiPriority w:val="2"/>
    <w:semiHidden/>
    <w:rsid w:val="008E65A3"/>
    <w:pPr>
      <w:numPr>
        <w:numId w:val="4"/>
      </w:numPr>
      <w:contextualSpacing/>
    </w:pPr>
  </w:style>
  <w:style w:type="paragraph" w:styleId="ListBullet4">
    <w:name w:val="List Bullet 4"/>
    <w:basedOn w:val="Normal"/>
    <w:uiPriority w:val="2"/>
    <w:semiHidden/>
    <w:rsid w:val="008E65A3"/>
    <w:pPr>
      <w:numPr>
        <w:numId w:val="5"/>
      </w:numPr>
      <w:contextualSpacing/>
    </w:pPr>
  </w:style>
  <w:style w:type="paragraph" w:styleId="ListBullet5">
    <w:name w:val="List Bullet 5"/>
    <w:basedOn w:val="Normal"/>
    <w:uiPriority w:val="2"/>
    <w:semiHidden/>
    <w:rsid w:val="008E65A3"/>
    <w:pPr>
      <w:numPr>
        <w:numId w:val="6"/>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7"/>
      </w:numPr>
      <w:contextualSpacing/>
    </w:pPr>
  </w:style>
  <w:style w:type="paragraph" w:styleId="ListNumber2">
    <w:name w:val="List Number 2"/>
    <w:basedOn w:val="Normal"/>
    <w:uiPriority w:val="3"/>
    <w:semiHidden/>
    <w:rsid w:val="008E65A3"/>
    <w:pPr>
      <w:numPr>
        <w:numId w:val="8"/>
      </w:numPr>
      <w:contextualSpacing/>
    </w:pPr>
  </w:style>
  <w:style w:type="paragraph" w:styleId="ListNumber3">
    <w:name w:val="List Number 3"/>
    <w:basedOn w:val="Normal"/>
    <w:uiPriority w:val="3"/>
    <w:semiHidden/>
    <w:rsid w:val="008E65A3"/>
    <w:pPr>
      <w:numPr>
        <w:numId w:val="9"/>
      </w:numPr>
      <w:contextualSpacing/>
    </w:pPr>
  </w:style>
  <w:style w:type="paragraph" w:styleId="ListNumber4">
    <w:name w:val="List Number 4"/>
    <w:basedOn w:val="Normal"/>
    <w:uiPriority w:val="3"/>
    <w:semiHidden/>
    <w:rsid w:val="008E65A3"/>
    <w:pPr>
      <w:numPr>
        <w:numId w:val="10"/>
      </w:numPr>
      <w:contextualSpacing/>
    </w:pPr>
  </w:style>
  <w:style w:type="paragraph" w:styleId="ListNumber5">
    <w:name w:val="List Number 5"/>
    <w:basedOn w:val="Normal"/>
    <w:uiPriority w:val="3"/>
    <w:semiHidden/>
    <w:rsid w:val="008E65A3"/>
    <w:pPr>
      <w:numPr>
        <w:numId w:val="11"/>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99"/>
    <w:semiHidden/>
    <w:rsid w:val="00913608"/>
    <w:rPr>
      <w:rFonts w:asciiTheme="minorHAnsi" w:hAnsiTheme="minorHAnsi"/>
      <w:color w:val="808080"/>
    </w:rPr>
  </w:style>
  <w:style w:type="paragraph" w:styleId="PlainText">
    <w:name w:val="Plain Text"/>
    <w:basedOn w:val="Normal"/>
    <w:link w:val="PlainTextChar"/>
    <w:uiPriority w:val="99"/>
    <w:rsid w:val="00913608"/>
    <w:rPr>
      <w:sz w:val="21"/>
      <w:szCs w:val="21"/>
    </w:rPr>
  </w:style>
  <w:style w:type="character" w:customStyle="1" w:styleId="PlainTextChar">
    <w:name w:val="Plain Text Char"/>
    <w:basedOn w:val="DefaultParagraphFont"/>
    <w:link w:val="PlainText"/>
    <w:uiPriority w:val="99"/>
    <w:rsid w:val="008E65A3"/>
    <w:rPr>
      <w:rFonts w:ascii="Arial" w:hAnsi="Arial"/>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22"/>
    <w:qFormat/>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913608"/>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913608"/>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913608"/>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913608"/>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913608"/>
    <w:pPr>
      <w:spacing w:before="40" w:after="40" w:line="280" w:lineRule="atLeast"/>
    </w:pPr>
    <w:rPr>
      <w:b/>
      <w:color w:val="FFFFFF"/>
    </w:rPr>
  </w:style>
  <w:style w:type="paragraph" w:customStyle="1" w:styleId="OSRlevel1bullet10pt">
    <w:name w:val="OSR level 1 bullet 10 pt"/>
    <w:basedOn w:val="Normal"/>
    <w:rsid w:val="005505E4"/>
    <w:pPr>
      <w:numPr>
        <w:numId w:val="29"/>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customStyle="1" w:styleId="Style1">
    <w:name w:val="Style1"/>
    <w:basedOn w:val="DefaultParagraphFont"/>
    <w:uiPriority w:val="1"/>
    <w:rsid w:val="00913608"/>
    <w:rPr>
      <w:rFonts w:ascii="Georgia" w:hAnsi="Georgia"/>
      <w:sz w:val="42"/>
    </w:rPr>
  </w:style>
  <w:style w:type="character" w:customStyle="1" w:styleId="Style2">
    <w:name w:val="Style2"/>
    <w:basedOn w:val="DefaultParagraphFont"/>
    <w:uiPriority w:val="1"/>
    <w:rsid w:val="00913608"/>
    <w:rPr>
      <w:rFonts w:ascii="Georgia" w:hAnsi="Georgia"/>
      <w:sz w:val="22"/>
    </w:rPr>
  </w:style>
  <w:style w:type="paragraph" w:customStyle="1" w:styleId="Default">
    <w:name w:val="Default"/>
    <w:rsid w:val="00913608"/>
    <w:pPr>
      <w:autoSpaceDE w:val="0"/>
      <w:autoSpaceDN w:val="0"/>
      <w:adjustRightInd w:val="0"/>
      <w:spacing w:after="0"/>
    </w:pPr>
    <w:rPr>
      <w:rFonts w:ascii="Arial" w:eastAsiaTheme="minorEastAsia" w:hAnsi="Arial" w:cs="Arial"/>
      <w:color w:val="000000"/>
      <w:sz w:val="24"/>
      <w:szCs w:val="24"/>
    </w:rPr>
  </w:style>
  <w:style w:type="paragraph" w:styleId="Revision">
    <w:name w:val="Revision"/>
    <w:hidden/>
    <w:uiPriority w:val="99"/>
    <w:semiHidden/>
    <w:rsid w:val="00913608"/>
    <w:pPr>
      <w:spacing w:after="0"/>
    </w:pPr>
    <w:rPr>
      <w:rFonts w:ascii="Arial" w:hAnsi="Arial"/>
      <w:sz w:val="22"/>
    </w:rPr>
  </w:style>
  <w:style w:type="character" w:customStyle="1" w:styleId="ui-provider">
    <w:name w:val="ui-provider"/>
    <w:basedOn w:val="DefaultParagraphFont"/>
    <w:rsid w:val="00E06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72046528">
      <w:bodyDiv w:val="1"/>
      <w:marLeft w:val="0"/>
      <w:marRight w:val="0"/>
      <w:marTop w:val="0"/>
      <w:marBottom w:val="0"/>
      <w:divBdr>
        <w:top w:val="none" w:sz="0" w:space="0" w:color="auto"/>
        <w:left w:val="none" w:sz="0" w:space="0" w:color="auto"/>
        <w:bottom w:val="none" w:sz="0" w:space="0" w:color="auto"/>
        <w:right w:val="none" w:sz="0" w:space="0" w:color="auto"/>
      </w:divBdr>
      <w:divsChild>
        <w:div w:id="21983361">
          <w:marLeft w:val="0"/>
          <w:marRight w:val="0"/>
          <w:marTop w:val="0"/>
          <w:marBottom w:val="0"/>
          <w:divBdr>
            <w:top w:val="none" w:sz="0" w:space="0" w:color="auto"/>
            <w:left w:val="none" w:sz="0" w:space="0" w:color="auto"/>
            <w:bottom w:val="none" w:sz="0" w:space="0" w:color="auto"/>
            <w:right w:val="none" w:sz="0" w:space="0" w:color="auto"/>
          </w:divBdr>
          <w:divsChild>
            <w:div w:id="1112362676">
              <w:marLeft w:val="0"/>
              <w:marRight w:val="0"/>
              <w:marTop w:val="0"/>
              <w:marBottom w:val="0"/>
              <w:divBdr>
                <w:top w:val="none" w:sz="0" w:space="0" w:color="auto"/>
                <w:left w:val="none" w:sz="0" w:space="0" w:color="auto"/>
                <w:bottom w:val="none" w:sz="0" w:space="0" w:color="auto"/>
                <w:right w:val="none" w:sz="0" w:space="0" w:color="auto"/>
              </w:divBdr>
              <w:divsChild>
                <w:div w:id="1098645849">
                  <w:marLeft w:val="0"/>
                  <w:marRight w:val="0"/>
                  <w:marTop w:val="0"/>
                  <w:marBottom w:val="0"/>
                  <w:divBdr>
                    <w:top w:val="none" w:sz="0" w:space="0" w:color="auto"/>
                    <w:left w:val="none" w:sz="0" w:space="0" w:color="auto"/>
                    <w:bottom w:val="none" w:sz="0" w:space="0" w:color="auto"/>
                    <w:right w:val="none" w:sz="0" w:space="0" w:color="auto"/>
                  </w:divBdr>
                  <w:divsChild>
                    <w:div w:id="985626974">
                      <w:marLeft w:val="0"/>
                      <w:marRight w:val="0"/>
                      <w:marTop w:val="0"/>
                      <w:marBottom w:val="0"/>
                      <w:divBdr>
                        <w:top w:val="none" w:sz="0" w:space="0" w:color="auto"/>
                        <w:left w:val="none" w:sz="0" w:space="0" w:color="auto"/>
                        <w:bottom w:val="none" w:sz="0" w:space="0" w:color="auto"/>
                        <w:right w:val="none" w:sz="0" w:space="0" w:color="auto"/>
                      </w:divBdr>
                      <w:divsChild>
                        <w:div w:id="1729767825">
                          <w:marLeft w:val="0"/>
                          <w:marRight w:val="0"/>
                          <w:marTop w:val="0"/>
                          <w:marBottom w:val="0"/>
                          <w:divBdr>
                            <w:top w:val="none" w:sz="0" w:space="0" w:color="auto"/>
                            <w:left w:val="none" w:sz="0" w:space="0" w:color="auto"/>
                            <w:bottom w:val="none" w:sz="0" w:space="0" w:color="auto"/>
                            <w:right w:val="none" w:sz="0" w:space="0" w:color="auto"/>
                          </w:divBdr>
                          <w:divsChild>
                            <w:div w:id="311058725">
                              <w:marLeft w:val="0"/>
                              <w:marRight w:val="0"/>
                              <w:marTop w:val="0"/>
                              <w:marBottom w:val="0"/>
                              <w:divBdr>
                                <w:top w:val="none" w:sz="0" w:space="0" w:color="auto"/>
                                <w:left w:val="none" w:sz="0" w:space="0" w:color="auto"/>
                                <w:bottom w:val="none" w:sz="0" w:space="0" w:color="auto"/>
                                <w:right w:val="none" w:sz="0" w:space="0" w:color="auto"/>
                              </w:divBdr>
                              <w:divsChild>
                                <w:div w:id="837161525">
                                  <w:marLeft w:val="0"/>
                                  <w:marRight w:val="0"/>
                                  <w:marTop w:val="0"/>
                                  <w:marBottom w:val="0"/>
                                  <w:divBdr>
                                    <w:top w:val="none" w:sz="0" w:space="0" w:color="auto"/>
                                    <w:left w:val="none" w:sz="0" w:space="0" w:color="auto"/>
                                    <w:bottom w:val="none" w:sz="0" w:space="0" w:color="auto"/>
                                    <w:right w:val="none" w:sz="0" w:space="0" w:color="auto"/>
                                  </w:divBdr>
                                  <w:divsChild>
                                    <w:div w:id="1204444044">
                                      <w:marLeft w:val="-225"/>
                                      <w:marRight w:val="-225"/>
                                      <w:marTop w:val="0"/>
                                      <w:marBottom w:val="0"/>
                                      <w:divBdr>
                                        <w:top w:val="none" w:sz="0" w:space="0" w:color="auto"/>
                                        <w:left w:val="none" w:sz="0" w:space="0" w:color="auto"/>
                                        <w:bottom w:val="none" w:sz="0" w:space="0" w:color="auto"/>
                                        <w:right w:val="none" w:sz="0" w:space="0" w:color="auto"/>
                                      </w:divBdr>
                                      <w:divsChild>
                                        <w:div w:id="15828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249970132">
      <w:bodyDiv w:val="1"/>
      <w:marLeft w:val="0"/>
      <w:marRight w:val="0"/>
      <w:marTop w:val="0"/>
      <w:marBottom w:val="0"/>
      <w:divBdr>
        <w:top w:val="none" w:sz="0" w:space="0" w:color="auto"/>
        <w:left w:val="none" w:sz="0" w:space="0" w:color="auto"/>
        <w:bottom w:val="none" w:sz="0" w:space="0" w:color="auto"/>
        <w:right w:val="none" w:sz="0" w:space="0" w:color="auto"/>
      </w:divBdr>
      <w:divsChild>
        <w:div w:id="245044177">
          <w:marLeft w:val="0"/>
          <w:marRight w:val="0"/>
          <w:marTop w:val="0"/>
          <w:marBottom w:val="0"/>
          <w:divBdr>
            <w:top w:val="none" w:sz="0" w:space="0" w:color="auto"/>
            <w:left w:val="none" w:sz="0" w:space="0" w:color="auto"/>
            <w:bottom w:val="none" w:sz="0" w:space="0" w:color="auto"/>
            <w:right w:val="none" w:sz="0" w:space="0" w:color="auto"/>
          </w:divBdr>
          <w:divsChild>
            <w:div w:id="1590188399">
              <w:marLeft w:val="0"/>
              <w:marRight w:val="0"/>
              <w:marTop w:val="0"/>
              <w:marBottom w:val="0"/>
              <w:divBdr>
                <w:top w:val="none" w:sz="0" w:space="0" w:color="auto"/>
                <w:left w:val="none" w:sz="0" w:space="0" w:color="auto"/>
                <w:bottom w:val="none" w:sz="0" w:space="0" w:color="auto"/>
                <w:right w:val="none" w:sz="0" w:space="0" w:color="auto"/>
              </w:divBdr>
              <w:divsChild>
                <w:div w:id="1382940738">
                  <w:marLeft w:val="0"/>
                  <w:marRight w:val="0"/>
                  <w:marTop w:val="0"/>
                  <w:marBottom w:val="0"/>
                  <w:divBdr>
                    <w:top w:val="none" w:sz="0" w:space="0" w:color="auto"/>
                    <w:left w:val="none" w:sz="0" w:space="0" w:color="auto"/>
                    <w:bottom w:val="none" w:sz="0" w:space="0" w:color="auto"/>
                    <w:right w:val="none" w:sz="0" w:space="0" w:color="auto"/>
                  </w:divBdr>
                  <w:divsChild>
                    <w:div w:id="710571769">
                      <w:marLeft w:val="0"/>
                      <w:marRight w:val="0"/>
                      <w:marTop w:val="0"/>
                      <w:marBottom w:val="0"/>
                      <w:divBdr>
                        <w:top w:val="none" w:sz="0" w:space="0" w:color="auto"/>
                        <w:left w:val="none" w:sz="0" w:space="0" w:color="auto"/>
                        <w:bottom w:val="none" w:sz="0" w:space="0" w:color="auto"/>
                        <w:right w:val="none" w:sz="0" w:space="0" w:color="auto"/>
                      </w:divBdr>
                      <w:divsChild>
                        <w:div w:id="62218495">
                          <w:marLeft w:val="0"/>
                          <w:marRight w:val="0"/>
                          <w:marTop w:val="0"/>
                          <w:marBottom w:val="0"/>
                          <w:divBdr>
                            <w:top w:val="none" w:sz="0" w:space="0" w:color="auto"/>
                            <w:left w:val="none" w:sz="0" w:space="0" w:color="auto"/>
                            <w:bottom w:val="none" w:sz="0" w:space="0" w:color="auto"/>
                            <w:right w:val="none" w:sz="0" w:space="0" w:color="auto"/>
                          </w:divBdr>
                          <w:divsChild>
                            <w:div w:id="2059469574">
                              <w:marLeft w:val="0"/>
                              <w:marRight w:val="0"/>
                              <w:marTop w:val="0"/>
                              <w:marBottom w:val="0"/>
                              <w:divBdr>
                                <w:top w:val="none" w:sz="0" w:space="0" w:color="auto"/>
                                <w:left w:val="none" w:sz="0" w:space="0" w:color="auto"/>
                                <w:bottom w:val="none" w:sz="0" w:space="0" w:color="auto"/>
                                <w:right w:val="none" w:sz="0" w:space="0" w:color="auto"/>
                              </w:divBdr>
                              <w:divsChild>
                                <w:div w:id="2082869746">
                                  <w:marLeft w:val="0"/>
                                  <w:marRight w:val="0"/>
                                  <w:marTop w:val="0"/>
                                  <w:marBottom w:val="0"/>
                                  <w:divBdr>
                                    <w:top w:val="none" w:sz="0" w:space="0" w:color="auto"/>
                                    <w:left w:val="none" w:sz="0" w:space="0" w:color="auto"/>
                                    <w:bottom w:val="none" w:sz="0" w:space="0" w:color="auto"/>
                                    <w:right w:val="none" w:sz="0" w:space="0" w:color="auto"/>
                                  </w:divBdr>
                                  <w:divsChild>
                                    <w:div w:id="2138982475">
                                      <w:marLeft w:val="-225"/>
                                      <w:marRight w:val="-225"/>
                                      <w:marTop w:val="0"/>
                                      <w:marBottom w:val="0"/>
                                      <w:divBdr>
                                        <w:top w:val="none" w:sz="0" w:space="0" w:color="auto"/>
                                        <w:left w:val="none" w:sz="0" w:space="0" w:color="auto"/>
                                        <w:bottom w:val="none" w:sz="0" w:space="0" w:color="auto"/>
                                        <w:right w:val="none" w:sz="0" w:space="0" w:color="auto"/>
                                      </w:divBdr>
                                      <w:divsChild>
                                        <w:div w:id="131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74098">
      <w:bodyDiv w:val="1"/>
      <w:marLeft w:val="0"/>
      <w:marRight w:val="0"/>
      <w:marTop w:val="0"/>
      <w:marBottom w:val="0"/>
      <w:divBdr>
        <w:top w:val="none" w:sz="0" w:space="0" w:color="auto"/>
        <w:left w:val="none" w:sz="0" w:space="0" w:color="auto"/>
        <w:bottom w:val="none" w:sz="0" w:space="0" w:color="auto"/>
        <w:right w:val="none" w:sz="0" w:space="0" w:color="auto"/>
      </w:divBdr>
      <w:divsChild>
        <w:div w:id="1286811883">
          <w:marLeft w:val="0"/>
          <w:marRight w:val="0"/>
          <w:marTop w:val="0"/>
          <w:marBottom w:val="0"/>
          <w:divBdr>
            <w:top w:val="none" w:sz="0" w:space="0" w:color="auto"/>
            <w:left w:val="none" w:sz="0" w:space="0" w:color="auto"/>
            <w:bottom w:val="none" w:sz="0" w:space="0" w:color="auto"/>
            <w:right w:val="none" w:sz="0" w:space="0" w:color="auto"/>
          </w:divBdr>
          <w:divsChild>
            <w:div w:id="841235165">
              <w:marLeft w:val="0"/>
              <w:marRight w:val="0"/>
              <w:marTop w:val="0"/>
              <w:marBottom w:val="0"/>
              <w:divBdr>
                <w:top w:val="none" w:sz="0" w:space="0" w:color="auto"/>
                <w:left w:val="none" w:sz="0" w:space="0" w:color="auto"/>
                <w:bottom w:val="none" w:sz="0" w:space="0" w:color="auto"/>
                <w:right w:val="none" w:sz="0" w:space="0" w:color="auto"/>
              </w:divBdr>
              <w:divsChild>
                <w:div w:id="1627203241">
                  <w:marLeft w:val="0"/>
                  <w:marRight w:val="0"/>
                  <w:marTop w:val="0"/>
                  <w:marBottom w:val="0"/>
                  <w:divBdr>
                    <w:top w:val="none" w:sz="0" w:space="0" w:color="auto"/>
                    <w:left w:val="none" w:sz="0" w:space="0" w:color="auto"/>
                    <w:bottom w:val="none" w:sz="0" w:space="0" w:color="auto"/>
                    <w:right w:val="none" w:sz="0" w:space="0" w:color="auto"/>
                  </w:divBdr>
                  <w:divsChild>
                    <w:div w:id="1579170292">
                      <w:marLeft w:val="0"/>
                      <w:marRight w:val="0"/>
                      <w:marTop w:val="0"/>
                      <w:marBottom w:val="0"/>
                      <w:divBdr>
                        <w:top w:val="none" w:sz="0" w:space="0" w:color="auto"/>
                        <w:left w:val="none" w:sz="0" w:space="0" w:color="auto"/>
                        <w:bottom w:val="none" w:sz="0" w:space="0" w:color="auto"/>
                        <w:right w:val="none" w:sz="0" w:space="0" w:color="auto"/>
                      </w:divBdr>
                      <w:divsChild>
                        <w:div w:id="2009747567">
                          <w:marLeft w:val="0"/>
                          <w:marRight w:val="0"/>
                          <w:marTop w:val="0"/>
                          <w:marBottom w:val="0"/>
                          <w:divBdr>
                            <w:top w:val="none" w:sz="0" w:space="0" w:color="auto"/>
                            <w:left w:val="none" w:sz="0" w:space="0" w:color="auto"/>
                            <w:bottom w:val="none" w:sz="0" w:space="0" w:color="auto"/>
                            <w:right w:val="none" w:sz="0" w:space="0" w:color="auto"/>
                          </w:divBdr>
                          <w:divsChild>
                            <w:div w:id="1326788855">
                              <w:marLeft w:val="0"/>
                              <w:marRight w:val="0"/>
                              <w:marTop w:val="0"/>
                              <w:marBottom w:val="0"/>
                              <w:divBdr>
                                <w:top w:val="none" w:sz="0" w:space="0" w:color="auto"/>
                                <w:left w:val="none" w:sz="0" w:space="0" w:color="auto"/>
                                <w:bottom w:val="none" w:sz="0" w:space="0" w:color="auto"/>
                                <w:right w:val="none" w:sz="0" w:space="0" w:color="auto"/>
                              </w:divBdr>
                              <w:divsChild>
                                <w:div w:id="2076659649">
                                  <w:marLeft w:val="0"/>
                                  <w:marRight w:val="0"/>
                                  <w:marTop w:val="0"/>
                                  <w:marBottom w:val="0"/>
                                  <w:divBdr>
                                    <w:top w:val="none" w:sz="0" w:space="0" w:color="auto"/>
                                    <w:left w:val="none" w:sz="0" w:space="0" w:color="auto"/>
                                    <w:bottom w:val="none" w:sz="0" w:space="0" w:color="auto"/>
                                    <w:right w:val="none" w:sz="0" w:space="0" w:color="auto"/>
                                  </w:divBdr>
                                  <w:divsChild>
                                    <w:div w:id="1380737654">
                                      <w:marLeft w:val="-225"/>
                                      <w:marRight w:val="-225"/>
                                      <w:marTop w:val="0"/>
                                      <w:marBottom w:val="0"/>
                                      <w:divBdr>
                                        <w:top w:val="none" w:sz="0" w:space="0" w:color="auto"/>
                                        <w:left w:val="none" w:sz="0" w:space="0" w:color="auto"/>
                                        <w:bottom w:val="none" w:sz="0" w:space="0" w:color="auto"/>
                                        <w:right w:val="none" w:sz="0" w:space="0" w:color="auto"/>
                                      </w:divBdr>
                                      <w:divsChild>
                                        <w:div w:id="404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535633">
      <w:bodyDiv w:val="1"/>
      <w:marLeft w:val="0"/>
      <w:marRight w:val="0"/>
      <w:marTop w:val="0"/>
      <w:marBottom w:val="0"/>
      <w:divBdr>
        <w:top w:val="none" w:sz="0" w:space="0" w:color="auto"/>
        <w:left w:val="none" w:sz="0" w:space="0" w:color="auto"/>
        <w:bottom w:val="none" w:sz="0" w:space="0" w:color="auto"/>
        <w:right w:val="none" w:sz="0" w:space="0" w:color="auto"/>
      </w:divBdr>
    </w:div>
    <w:div w:id="1324117650">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15778781">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2026515817">
      <w:bodyDiv w:val="1"/>
      <w:marLeft w:val="0"/>
      <w:marRight w:val="0"/>
      <w:marTop w:val="0"/>
      <w:marBottom w:val="0"/>
      <w:divBdr>
        <w:top w:val="none" w:sz="0" w:space="0" w:color="auto"/>
        <w:left w:val="none" w:sz="0" w:space="0" w:color="auto"/>
        <w:bottom w:val="none" w:sz="0" w:space="0" w:color="auto"/>
        <w:right w:val="none" w:sz="0" w:space="0" w:color="auto"/>
      </w:divBdr>
      <w:divsChild>
        <w:div w:id="1824616619">
          <w:marLeft w:val="0"/>
          <w:marRight w:val="0"/>
          <w:marTop w:val="0"/>
          <w:marBottom w:val="0"/>
          <w:divBdr>
            <w:top w:val="none" w:sz="0" w:space="0" w:color="auto"/>
            <w:left w:val="none" w:sz="0" w:space="0" w:color="auto"/>
            <w:bottom w:val="none" w:sz="0" w:space="0" w:color="auto"/>
            <w:right w:val="none" w:sz="0" w:space="0" w:color="auto"/>
          </w:divBdr>
          <w:divsChild>
            <w:div w:id="1176534328">
              <w:marLeft w:val="0"/>
              <w:marRight w:val="0"/>
              <w:marTop w:val="0"/>
              <w:marBottom w:val="0"/>
              <w:divBdr>
                <w:top w:val="none" w:sz="0" w:space="0" w:color="auto"/>
                <w:left w:val="none" w:sz="0" w:space="0" w:color="auto"/>
                <w:bottom w:val="none" w:sz="0" w:space="0" w:color="auto"/>
                <w:right w:val="none" w:sz="0" w:space="0" w:color="auto"/>
              </w:divBdr>
              <w:divsChild>
                <w:div w:id="1562908682">
                  <w:marLeft w:val="0"/>
                  <w:marRight w:val="0"/>
                  <w:marTop w:val="0"/>
                  <w:marBottom w:val="0"/>
                  <w:divBdr>
                    <w:top w:val="none" w:sz="0" w:space="0" w:color="auto"/>
                    <w:left w:val="none" w:sz="0" w:space="0" w:color="auto"/>
                    <w:bottom w:val="none" w:sz="0" w:space="0" w:color="auto"/>
                    <w:right w:val="none" w:sz="0" w:space="0" w:color="auto"/>
                  </w:divBdr>
                  <w:divsChild>
                    <w:div w:id="2110612760">
                      <w:marLeft w:val="0"/>
                      <w:marRight w:val="0"/>
                      <w:marTop w:val="0"/>
                      <w:marBottom w:val="0"/>
                      <w:divBdr>
                        <w:top w:val="none" w:sz="0" w:space="0" w:color="auto"/>
                        <w:left w:val="none" w:sz="0" w:space="0" w:color="auto"/>
                        <w:bottom w:val="none" w:sz="0" w:space="0" w:color="auto"/>
                        <w:right w:val="none" w:sz="0" w:space="0" w:color="auto"/>
                      </w:divBdr>
                      <w:divsChild>
                        <w:div w:id="264658734">
                          <w:marLeft w:val="0"/>
                          <w:marRight w:val="0"/>
                          <w:marTop w:val="0"/>
                          <w:marBottom w:val="0"/>
                          <w:divBdr>
                            <w:top w:val="none" w:sz="0" w:space="0" w:color="auto"/>
                            <w:left w:val="none" w:sz="0" w:space="0" w:color="auto"/>
                            <w:bottom w:val="none" w:sz="0" w:space="0" w:color="auto"/>
                            <w:right w:val="none" w:sz="0" w:space="0" w:color="auto"/>
                          </w:divBdr>
                          <w:divsChild>
                            <w:div w:id="1332948852">
                              <w:marLeft w:val="0"/>
                              <w:marRight w:val="0"/>
                              <w:marTop w:val="0"/>
                              <w:marBottom w:val="0"/>
                              <w:divBdr>
                                <w:top w:val="none" w:sz="0" w:space="0" w:color="auto"/>
                                <w:left w:val="none" w:sz="0" w:space="0" w:color="auto"/>
                                <w:bottom w:val="none" w:sz="0" w:space="0" w:color="auto"/>
                                <w:right w:val="none" w:sz="0" w:space="0" w:color="auto"/>
                              </w:divBdr>
                              <w:divsChild>
                                <w:div w:id="119421468">
                                  <w:marLeft w:val="0"/>
                                  <w:marRight w:val="0"/>
                                  <w:marTop w:val="0"/>
                                  <w:marBottom w:val="0"/>
                                  <w:divBdr>
                                    <w:top w:val="none" w:sz="0" w:space="0" w:color="auto"/>
                                    <w:left w:val="none" w:sz="0" w:space="0" w:color="auto"/>
                                    <w:bottom w:val="none" w:sz="0" w:space="0" w:color="auto"/>
                                    <w:right w:val="none" w:sz="0" w:space="0" w:color="auto"/>
                                  </w:divBdr>
                                  <w:divsChild>
                                    <w:div w:id="1691444538">
                                      <w:marLeft w:val="-225"/>
                                      <w:marRight w:val="-225"/>
                                      <w:marTop w:val="0"/>
                                      <w:marBottom w:val="0"/>
                                      <w:divBdr>
                                        <w:top w:val="none" w:sz="0" w:space="0" w:color="auto"/>
                                        <w:left w:val="none" w:sz="0" w:space="0" w:color="auto"/>
                                        <w:bottom w:val="none" w:sz="0" w:space="0" w:color="auto"/>
                                        <w:right w:val="none" w:sz="0" w:space="0" w:color="auto"/>
                                      </w:divBdr>
                                      <w:divsChild>
                                        <w:div w:id="18871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sc.nsw.gov.au/workforce-management/capability-framework/the-capability-frame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nsw.gov.au/content/dam/main-education/teaching-and-learning/aec/media/documents/partnershipagreement.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licies.education.nsw.gov.au/policy-library/policies/aboriginal-education-and-training-policy?refid=285843"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png"/><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9706de-1e61-4f5a-b464-def2b64ba06f">
      <Terms xmlns="http://schemas.microsoft.com/office/infopath/2007/PartnerControls"/>
    </lcf76f155ced4ddcb4097134ff3c332f>
    <TaxCatchAll xmlns="a2f49c7a-4271-45c8-b403-8d5793fc9ea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6ACB9AEB1E64C89DAAFBF516F8B97" ma:contentTypeVersion="11" ma:contentTypeDescription="Create a new document." ma:contentTypeScope="" ma:versionID="693d8c43605a0534376eb1e91e93addb">
  <xsd:schema xmlns:xsd="http://www.w3.org/2001/XMLSchema" xmlns:xs="http://www.w3.org/2001/XMLSchema" xmlns:p="http://schemas.microsoft.com/office/2006/metadata/properties" xmlns:ns3="8261bca9-437c-4fce-93a7-e38347837d59" xmlns:ns4="dadf526b-16eb-49cb-a48e-a640e2539281" targetNamespace="http://schemas.microsoft.com/office/2006/metadata/properties" ma:root="true" ma:fieldsID="fff07259f98d79b6bf0d86bf285c955f" ns3:_="" ns4:_="">
    <xsd:import namespace="8261bca9-437c-4fce-93a7-e38347837d59"/>
    <xsd:import namespace="dadf526b-16eb-49cb-a48e-a640e253928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1bca9-437c-4fce-93a7-e38347837d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f526b-16eb-49cb-a48e-a640e253928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C94CCC7F3266C47A121F84B3341D93A" ma:contentTypeVersion="14" ma:contentTypeDescription="Create a new document." ma:contentTypeScope="" ma:versionID="5566bb685153604689126bff507c2049">
  <xsd:schema xmlns:xsd="http://www.w3.org/2001/XMLSchema" xmlns:xs="http://www.w3.org/2001/XMLSchema" xmlns:p="http://schemas.microsoft.com/office/2006/metadata/properties" xmlns:ns2="df9706de-1e61-4f5a-b464-def2b64ba06f" xmlns:ns3="a2f49c7a-4271-45c8-b403-8d5793fc9ea8" targetNamespace="http://schemas.microsoft.com/office/2006/metadata/properties" ma:root="true" ma:fieldsID="a8422a383566804ddfe9f084f2b248cb" ns2:_="" ns3:_="">
    <xsd:import namespace="df9706de-1e61-4f5a-b464-def2b64ba06f"/>
    <xsd:import namespace="a2f49c7a-4271-45c8-b403-8d5793fc9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706de-1e61-4f5a-b464-def2b64ba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f49c7a-4271-45c8-b403-8d5793fc9e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8ef5c5-2bd2-49aa-afe4-fe658ae09994}" ma:internalName="TaxCatchAll" ma:showField="CatchAllData" ma:web="a2f49c7a-4271-45c8-b403-8d5793fc9e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28341-5BC5-4DDD-A760-9C1D87A4B67A}">
  <ds:schemaRefs>
    <ds:schemaRef ds:uri="http://schemas.microsoft.com/office/2006/metadata/properties"/>
    <ds:schemaRef ds:uri="http://schemas.microsoft.com/office/infopath/2007/PartnerControls"/>
    <ds:schemaRef ds:uri="df9706de-1e61-4f5a-b464-def2b64ba06f"/>
    <ds:schemaRef ds:uri="a2f49c7a-4271-45c8-b403-8d5793fc9ea8"/>
  </ds:schemaRefs>
</ds:datastoreItem>
</file>

<file path=customXml/itemProps2.xml><?xml version="1.0" encoding="utf-8"?>
<ds:datastoreItem xmlns:ds="http://schemas.openxmlformats.org/officeDocument/2006/customXml" ds:itemID="{A3E31863-7793-4BB8-8203-0215116F9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1bca9-437c-4fce-93a7-e38347837d59"/>
    <ds:schemaRef ds:uri="dadf526b-16eb-49cb-a48e-a640e2539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8B276-B9D2-458C-968F-48C584E059B0}">
  <ds:schemaRefs>
    <ds:schemaRef ds:uri="http://schemas.microsoft.com/sharepoint/v3/contenttype/forms"/>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5.xml><?xml version="1.0" encoding="utf-8"?>
<ds:datastoreItem xmlns:ds="http://schemas.openxmlformats.org/officeDocument/2006/customXml" ds:itemID="{C94BA9DF-3D55-4551-A69F-5624FC79B70C}">
  <ds:schemaRefs>
    <ds:schemaRef ds:uri="http://schemas.microsoft.com/sharepoint/v3/contenttype/forms"/>
  </ds:schemaRefs>
</ds:datastoreItem>
</file>

<file path=customXml/itemProps6.xml><?xml version="1.0" encoding="utf-8"?>
<ds:datastoreItem xmlns:ds="http://schemas.openxmlformats.org/officeDocument/2006/customXml" ds:itemID="{69E9473B-E125-44FC-883E-F82DB1A0FD4F}">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dadf526b-16eb-49cb-a48e-a640e2539281"/>
    <ds:schemaRef ds:uri="http://schemas.openxmlformats.org/package/2006/metadata/core-properties"/>
    <ds:schemaRef ds:uri="8261bca9-437c-4fce-93a7-e38347837d59"/>
    <ds:schemaRef ds:uri="http://www.w3.org/XML/1998/namespace"/>
  </ds:schemaRefs>
</ds:datastoreItem>
</file>

<file path=customXml/itemProps7.xml><?xml version="1.0" encoding="utf-8"?>
<ds:datastoreItem xmlns:ds="http://schemas.openxmlformats.org/officeDocument/2006/customXml" ds:itemID="{F57098E7-BDD2-4654-A624-4F5553C34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706de-1e61-4f5a-b464-def2b64ba06f"/>
    <ds:schemaRef ds:uri="a2f49c7a-4271-45c8-b403-8d5793fc9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2146</Words>
  <Characters>14316</Characters>
  <Application>Microsoft Office Word</Application>
  <DocSecurity>0</DocSecurity>
  <Lines>119</Lines>
  <Paragraphs>32</Paragraphs>
  <ScaleCrop>false</ScaleCrop>
  <Company>Public Sector Commission</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Sara Kontzle</cp:lastModifiedBy>
  <cp:revision>6</cp:revision>
  <cp:lastPrinted>2021-06-07T04:46:00Z</cp:lastPrinted>
  <dcterms:created xsi:type="dcterms:W3CDTF">2024-10-01T01:57:00Z</dcterms:created>
  <dcterms:modified xsi:type="dcterms:W3CDTF">2024-10-21T00:53:00Z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MSIP_Label_b603dfd7-d93a-4381-a340-2995d8282205_Enabled">
    <vt:lpwstr>true</vt:lpwstr>
  </property>
  <property fmtid="{D5CDD505-2E9C-101B-9397-08002B2CF9AE}" pid="4" name="MSIP_Label_b603dfd7-d93a-4381-a340-2995d8282205_SetDate">
    <vt:lpwstr>2024-07-19T04:37:57Z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c21a0196-318e-496e-ba62-06f13063402f</vt:lpwstr>
  </property>
  <property fmtid="{D5CDD505-2E9C-101B-9397-08002B2CF9AE}" pid="9" name="MSIP_Label_b603dfd7-d93a-4381-a340-2995d8282205_ContentBits">
    <vt:lpwstr>0</vt:lpwstr>
  </property>
  <property fmtid="{D5CDD505-2E9C-101B-9397-08002B2CF9AE}" pid="10" name="ContentTypeId">
    <vt:lpwstr>0x010100FC94CCC7F3266C47A121F84B3341D93A</vt:lpwstr>
  </property>
  <property fmtid="{D5CDD505-2E9C-101B-9397-08002B2CF9AE}" pid="11" name="MediaServiceImageTags">
    <vt:lpwstr/>
  </property>
</Properties>
</file>