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1E695033" w14:textId="77777777" w:rsidTr="0066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00210EAC" w14:textId="77777777" w:rsidR="00801E41" w:rsidRPr="00DC0173" w:rsidRDefault="00801E41" w:rsidP="006657CF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14:paraId="0F3C7BE2" w14:textId="0D128A5E" w:rsidR="00801E41" w:rsidRPr="00DC0173" w:rsidRDefault="00D040C1" w:rsidP="006657CF">
            <w:pPr>
              <w:pStyle w:val="TableTextWhite"/>
            </w:pPr>
            <w:r>
              <w:t>Premier and Cabinet</w:t>
            </w:r>
          </w:p>
        </w:tc>
      </w:tr>
      <w:tr w:rsidR="00801E41" w:rsidRPr="00DC0173" w14:paraId="19786121" w14:textId="77777777" w:rsidTr="006657CF">
        <w:tc>
          <w:tcPr>
            <w:tcW w:w="4026" w:type="dxa"/>
          </w:tcPr>
          <w:p w14:paraId="4936805B" w14:textId="77777777" w:rsidR="00801E41" w:rsidRDefault="00801E41" w:rsidP="006657CF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14:paraId="4AE6F601" w14:textId="1C4A9DB8" w:rsidR="00801E41" w:rsidRDefault="000C1841" w:rsidP="006657CF">
            <w:pPr>
              <w:pStyle w:val="TableTextWhite"/>
            </w:pPr>
            <w:r>
              <w:t>Department of Premier and Cabinet</w:t>
            </w:r>
          </w:p>
        </w:tc>
      </w:tr>
      <w:tr w:rsidR="00801E41" w:rsidRPr="00DC0173" w14:paraId="749BEA85" w14:textId="77777777" w:rsidTr="006657CF">
        <w:tc>
          <w:tcPr>
            <w:tcW w:w="4026" w:type="dxa"/>
          </w:tcPr>
          <w:p w14:paraId="3A32DD85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14:paraId="4C690970" w14:textId="63AA6124" w:rsidR="00801E41" w:rsidRDefault="000C1841" w:rsidP="006657CF">
            <w:pPr>
              <w:pStyle w:val="TableTextWhite"/>
            </w:pPr>
            <w:r>
              <w:t xml:space="preserve">People and </w:t>
            </w:r>
            <w:r w:rsidR="00D22938">
              <w:t>Operations</w:t>
            </w:r>
            <w:r w:rsidR="00C07C06">
              <w:t xml:space="preserve"> Group</w:t>
            </w:r>
            <w:r>
              <w:t>/Employee Relations Branch</w:t>
            </w:r>
          </w:p>
        </w:tc>
      </w:tr>
      <w:tr w:rsidR="00801E41" w:rsidRPr="00DC0173" w14:paraId="16518117" w14:textId="77777777" w:rsidTr="006657CF">
        <w:tc>
          <w:tcPr>
            <w:tcW w:w="4026" w:type="dxa"/>
          </w:tcPr>
          <w:p w14:paraId="1C80F28B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Role number</w:t>
            </w:r>
          </w:p>
        </w:tc>
        <w:tc>
          <w:tcPr>
            <w:tcW w:w="6831" w:type="dxa"/>
          </w:tcPr>
          <w:p w14:paraId="19E58CA6" w14:textId="77777777" w:rsidR="00801E41" w:rsidRDefault="00801E41" w:rsidP="006657CF">
            <w:pPr>
              <w:pStyle w:val="TableTextWhite"/>
            </w:pPr>
            <w:r>
              <w:t>TBC</w:t>
            </w:r>
          </w:p>
        </w:tc>
      </w:tr>
      <w:tr w:rsidR="00801E41" w:rsidRPr="00DC0173" w14:paraId="60CD0958" w14:textId="77777777" w:rsidTr="006657CF">
        <w:tc>
          <w:tcPr>
            <w:tcW w:w="4026" w:type="dxa"/>
          </w:tcPr>
          <w:p w14:paraId="4FD21F74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4B0D85A6" w14:textId="0C23E902" w:rsidR="00801E41" w:rsidRDefault="00D040C1" w:rsidP="006657CF">
            <w:pPr>
              <w:pStyle w:val="TableTextWhite"/>
            </w:pPr>
            <w:r>
              <w:t>Clerk Grade 5/6</w:t>
            </w:r>
          </w:p>
        </w:tc>
      </w:tr>
      <w:tr w:rsidR="00801E41" w:rsidRPr="00DC0173" w14:paraId="073AD676" w14:textId="77777777" w:rsidTr="006657CF">
        <w:tc>
          <w:tcPr>
            <w:tcW w:w="4026" w:type="dxa"/>
          </w:tcPr>
          <w:p w14:paraId="34EC5F38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6B0DB08C" w14:textId="77777777" w:rsidR="00801E41" w:rsidRDefault="00801E41" w:rsidP="006657CF">
            <w:pPr>
              <w:pStyle w:val="TableTextWhite"/>
            </w:pPr>
            <w:r>
              <w:t>TBC</w:t>
            </w:r>
          </w:p>
        </w:tc>
      </w:tr>
      <w:tr w:rsidR="00801E41" w:rsidRPr="00DC0173" w14:paraId="752E2B4C" w14:textId="77777777" w:rsidTr="006657CF">
        <w:tc>
          <w:tcPr>
            <w:tcW w:w="4026" w:type="dxa"/>
          </w:tcPr>
          <w:p w14:paraId="77421A0C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3DEE2C81" w14:textId="77777777" w:rsidR="00801E41" w:rsidRDefault="00801E41" w:rsidP="006657CF">
            <w:pPr>
              <w:pStyle w:val="TableTextWhite"/>
            </w:pPr>
            <w:r>
              <w:t>TBC</w:t>
            </w:r>
          </w:p>
        </w:tc>
      </w:tr>
      <w:tr w:rsidR="00801E41" w:rsidRPr="00DC0173" w14:paraId="6E34F27A" w14:textId="77777777" w:rsidTr="006657CF">
        <w:tc>
          <w:tcPr>
            <w:tcW w:w="4026" w:type="dxa"/>
          </w:tcPr>
          <w:p w14:paraId="07400C08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3F1A477A" w14:textId="63CB9202" w:rsidR="00801E41" w:rsidRDefault="00473363" w:rsidP="006657CF">
            <w:pPr>
              <w:pStyle w:val="TableTextWhite"/>
            </w:pPr>
            <w:r>
              <w:t>June 2021</w:t>
            </w:r>
          </w:p>
        </w:tc>
      </w:tr>
      <w:tr w:rsidR="00801E41" w:rsidRPr="00DC0173" w14:paraId="257603AC" w14:textId="77777777" w:rsidTr="006657CF">
        <w:tc>
          <w:tcPr>
            <w:tcW w:w="4026" w:type="dxa"/>
          </w:tcPr>
          <w:p w14:paraId="00472663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Agency Website</w:t>
            </w:r>
          </w:p>
        </w:tc>
        <w:tc>
          <w:tcPr>
            <w:tcW w:w="6831" w:type="dxa"/>
          </w:tcPr>
          <w:p w14:paraId="44986561" w14:textId="07BE586C" w:rsidR="00801E41" w:rsidRDefault="00222FE4" w:rsidP="006657CF">
            <w:pPr>
              <w:pStyle w:val="TableTextWhite"/>
            </w:pPr>
            <w:r w:rsidRPr="006166CA">
              <w:t>www.dpc.nsw.gov.au</w:t>
            </w:r>
          </w:p>
        </w:tc>
      </w:tr>
    </w:tbl>
    <w:p w14:paraId="3B779FA6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302E0E98" w14:textId="7FA8216D" w:rsidR="003927AE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Agency overview</w:t>
      </w:r>
    </w:p>
    <w:p w14:paraId="4512CFC0" w14:textId="77777777" w:rsidR="00C07C06" w:rsidRPr="004C5DC8" w:rsidRDefault="00C07C06" w:rsidP="00C07C06">
      <w:pPr>
        <w:shd w:val="clear" w:color="auto" w:fill="FFFFFF"/>
        <w:spacing w:after="100" w:afterAutospacing="1"/>
        <w:rPr>
          <w:rFonts w:cs="Arial"/>
        </w:rPr>
      </w:pPr>
      <w:r w:rsidRPr="004C5DC8">
        <w:rPr>
          <w:rFonts w:cs="Arial"/>
          <w:lang w:eastAsia="en-AU"/>
        </w:rPr>
        <w:t xml:space="preserve">The NSW Department of Premier and Cabinet (DPC) is the lead central agency in the NSW Government. </w:t>
      </w:r>
    </w:p>
    <w:p w14:paraId="7DB8BFA1" w14:textId="77777777" w:rsidR="00C07C06" w:rsidRPr="004C5DC8" w:rsidRDefault="00C07C06" w:rsidP="00C07C06">
      <w:pPr>
        <w:shd w:val="clear" w:color="auto" w:fill="FFFFFF"/>
        <w:spacing w:after="100" w:afterAutospacing="1"/>
        <w:rPr>
          <w:rFonts w:cs="Arial"/>
          <w:lang w:eastAsia="en-AU"/>
        </w:rPr>
      </w:pPr>
      <w:r w:rsidRPr="004C5DC8">
        <w:rPr>
          <w:rFonts w:cs="Arial"/>
          <w:lang w:eastAsia="en-AU"/>
        </w:rPr>
        <w:t xml:space="preserve">We support the Premier and the Special Minister of State, the Cabinet, </w:t>
      </w:r>
      <w:proofErr w:type="gramStart"/>
      <w:r w:rsidRPr="004C5DC8">
        <w:rPr>
          <w:rFonts w:cs="Arial"/>
          <w:lang w:eastAsia="en-AU"/>
        </w:rPr>
        <w:t>Ministers</w:t>
      </w:r>
      <w:proofErr w:type="gramEnd"/>
      <w:r w:rsidRPr="004C5DC8">
        <w:rPr>
          <w:rFonts w:cs="Arial"/>
          <w:lang w:eastAsia="en-AU"/>
        </w:rPr>
        <w:t xml:space="preserve"> and agencies by coordinating policies and services across government. We lead policy development, provide innovative ideas and support Government plans and projects. </w:t>
      </w:r>
    </w:p>
    <w:p w14:paraId="339C7D3F" w14:textId="77777777" w:rsidR="00C07C06" w:rsidRPr="004C5DC8" w:rsidRDefault="00C07C06" w:rsidP="00C07C06">
      <w:pPr>
        <w:shd w:val="clear" w:color="auto" w:fill="FFFFFF"/>
        <w:spacing w:after="100" w:afterAutospacing="1"/>
        <w:rPr>
          <w:rFonts w:cs="Arial"/>
          <w:lang w:val="en"/>
        </w:rPr>
      </w:pPr>
      <w:r w:rsidRPr="004C5DC8">
        <w:rPr>
          <w:rFonts w:cs="Arial"/>
          <w:lang w:val="en"/>
        </w:rPr>
        <w:t xml:space="preserve">Working with us will give you a broad overview in areas such as public policy formulation, public administration and state administrative matters and an opportunity to be involved in a range of state-wide policies, </w:t>
      </w:r>
      <w:proofErr w:type="gramStart"/>
      <w:r w:rsidRPr="004C5DC8">
        <w:rPr>
          <w:rFonts w:cs="Arial"/>
          <w:lang w:val="en"/>
        </w:rPr>
        <w:t>issues</w:t>
      </w:r>
      <w:proofErr w:type="gramEnd"/>
      <w:r w:rsidRPr="004C5DC8">
        <w:rPr>
          <w:rFonts w:cs="Arial"/>
          <w:lang w:val="en"/>
        </w:rPr>
        <w:t xml:space="preserve"> and projects.</w:t>
      </w:r>
    </w:p>
    <w:p w14:paraId="157DBA2C" w14:textId="77777777" w:rsidR="00C07C06" w:rsidRDefault="00C07C06" w:rsidP="00C07C06">
      <w:pPr>
        <w:tabs>
          <w:tab w:val="left" w:pos="2925"/>
        </w:tabs>
        <w:rPr>
          <w:rStyle w:val="Heading1Char"/>
        </w:rPr>
      </w:pPr>
      <w:r w:rsidRPr="004C5DC8">
        <w:rPr>
          <w:rFonts w:cs="Arial"/>
        </w:rPr>
        <w:t xml:space="preserve">For more information go to </w:t>
      </w:r>
      <w:hyperlink r:id="rId9" w:history="1">
        <w:r w:rsidRPr="004C5DC8">
          <w:rPr>
            <w:rFonts w:cs="Arial"/>
            <w:color w:val="0000FF" w:themeColor="hyperlink"/>
            <w:u w:val="single"/>
          </w:rPr>
          <w:t>http://www.dpc.nsw.gov.au/about/about_the_department</w:t>
        </w:r>
      </w:hyperlink>
    </w:p>
    <w:p w14:paraId="71F2A838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052C65BB" w14:textId="5BDA00FE" w:rsidR="003927AE" w:rsidRDefault="00523B42" w:rsidP="00784278">
      <w:pPr>
        <w:tabs>
          <w:tab w:val="left" w:pos="2925"/>
        </w:tabs>
        <w:rPr>
          <w:rFonts w:ascii="Georgia" w:hAnsi="Georgia"/>
        </w:rPr>
      </w:pPr>
      <w:r>
        <w:t>Undertake</w:t>
      </w:r>
      <w:r w:rsidR="004C32AC">
        <w:t xml:space="preserve"> </w:t>
      </w:r>
      <w:r w:rsidR="00784278">
        <w:t xml:space="preserve">company and industry </w:t>
      </w:r>
      <w:r>
        <w:t>research</w:t>
      </w:r>
      <w:r w:rsidR="00784278">
        <w:t xml:space="preserve"> to support and inform proactive</w:t>
      </w:r>
      <w:r w:rsidR="001D2277">
        <w:t xml:space="preserve">/targeted </w:t>
      </w:r>
      <w:r w:rsidR="00784278">
        <w:t xml:space="preserve">compliance strategies, </w:t>
      </w:r>
      <w:proofErr w:type="gramStart"/>
      <w:r w:rsidR="00784278">
        <w:t>projects</w:t>
      </w:r>
      <w:proofErr w:type="gramEnd"/>
      <w:r w:rsidR="00784278">
        <w:t xml:space="preserve"> and initiatives. Provide guidance </w:t>
      </w:r>
      <w:r w:rsidR="0034264C">
        <w:t>to assist in the determination of compliance targets</w:t>
      </w:r>
      <w:r w:rsidR="006E0A4E">
        <w:t xml:space="preserve"> and c</w:t>
      </w:r>
      <w:r w:rsidR="00EA077B">
        <w:t xml:space="preserve">onduct basic research </w:t>
      </w:r>
      <w:r w:rsidR="00CA653D">
        <w:t>to identify relevant regulatory instruments</w:t>
      </w:r>
      <w:r w:rsidR="00473363">
        <w:t>.</w:t>
      </w:r>
    </w:p>
    <w:p w14:paraId="6E110AA0" w14:textId="4FA19D67" w:rsidR="00FE6FBE" w:rsidRPr="00FE6FBE" w:rsidRDefault="003927AE" w:rsidP="000D7F77">
      <w:pPr>
        <w:tabs>
          <w:tab w:val="left" w:pos="2925"/>
        </w:tabs>
        <w:rPr>
          <w:rFonts w:eastAsiaTheme="minorHAnsi" w:cs="Arial"/>
          <w:b/>
          <w:bCs/>
          <w:kern w:val="32"/>
          <w:sz w:val="26"/>
          <w:szCs w:val="32"/>
          <w:lang w:val="en-AU"/>
        </w:rPr>
      </w:pPr>
      <w:r w:rsidRPr="00172DFE">
        <w:rPr>
          <w:rStyle w:val="Heading1Char"/>
        </w:rPr>
        <w:t>Key accountabilities</w:t>
      </w:r>
    </w:p>
    <w:p w14:paraId="1ED18447" w14:textId="64F6C800" w:rsidR="00FE6FBE" w:rsidRDefault="00FE6FBE" w:rsidP="000D7F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1" w:line="240" w:lineRule="auto"/>
        <w:rPr>
          <w:rFonts w:cs="Arial"/>
          <w:color w:val="000000"/>
          <w:lang w:val="en-AU"/>
        </w:rPr>
      </w:pPr>
      <w:r w:rsidRPr="000D7F77">
        <w:rPr>
          <w:rFonts w:cs="Arial"/>
          <w:color w:val="000000"/>
          <w:lang w:val="en-AU"/>
        </w:rPr>
        <w:t xml:space="preserve">Undertake </w:t>
      </w:r>
      <w:r w:rsidR="0025759B">
        <w:rPr>
          <w:rFonts w:cs="Arial"/>
          <w:color w:val="000000"/>
          <w:lang w:val="en-AU"/>
        </w:rPr>
        <w:t xml:space="preserve">basic </w:t>
      </w:r>
      <w:r w:rsidRPr="000D7F77">
        <w:rPr>
          <w:rFonts w:cs="Arial"/>
          <w:color w:val="000000"/>
          <w:lang w:val="en-AU"/>
        </w:rPr>
        <w:t xml:space="preserve">research and analysis of a range of information to support and inform </w:t>
      </w:r>
      <w:r w:rsidR="0025759B">
        <w:rPr>
          <w:rFonts w:cs="Arial"/>
          <w:color w:val="000000"/>
          <w:lang w:val="en-AU"/>
        </w:rPr>
        <w:t>Compliance</w:t>
      </w:r>
      <w:r w:rsidRPr="000D7F77">
        <w:rPr>
          <w:rFonts w:cs="Arial"/>
          <w:color w:val="000000"/>
          <w:lang w:val="en-AU"/>
        </w:rPr>
        <w:t xml:space="preserve"> strategies, </w:t>
      </w:r>
      <w:proofErr w:type="gramStart"/>
      <w:r w:rsidRPr="000D7F77">
        <w:rPr>
          <w:rFonts w:cs="Arial"/>
          <w:color w:val="000000"/>
          <w:lang w:val="en-AU"/>
        </w:rPr>
        <w:t>projects</w:t>
      </w:r>
      <w:proofErr w:type="gramEnd"/>
      <w:r w:rsidRPr="000D7F77">
        <w:rPr>
          <w:rFonts w:cs="Arial"/>
          <w:color w:val="000000"/>
          <w:lang w:val="en-AU"/>
        </w:rPr>
        <w:t xml:space="preserve"> and priority setting. </w:t>
      </w:r>
    </w:p>
    <w:p w14:paraId="02433950" w14:textId="1356DF54" w:rsidR="0025759B" w:rsidRPr="0025759B" w:rsidRDefault="0025759B" w:rsidP="002575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1" w:line="240" w:lineRule="auto"/>
        <w:rPr>
          <w:rFonts w:cs="Arial"/>
          <w:color w:val="000000"/>
          <w:lang w:val="en-AU"/>
        </w:rPr>
      </w:pPr>
      <w:r w:rsidRPr="000D7F77">
        <w:rPr>
          <w:rFonts w:cs="Arial"/>
          <w:color w:val="000000"/>
          <w:lang w:val="en-AU"/>
        </w:rPr>
        <w:t xml:space="preserve">Monitor </w:t>
      </w:r>
      <w:r>
        <w:rPr>
          <w:rFonts w:cs="Arial"/>
          <w:color w:val="000000"/>
          <w:lang w:val="en-AU"/>
        </w:rPr>
        <w:t>media and other</w:t>
      </w:r>
      <w:r w:rsidRPr="000D7F77">
        <w:rPr>
          <w:rFonts w:cs="Arial"/>
          <w:color w:val="000000"/>
          <w:lang w:val="en-AU"/>
        </w:rPr>
        <w:t xml:space="preserve"> sources to ensure currency </w:t>
      </w:r>
      <w:r>
        <w:rPr>
          <w:rFonts w:cs="Arial"/>
          <w:color w:val="000000"/>
          <w:lang w:val="en-AU"/>
        </w:rPr>
        <w:t>of information used to prioritise and pursue strategic audit activities.</w:t>
      </w:r>
    </w:p>
    <w:p w14:paraId="66CC5DD9" w14:textId="02BF6814" w:rsidR="00FE6FBE" w:rsidRPr="000D7F77" w:rsidRDefault="00FE6FBE" w:rsidP="000D7F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1" w:line="240" w:lineRule="auto"/>
        <w:rPr>
          <w:rFonts w:cs="Arial"/>
          <w:color w:val="000000"/>
          <w:lang w:val="en-AU"/>
        </w:rPr>
      </w:pPr>
      <w:r w:rsidRPr="000D7F77">
        <w:rPr>
          <w:rFonts w:cs="Arial"/>
          <w:color w:val="000000"/>
          <w:lang w:val="en-AU"/>
        </w:rPr>
        <w:t xml:space="preserve">Prepare regular reports on </w:t>
      </w:r>
      <w:r w:rsidR="0008549E">
        <w:rPr>
          <w:rFonts w:cs="Arial"/>
          <w:color w:val="000000"/>
          <w:lang w:val="en-AU"/>
        </w:rPr>
        <w:t xml:space="preserve">ER compliance </w:t>
      </w:r>
      <w:r w:rsidRPr="000D7F77">
        <w:rPr>
          <w:rFonts w:cs="Arial"/>
          <w:color w:val="000000"/>
          <w:lang w:val="en-AU"/>
        </w:rPr>
        <w:t xml:space="preserve">in NSW to inform </w:t>
      </w:r>
      <w:r w:rsidR="00FC5F94">
        <w:rPr>
          <w:rFonts w:cs="Arial"/>
          <w:color w:val="000000"/>
          <w:lang w:val="en-AU"/>
        </w:rPr>
        <w:t>Management within Employee Relations of key developments and opportunities</w:t>
      </w:r>
      <w:r w:rsidR="0025759B">
        <w:rPr>
          <w:rFonts w:cs="Arial"/>
          <w:color w:val="000000"/>
          <w:lang w:val="en-AU"/>
        </w:rPr>
        <w:t>.</w:t>
      </w:r>
    </w:p>
    <w:p w14:paraId="42D69871" w14:textId="73C7796D" w:rsidR="000D7F77" w:rsidRDefault="000D7F77" w:rsidP="000D7F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70" w:line="240" w:lineRule="auto"/>
        <w:rPr>
          <w:rFonts w:cs="Arial"/>
          <w:color w:val="000000"/>
          <w:lang w:val="en-AU"/>
        </w:rPr>
      </w:pPr>
      <w:r w:rsidRPr="000D7F77">
        <w:rPr>
          <w:rFonts w:cs="Arial"/>
          <w:color w:val="000000"/>
          <w:lang w:val="en-AU"/>
        </w:rPr>
        <w:t xml:space="preserve">Develop and maintain relationships with internal and external stakeholders, such as NSW government agencies, industry associations, and academic institutions, to source and support analysis of data and information </w:t>
      </w:r>
      <w:r w:rsidR="00BA64C9">
        <w:rPr>
          <w:rFonts w:cs="Arial"/>
          <w:color w:val="000000"/>
          <w:lang w:val="en-AU"/>
        </w:rPr>
        <w:t>to assist in the</w:t>
      </w:r>
      <w:r w:rsidRPr="000D7F77">
        <w:rPr>
          <w:rFonts w:cs="Arial"/>
          <w:color w:val="000000"/>
          <w:lang w:val="en-AU"/>
        </w:rPr>
        <w:t xml:space="preserve"> provi</w:t>
      </w:r>
      <w:r w:rsidR="00BA64C9">
        <w:rPr>
          <w:rFonts w:cs="Arial"/>
          <w:color w:val="000000"/>
          <w:lang w:val="en-AU"/>
        </w:rPr>
        <w:t>sion of</w:t>
      </w:r>
      <w:r w:rsidRPr="000D7F77">
        <w:rPr>
          <w:rFonts w:cs="Arial"/>
          <w:color w:val="000000"/>
          <w:lang w:val="en-AU"/>
        </w:rPr>
        <w:t xml:space="preserve"> advice. </w:t>
      </w:r>
    </w:p>
    <w:p w14:paraId="3F6F6F69" w14:textId="7C3F0859" w:rsidR="006E0A4E" w:rsidRDefault="006E0A4E" w:rsidP="000D7F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AU"/>
        </w:rPr>
      </w:pPr>
      <w:r>
        <w:lastRenderedPageBreak/>
        <w:t xml:space="preserve">Continually monitor the external employee relations regulatory environment to ensure appropriate prioritisation of proactive </w:t>
      </w:r>
      <w:r w:rsidR="00473363">
        <w:t>audits.</w:t>
      </w:r>
      <w:r w:rsidR="00473363" w:rsidRPr="000D7F77">
        <w:rPr>
          <w:rFonts w:cs="Arial"/>
          <w:color w:val="000000"/>
          <w:lang w:val="en-AU"/>
        </w:rPr>
        <w:t xml:space="preserve"> Undertake</w:t>
      </w:r>
      <w:r w:rsidR="000D7F77" w:rsidRPr="000D7F77">
        <w:rPr>
          <w:rFonts w:cs="Arial"/>
          <w:color w:val="000000"/>
          <w:lang w:val="en-AU"/>
        </w:rPr>
        <w:t xml:space="preserve"> project related work as required to assist in the timely achievement of project deliverables.</w:t>
      </w:r>
    </w:p>
    <w:p w14:paraId="3DA30370" w14:textId="3BD9DD79" w:rsidR="000D7F77" w:rsidRPr="000D7F77" w:rsidRDefault="006E0A4E" w:rsidP="000D7F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AU"/>
        </w:rPr>
      </w:pPr>
      <w:r>
        <w:t>Support inspectors and managers on a range of compliance projects.</w:t>
      </w:r>
    </w:p>
    <w:p w14:paraId="37457EBF" w14:textId="7DBAC380" w:rsidR="003927AE" w:rsidRPr="007E77DC" w:rsidRDefault="003927AE" w:rsidP="007E77DC">
      <w:pPr>
        <w:tabs>
          <w:tab w:val="left" w:pos="2925"/>
        </w:tabs>
        <w:rPr>
          <w:rFonts w:cs="Arial"/>
        </w:rPr>
      </w:pPr>
    </w:p>
    <w:p w14:paraId="737651FF" w14:textId="3EA7C546" w:rsidR="006D520F" w:rsidRPr="006D520F" w:rsidRDefault="003927AE" w:rsidP="006D520F">
      <w:pPr>
        <w:tabs>
          <w:tab w:val="left" w:pos="2925"/>
        </w:tabs>
        <w:rPr>
          <w:rFonts w:eastAsiaTheme="minorHAnsi" w:cs="Arial"/>
          <w:b/>
          <w:bCs/>
          <w:kern w:val="32"/>
          <w:sz w:val="26"/>
          <w:szCs w:val="32"/>
          <w:lang w:val="en-AU"/>
        </w:rPr>
      </w:pPr>
      <w:r w:rsidRPr="00614552">
        <w:rPr>
          <w:rStyle w:val="Heading1Char"/>
        </w:rPr>
        <w:t>Key challenges</w:t>
      </w:r>
    </w:p>
    <w:p w14:paraId="1D348F03" w14:textId="4F830AB2" w:rsidR="006D520F" w:rsidRDefault="006D520F" w:rsidP="006D520F">
      <w:pPr>
        <w:pStyle w:val="Default"/>
        <w:numPr>
          <w:ilvl w:val="0"/>
          <w:numId w:val="1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Providing written analysis and advice on </w:t>
      </w:r>
      <w:r w:rsidR="00F4310A">
        <w:rPr>
          <w:sz w:val="22"/>
          <w:szCs w:val="22"/>
        </w:rPr>
        <w:t xml:space="preserve">specific companies and </w:t>
      </w:r>
      <w:r>
        <w:rPr>
          <w:sz w:val="22"/>
          <w:szCs w:val="22"/>
        </w:rPr>
        <w:t xml:space="preserve">industry indicators </w:t>
      </w:r>
      <w:r w:rsidR="00F4310A">
        <w:rPr>
          <w:sz w:val="22"/>
          <w:szCs w:val="22"/>
        </w:rPr>
        <w:t xml:space="preserve">within defined </w:t>
      </w:r>
      <w:r>
        <w:rPr>
          <w:sz w:val="22"/>
          <w:szCs w:val="22"/>
        </w:rPr>
        <w:t xml:space="preserve">deadlines </w:t>
      </w:r>
    </w:p>
    <w:p w14:paraId="045F24CF" w14:textId="15731278" w:rsidR="006D520F" w:rsidRDefault="006D520F" w:rsidP="006D520F">
      <w:pPr>
        <w:pStyle w:val="Default"/>
        <w:numPr>
          <w:ilvl w:val="0"/>
          <w:numId w:val="1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Identifying</w:t>
      </w:r>
      <w:r w:rsidR="00F73C3B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evaluating</w:t>
      </w:r>
      <w:proofErr w:type="gramEnd"/>
      <w:r>
        <w:rPr>
          <w:sz w:val="22"/>
          <w:szCs w:val="22"/>
        </w:rPr>
        <w:t xml:space="preserve"> </w:t>
      </w:r>
      <w:r w:rsidR="00F73C3B">
        <w:rPr>
          <w:sz w:val="22"/>
          <w:szCs w:val="22"/>
        </w:rPr>
        <w:t xml:space="preserve">and prioritising </w:t>
      </w:r>
      <w:r>
        <w:rPr>
          <w:sz w:val="22"/>
          <w:szCs w:val="22"/>
        </w:rPr>
        <w:t xml:space="preserve">relevant information sources </w:t>
      </w:r>
      <w:r w:rsidR="00F4310A">
        <w:rPr>
          <w:sz w:val="22"/>
          <w:szCs w:val="22"/>
        </w:rPr>
        <w:t xml:space="preserve">and data </w:t>
      </w:r>
      <w:r w:rsidR="00C8565C">
        <w:rPr>
          <w:sz w:val="22"/>
          <w:szCs w:val="22"/>
        </w:rPr>
        <w:t xml:space="preserve">as </w:t>
      </w:r>
      <w:r w:rsidR="00F73C3B">
        <w:rPr>
          <w:sz w:val="22"/>
          <w:szCs w:val="22"/>
        </w:rPr>
        <w:t>required.</w:t>
      </w:r>
    </w:p>
    <w:p w14:paraId="5113CDF3" w14:textId="0899BE66" w:rsidR="006D520F" w:rsidRDefault="006D520F" w:rsidP="006D520F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Utilising effective research skills to verify data and research sources to confirm their fitness for purpose. </w:t>
      </w:r>
    </w:p>
    <w:p w14:paraId="5598B26A" w14:textId="330F353E" w:rsidR="003927AE" w:rsidRPr="007E77DC" w:rsidRDefault="003927AE" w:rsidP="007E77DC">
      <w:pPr>
        <w:tabs>
          <w:tab w:val="left" w:pos="2925"/>
        </w:tabs>
        <w:rPr>
          <w:rFonts w:ascii="Georgia" w:hAnsi="Georgia"/>
        </w:rPr>
      </w:pPr>
    </w:p>
    <w:p w14:paraId="5E017A21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6706E3F3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79B7223F" w14:textId="77777777" w:rsidR="003927AE" w:rsidRPr="00C978B9" w:rsidRDefault="003927AE" w:rsidP="006657CF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01A9B810" w14:textId="77777777" w:rsidR="003927AE" w:rsidRPr="00C978B9" w:rsidRDefault="003927AE" w:rsidP="006657CF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5477CA2A" w14:textId="77777777" w:rsidTr="00E55704">
        <w:tc>
          <w:tcPr>
            <w:tcW w:w="3601" w:type="dxa"/>
            <w:shd w:val="clear" w:color="auto" w:fill="BCBEC0"/>
          </w:tcPr>
          <w:p w14:paraId="0E63CC94" w14:textId="77777777" w:rsidR="003927AE" w:rsidRPr="00A8245E" w:rsidRDefault="003927AE" w:rsidP="006657CF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25AC0CE7" w14:textId="77777777" w:rsidR="003927AE" w:rsidRPr="00A8245E" w:rsidRDefault="003927AE" w:rsidP="006657CF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14B1D470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12939BB5" w14:textId="1EA67C6B" w:rsidR="003927AE" w:rsidRPr="00A15CDB" w:rsidRDefault="0022064D" w:rsidP="006657CF">
            <w:pPr>
              <w:pStyle w:val="TableText"/>
            </w:pPr>
            <w:r>
              <w:t>Director - Compliance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43C91830" w14:textId="30122F5E" w:rsidR="003927AE" w:rsidRPr="00A15CDB" w:rsidRDefault="006E0A4E" w:rsidP="003927AE">
            <w:pPr>
              <w:pStyle w:val="TableText"/>
              <w:numPr>
                <w:ilvl w:val="0"/>
                <w:numId w:val="3"/>
              </w:numPr>
            </w:pPr>
            <w:r>
              <w:t>To report progress on assigned tasks, to seek feedback and advice, and to escalate issues as required</w:t>
            </w:r>
          </w:p>
        </w:tc>
      </w:tr>
      <w:tr w:rsidR="003927AE" w:rsidRPr="00C978B9" w14:paraId="58FE426B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52F8EDA" w14:textId="64E10816" w:rsidR="003927AE" w:rsidRPr="00A15CDB" w:rsidRDefault="0022064D" w:rsidP="006657CF">
            <w:pPr>
              <w:pStyle w:val="TableText"/>
            </w:pPr>
            <w:r>
              <w:t>Manager – State Compliance Unit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C880396" w14:textId="44AFFCC5" w:rsidR="003927AE" w:rsidRPr="00A15CDB" w:rsidRDefault="006E0A4E" w:rsidP="003927AE">
            <w:pPr>
              <w:pStyle w:val="TableText"/>
              <w:numPr>
                <w:ilvl w:val="0"/>
                <w:numId w:val="3"/>
              </w:numPr>
            </w:pPr>
            <w:r>
              <w:t>To report progress on assigned tasks, to seek feedback and advice, and to escalate issues as required</w:t>
            </w:r>
          </w:p>
        </w:tc>
      </w:tr>
      <w:tr w:rsidR="00D010C4" w:rsidRPr="00A8245E" w14:paraId="414BAD8D" w14:textId="77777777" w:rsidTr="00E55704">
        <w:tc>
          <w:tcPr>
            <w:tcW w:w="3601" w:type="dxa"/>
            <w:shd w:val="clear" w:color="auto" w:fill="BCBEC0"/>
          </w:tcPr>
          <w:p w14:paraId="2D46F42A" w14:textId="77777777" w:rsidR="00D010C4" w:rsidRPr="00A8245E" w:rsidRDefault="00D010C4" w:rsidP="00D010C4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1611BB50" w14:textId="77777777" w:rsidR="00D010C4" w:rsidRPr="00A8245E" w:rsidRDefault="00D010C4" w:rsidP="00D010C4">
            <w:pPr>
              <w:pStyle w:val="TableText"/>
              <w:keepNext/>
              <w:rPr>
                <w:b/>
              </w:rPr>
            </w:pPr>
          </w:p>
        </w:tc>
      </w:tr>
      <w:tr w:rsidR="00D010C4" w:rsidRPr="00C978B9" w14:paraId="10C7BF37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F4DCAA0" w14:textId="17103886" w:rsidR="00D010C4" w:rsidRPr="00A15CDB" w:rsidRDefault="004E7427" w:rsidP="00D010C4">
            <w:pPr>
              <w:pStyle w:val="TableText"/>
            </w:pPr>
            <w:r>
              <w:t>Other government agencies in a range of juri</w:t>
            </w:r>
            <w:r w:rsidR="00C30FB6">
              <w:t>sdictions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1"/>
              <w:gridCol w:w="5191"/>
            </w:tblGrid>
            <w:tr w:rsidR="00C30FB6" w:rsidRPr="00C30FB6" w14:paraId="1E9006ED" w14:textId="77777777">
              <w:trPr>
                <w:trHeight w:val="94"/>
              </w:trPr>
              <w:tc>
                <w:tcPr>
                  <w:tcW w:w="10382" w:type="dxa"/>
                  <w:gridSpan w:val="2"/>
                </w:tcPr>
                <w:p w14:paraId="595EBDA0" w14:textId="77777777" w:rsidR="00C30FB6" w:rsidRPr="00C30FB6" w:rsidRDefault="00C30FB6" w:rsidP="00C30F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4"/>
                      <w:szCs w:val="24"/>
                      <w:lang w:val="en-AU"/>
                    </w:rPr>
                  </w:pPr>
                </w:p>
                <w:p w14:paraId="10F4E8B4" w14:textId="212A5998" w:rsidR="00C30FB6" w:rsidRPr="00473363" w:rsidRDefault="00C30FB6" w:rsidP="004733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="Arial"/>
                      <w:color w:val="000000"/>
                      <w:sz w:val="24"/>
                      <w:szCs w:val="24"/>
                      <w:lang w:val="en-AU"/>
                    </w:rPr>
                  </w:pPr>
                  <w:r w:rsidRPr="00FD501D">
                    <w:rPr>
                      <w:rFonts w:cs="Arial"/>
                      <w:color w:val="000000"/>
                      <w:sz w:val="20"/>
                      <w:szCs w:val="20"/>
                      <w:lang w:val="en-AU"/>
                    </w:rPr>
                    <w:t xml:space="preserve">To provide and obtain information and advice. </w:t>
                  </w:r>
                </w:p>
              </w:tc>
            </w:tr>
            <w:tr w:rsidR="00C30FB6" w:rsidRPr="00C30FB6" w14:paraId="55A08ADA" w14:textId="77777777" w:rsidTr="00473363">
              <w:trPr>
                <w:trHeight w:val="70"/>
              </w:trPr>
              <w:tc>
                <w:tcPr>
                  <w:tcW w:w="5191" w:type="dxa"/>
                </w:tcPr>
                <w:p w14:paraId="16667B28" w14:textId="518C922F" w:rsidR="00C30FB6" w:rsidRPr="00C30FB6" w:rsidRDefault="00C30FB6" w:rsidP="00C30F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5191" w:type="dxa"/>
                </w:tcPr>
                <w:p w14:paraId="3C1BF4CE" w14:textId="49A64139" w:rsidR="00C30FB6" w:rsidRPr="00C30FB6" w:rsidRDefault="00C30FB6" w:rsidP="00FD50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val="en-AU"/>
                    </w:rPr>
                  </w:pPr>
                  <w:r w:rsidRPr="00C30FB6">
                    <w:rPr>
                      <w:rFonts w:cs="Arial"/>
                      <w:color w:val="000000"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14:paraId="178B49F2" w14:textId="77777777" w:rsidR="00C30FB6" w:rsidRPr="00C30FB6" w:rsidRDefault="00C30FB6" w:rsidP="00C30F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14:paraId="36630BC8" w14:textId="6DCB83E6" w:rsidR="00D010C4" w:rsidRPr="00A15CDB" w:rsidRDefault="00D010C4" w:rsidP="00FD501D">
            <w:pPr>
              <w:pStyle w:val="TableText"/>
            </w:pPr>
          </w:p>
        </w:tc>
      </w:tr>
      <w:tr w:rsidR="00D010C4" w:rsidRPr="00C978B9" w14:paraId="40B0199B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9FF665D" w14:textId="00444730" w:rsidR="00D010C4" w:rsidRPr="00A15CDB" w:rsidRDefault="00FD501D" w:rsidP="00D010C4">
            <w:pPr>
              <w:pStyle w:val="TableText"/>
            </w:pPr>
            <w:r w:rsidRPr="00C30FB6">
              <w:rPr>
                <w:rFonts w:cs="Arial"/>
                <w:color w:val="000000"/>
              </w:rPr>
              <w:t>Industry associations, service providers, private enterprises, academic institutions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1B1D31BF" w14:textId="77777777" w:rsidR="00EE5AD4" w:rsidRDefault="00EE5AD4" w:rsidP="00EE5AD4">
            <w:pPr>
              <w:pStyle w:val="Default"/>
              <w:rPr>
                <w:color w:val="auto"/>
              </w:rPr>
            </w:pPr>
          </w:p>
          <w:p w14:paraId="4A0A1B84" w14:textId="77777777" w:rsidR="00EE5AD4" w:rsidRDefault="00EE5AD4" w:rsidP="00EE5AD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liaise on a range of external information sources for research and analysis purposes </w:t>
            </w:r>
          </w:p>
          <w:p w14:paraId="3606DF45" w14:textId="59524C41" w:rsidR="00D010C4" w:rsidRPr="00A15CDB" w:rsidRDefault="00D010C4" w:rsidP="00EE5AD4">
            <w:pPr>
              <w:pStyle w:val="TableText"/>
              <w:ind w:left="720"/>
            </w:pPr>
          </w:p>
        </w:tc>
      </w:tr>
    </w:tbl>
    <w:p w14:paraId="1214A6A1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3D4923C3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2D982E2E" w14:textId="77777777" w:rsidR="006E0A4E" w:rsidRPr="00473363" w:rsidRDefault="006E0A4E" w:rsidP="006E0A4E">
      <w:pPr>
        <w:spacing w:after="0" w:line="240" w:lineRule="auto"/>
        <w:rPr>
          <w:rFonts w:cs="Arial"/>
          <w:sz w:val="20"/>
          <w:szCs w:val="20"/>
        </w:rPr>
      </w:pPr>
      <w:r w:rsidRPr="00473363">
        <w:rPr>
          <w:rFonts w:cs="Arial"/>
          <w:sz w:val="20"/>
          <w:szCs w:val="20"/>
        </w:rPr>
        <w:t>Decisions which are made by the role holder include:</w:t>
      </w:r>
    </w:p>
    <w:p w14:paraId="42306DF5" w14:textId="77777777" w:rsidR="006E0A4E" w:rsidRPr="00473363" w:rsidRDefault="006E0A4E" w:rsidP="006E0A4E">
      <w:pPr>
        <w:spacing w:after="0" w:line="240" w:lineRule="auto"/>
        <w:rPr>
          <w:rFonts w:cs="Arial"/>
          <w:sz w:val="20"/>
          <w:szCs w:val="20"/>
        </w:rPr>
      </w:pPr>
    </w:p>
    <w:p w14:paraId="56F72246" w14:textId="77777777" w:rsidR="006E0A4E" w:rsidRPr="00473363" w:rsidRDefault="006E0A4E" w:rsidP="006E0A4E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 w:cs="Arial"/>
          <w:sz w:val="20"/>
          <w:szCs w:val="20"/>
        </w:rPr>
      </w:pPr>
      <w:r w:rsidRPr="00473363">
        <w:rPr>
          <w:rFonts w:eastAsia="Times New Roman" w:cs="Arial"/>
          <w:sz w:val="20"/>
          <w:szCs w:val="20"/>
        </w:rPr>
        <w:t xml:space="preserve">Independently plans, sets </w:t>
      </w:r>
      <w:proofErr w:type="gramStart"/>
      <w:r w:rsidRPr="00473363">
        <w:rPr>
          <w:rFonts w:eastAsia="Times New Roman" w:cs="Arial"/>
          <w:sz w:val="20"/>
          <w:szCs w:val="20"/>
        </w:rPr>
        <w:t>priorities</w:t>
      </w:r>
      <w:proofErr w:type="gramEnd"/>
      <w:r w:rsidRPr="00473363">
        <w:rPr>
          <w:rFonts w:eastAsia="Times New Roman" w:cs="Arial"/>
          <w:sz w:val="20"/>
          <w:szCs w:val="20"/>
        </w:rPr>
        <w:t xml:space="preserve"> and manages day to day workload within agreed work and project plans.</w:t>
      </w:r>
    </w:p>
    <w:p w14:paraId="61EAC233" w14:textId="77777777" w:rsidR="006E0A4E" w:rsidRPr="00473363" w:rsidRDefault="006E0A4E" w:rsidP="006E0A4E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 w:cs="Arial"/>
          <w:sz w:val="20"/>
          <w:szCs w:val="20"/>
        </w:rPr>
      </w:pPr>
      <w:r w:rsidRPr="00473363">
        <w:rPr>
          <w:rFonts w:eastAsia="Times New Roman" w:cs="Arial"/>
          <w:sz w:val="20"/>
          <w:szCs w:val="20"/>
        </w:rPr>
        <w:t xml:space="preserve">In consultation with senior staff in </w:t>
      </w:r>
      <w:r w:rsidRPr="00473363">
        <w:rPr>
          <w:rFonts w:eastAsia="Times New Roman"/>
          <w:sz w:val="20"/>
          <w:szCs w:val="20"/>
        </w:rPr>
        <w:t>Data &amp; Statistical Analysis</w:t>
      </w:r>
      <w:r w:rsidRPr="00473363">
        <w:rPr>
          <w:rFonts w:eastAsia="Times New Roman" w:cs="Arial"/>
          <w:sz w:val="20"/>
          <w:szCs w:val="20"/>
        </w:rPr>
        <w:t xml:space="preserve">, provides content for advice and information in response to questions and correspondence, briefs, </w:t>
      </w:r>
      <w:proofErr w:type="gramStart"/>
      <w:r w:rsidRPr="00473363">
        <w:rPr>
          <w:rFonts w:eastAsia="Times New Roman" w:cs="Arial"/>
          <w:sz w:val="20"/>
          <w:szCs w:val="20"/>
        </w:rPr>
        <w:t>submissions</w:t>
      </w:r>
      <w:proofErr w:type="gramEnd"/>
      <w:r w:rsidRPr="00473363">
        <w:rPr>
          <w:rFonts w:eastAsia="Times New Roman" w:cs="Arial"/>
          <w:sz w:val="20"/>
          <w:szCs w:val="20"/>
        </w:rPr>
        <w:t xml:space="preserve"> and reports.</w:t>
      </w:r>
    </w:p>
    <w:p w14:paraId="06291884" w14:textId="3544D2EB" w:rsidR="006E0A4E" w:rsidRDefault="006E0A4E" w:rsidP="006E0A4E">
      <w:pPr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1394"/>
          <w:tab w:val="left" w:pos="2160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en-AU"/>
        </w:rPr>
      </w:pPr>
      <w:r w:rsidRPr="00473363">
        <w:rPr>
          <w:rFonts w:eastAsia="Times New Roman" w:cs="Arial"/>
          <w:sz w:val="20"/>
          <w:szCs w:val="20"/>
        </w:rPr>
        <w:t>Sets priorities within prescribed deadlines, in</w:t>
      </w:r>
      <w:r w:rsidRPr="00473363">
        <w:rPr>
          <w:rFonts w:eastAsia="Times New Roman"/>
          <w:sz w:val="20"/>
          <w:szCs w:val="20"/>
          <w:lang w:eastAsia="en-AU"/>
        </w:rPr>
        <w:t xml:space="preserve"> consultation with the project leader when working on specific projects.</w:t>
      </w:r>
    </w:p>
    <w:p w14:paraId="2C5C4EA0" w14:textId="77777777" w:rsidR="00473363" w:rsidRPr="00473363" w:rsidRDefault="00473363" w:rsidP="00473363">
      <w:pPr>
        <w:tabs>
          <w:tab w:val="left" w:pos="-1440"/>
          <w:tab w:val="left" w:pos="-720"/>
          <w:tab w:val="left" w:pos="0"/>
          <w:tab w:val="left" w:pos="1394"/>
          <w:tab w:val="left" w:pos="2160"/>
        </w:tabs>
        <w:spacing w:after="0" w:line="240" w:lineRule="auto"/>
        <w:ind w:left="720"/>
        <w:contextualSpacing/>
        <w:jc w:val="both"/>
        <w:rPr>
          <w:rFonts w:eastAsia="Times New Roman"/>
          <w:sz w:val="20"/>
          <w:szCs w:val="20"/>
          <w:lang w:eastAsia="en-AU"/>
        </w:rPr>
      </w:pPr>
    </w:p>
    <w:p w14:paraId="6957D0E6" w14:textId="77777777" w:rsidR="00473363" w:rsidRPr="00473363" w:rsidRDefault="006E0A4E" w:rsidP="003927AE">
      <w:pPr>
        <w:pStyle w:val="Heading2"/>
        <w:rPr>
          <w:rFonts w:eastAsiaTheme="minorEastAsia"/>
          <w:b w:val="0"/>
          <w:bCs w:val="0"/>
          <w:iCs w:val="0"/>
          <w:color w:val="auto"/>
          <w:sz w:val="20"/>
          <w:szCs w:val="20"/>
          <w:lang w:val="en-US"/>
        </w:rPr>
      </w:pPr>
      <w:r w:rsidRPr="00473363">
        <w:rPr>
          <w:rFonts w:eastAsiaTheme="minorEastAsia"/>
          <w:b w:val="0"/>
          <w:bCs w:val="0"/>
          <w:iCs w:val="0"/>
          <w:color w:val="auto"/>
          <w:sz w:val="20"/>
          <w:szCs w:val="20"/>
          <w:lang w:val="en-US"/>
        </w:rPr>
        <w:t>Decisions which are referred to a supervisor include any changes to project outcomes or timeframes, issues with the potential to escalate or create precedent, matters requiring a higher administrative or financial delegation or submission to a higher level of management</w:t>
      </w:r>
    </w:p>
    <w:p w14:paraId="3EA630E7" w14:textId="77777777" w:rsidR="00473363" w:rsidRDefault="00473363" w:rsidP="003927AE">
      <w:pPr>
        <w:pStyle w:val="Heading2"/>
        <w:rPr>
          <w:sz w:val="20"/>
          <w:szCs w:val="20"/>
        </w:rPr>
      </w:pPr>
    </w:p>
    <w:p w14:paraId="7336802E" w14:textId="68F5F433" w:rsidR="003927AE" w:rsidRPr="00473363" w:rsidRDefault="003927AE" w:rsidP="003927AE">
      <w:pPr>
        <w:pStyle w:val="Heading2"/>
        <w:rPr>
          <w:color w:val="auto"/>
        </w:rPr>
      </w:pPr>
      <w:r w:rsidRPr="00473363">
        <w:rPr>
          <w:color w:val="auto"/>
        </w:rPr>
        <w:t>Reporting line</w:t>
      </w:r>
    </w:p>
    <w:p w14:paraId="0CE0624B" w14:textId="6C410E03" w:rsidR="003927AE" w:rsidRDefault="0010608B" w:rsidP="003927AE">
      <w:r>
        <w:t>The role reports to the</w:t>
      </w:r>
      <w:r w:rsidR="00473363">
        <w:t xml:space="preserve"> Manager</w:t>
      </w:r>
    </w:p>
    <w:p w14:paraId="16C38AA5" w14:textId="77777777" w:rsidR="00473363" w:rsidRPr="00603D53" w:rsidRDefault="00473363" w:rsidP="003927AE">
      <w:pPr>
        <w:rPr>
          <w:rFonts w:cs="Arial"/>
          <w:szCs w:val="26"/>
        </w:rPr>
      </w:pPr>
    </w:p>
    <w:p w14:paraId="2E4613EA" w14:textId="77777777" w:rsidR="003927AE" w:rsidRDefault="003927AE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lastRenderedPageBreak/>
        <w:t>Key knowledge and experience</w:t>
      </w:r>
    </w:p>
    <w:p w14:paraId="5358064B" w14:textId="77777777" w:rsidR="003927AE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Essential requirements</w:t>
      </w:r>
    </w:p>
    <w:p w14:paraId="72F640A9" w14:textId="5CF14134" w:rsidR="003927AE" w:rsidRDefault="009B5BB8" w:rsidP="003927AE">
      <w:pPr>
        <w:rPr>
          <w:rFonts w:cs="Arial"/>
          <w:szCs w:val="26"/>
        </w:rPr>
      </w:pPr>
      <w:r>
        <w:t>Tertiary qualification in a related field, such as industrial relations, business,</w:t>
      </w:r>
      <w:r w:rsidR="003953AD">
        <w:t xml:space="preserve"> social science </w:t>
      </w:r>
      <w:r>
        <w:t xml:space="preserve">or other relevant field with a significant </w:t>
      </w:r>
      <w:r w:rsidR="003953AD">
        <w:t xml:space="preserve">qualitative research </w:t>
      </w:r>
      <w:r>
        <w:t>element or equivalent professional experience and training</w:t>
      </w:r>
    </w:p>
    <w:p w14:paraId="6C1B964B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7961A1AB" w14:textId="77777777" w:rsidR="003927AE" w:rsidRPr="00175AAF" w:rsidRDefault="003927AE" w:rsidP="003927AE">
      <w:r w:rsidRPr="00175AAF">
        <w:t xml:space="preserve">The </w:t>
      </w:r>
      <w:hyperlink r:id="rId10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31842903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362636BA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730E40DA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04DAEFBF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5E2C324D" w14:textId="2B21BE39" w:rsid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0" w:rightFromText="180" w:vertAnchor="text" w:horzAnchor="margin" w:tblpY="161"/>
        <w:tblW w:w="1077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989"/>
        <w:gridCol w:w="4819"/>
        <w:gridCol w:w="1559"/>
      </w:tblGrid>
      <w:tr w:rsidR="00F76AF5" w:rsidRPr="00803E47" w14:paraId="5888955D" w14:textId="77777777" w:rsidTr="00B30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73" w:type="dxa"/>
            <w:gridSpan w:val="4"/>
          </w:tcPr>
          <w:p w14:paraId="4334B821" w14:textId="77777777" w:rsidR="00F76AF5" w:rsidRPr="00803E47" w:rsidRDefault="00F76AF5" w:rsidP="00B30DBC">
            <w:pPr>
              <w:pStyle w:val="TableTextWhite0"/>
              <w:keepNext/>
              <w:ind w:right="142"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F76AF5" w:rsidRPr="00C978B9" w14:paraId="452DBF33" w14:textId="77777777" w:rsidTr="00B30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0AD706A7" w14:textId="77777777" w:rsidR="00F76AF5" w:rsidRPr="00C978B9" w:rsidRDefault="00F76AF5" w:rsidP="00B30DBC">
            <w:pPr>
              <w:pStyle w:val="TableText"/>
              <w:keepNext/>
              <w:ind w:right="142"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989" w:type="dxa"/>
            <w:tcBorders>
              <w:bottom w:val="single" w:sz="12" w:space="0" w:color="auto"/>
            </w:tcBorders>
            <w:shd w:val="clear" w:color="auto" w:fill="BCBEC0"/>
          </w:tcPr>
          <w:p w14:paraId="7626DD6D" w14:textId="77777777" w:rsidR="00F76AF5" w:rsidRPr="00C978B9" w:rsidRDefault="00F76AF5" w:rsidP="00B30DBC">
            <w:pPr>
              <w:pStyle w:val="TableText"/>
              <w:keepNext/>
              <w:ind w:right="142"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BCBEC0"/>
          </w:tcPr>
          <w:p w14:paraId="4C09979B" w14:textId="77777777" w:rsidR="00F76AF5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CBEC0"/>
          </w:tcPr>
          <w:p w14:paraId="2709FCA3" w14:textId="77777777" w:rsidR="00F76AF5" w:rsidRDefault="00F76AF5" w:rsidP="00B30DBC">
            <w:pPr>
              <w:pStyle w:val="TableText"/>
              <w:keepNext/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F76AF5" w:rsidRPr="00C978B9" w14:paraId="79EE0306" w14:textId="77777777" w:rsidTr="00B30DBC">
        <w:tc>
          <w:tcPr>
            <w:tcW w:w="1406" w:type="dxa"/>
            <w:tcBorders>
              <w:bottom w:val="single" w:sz="4" w:space="0" w:color="BCBEC0"/>
            </w:tcBorders>
          </w:tcPr>
          <w:p w14:paraId="070CD408" w14:textId="77777777" w:rsidR="00F76AF5" w:rsidRPr="00C978B9" w:rsidRDefault="00F76AF5" w:rsidP="00B30DBC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D5DD7B3" wp14:editId="3428B18A">
                  <wp:extent cx="848995" cy="848995"/>
                  <wp:effectExtent l="0" t="0" r="8255" b="8255"/>
                  <wp:docPr id="11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122EFBD8" w14:textId="77777777" w:rsidR="00F76AF5" w:rsidRPr="00A8226F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2F804524" w14:textId="77777777" w:rsidR="00F76AF5" w:rsidRPr="00AA57E3" w:rsidRDefault="00F76AF5" w:rsidP="00B30DBC">
            <w:pPr>
              <w:pStyle w:val="TableText"/>
              <w:keepNext/>
              <w:ind w:right="142"/>
            </w:pPr>
            <w:r>
              <w:t>Be ethical and professional, and uphold and promote the public sector values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66E94E57" w14:textId="77777777" w:rsidR="00F76AF5" w:rsidRDefault="00F76AF5" w:rsidP="00B30DBC">
            <w:pPr>
              <w:pStyle w:val="TableBullet"/>
              <w:ind w:right="142"/>
            </w:pPr>
            <w:r>
              <w:t xml:space="preserve">Represent the organisation in an honest, </w:t>
            </w:r>
            <w:proofErr w:type="gramStart"/>
            <w:r>
              <w:t>ethical</w:t>
            </w:r>
            <w:proofErr w:type="gramEnd"/>
            <w:r>
              <w:t xml:space="preserve"> and professional way</w:t>
            </w:r>
          </w:p>
          <w:p w14:paraId="1F6F5EC3" w14:textId="77777777" w:rsidR="00F76AF5" w:rsidRDefault="00F76AF5" w:rsidP="00B30DBC">
            <w:pPr>
              <w:pStyle w:val="TableBullet"/>
              <w:ind w:right="142"/>
            </w:pPr>
            <w:r>
              <w:t>Support a culture of integrity and professionalism</w:t>
            </w:r>
          </w:p>
          <w:p w14:paraId="0E931BAF" w14:textId="77777777" w:rsidR="00F76AF5" w:rsidRDefault="00F76AF5" w:rsidP="00B30DBC">
            <w:pPr>
              <w:pStyle w:val="TableBullet"/>
              <w:ind w:right="142"/>
            </w:pPr>
            <w:r>
              <w:t xml:space="preserve">Understand and help others to recognise their obligations to comply with legislation, policies, </w:t>
            </w:r>
            <w:proofErr w:type="gramStart"/>
            <w:r>
              <w:t>guidelines</w:t>
            </w:r>
            <w:proofErr w:type="gramEnd"/>
            <w:r>
              <w:t xml:space="preserve"> and codes of conduct</w:t>
            </w:r>
          </w:p>
          <w:p w14:paraId="3C99CEEF" w14:textId="77777777" w:rsidR="00F76AF5" w:rsidRDefault="00F76AF5" w:rsidP="00B30DBC">
            <w:pPr>
              <w:pStyle w:val="TableBullet"/>
              <w:ind w:right="142"/>
            </w:pPr>
            <w:r>
              <w:t>Recognise and report misconduct and illegal and inappropriate behaviour</w:t>
            </w:r>
          </w:p>
          <w:p w14:paraId="73A46FCD" w14:textId="77777777" w:rsidR="00F76AF5" w:rsidRPr="00AA57E3" w:rsidRDefault="00F76AF5" w:rsidP="00B30DBC">
            <w:pPr>
              <w:pStyle w:val="TableBullet"/>
              <w:numPr>
                <w:ilvl w:val="0"/>
                <w:numId w:val="0"/>
              </w:numPr>
              <w:ind w:left="360" w:right="142"/>
            </w:pPr>
            <w:r>
              <w:t>Report and manage apparent conflicts of interest and encourage others to do so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06620888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Intermediate</w:t>
            </w:r>
          </w:p>
        </w:tc>
      </w:tr>
      <w:tr w:rsidR="00F76AF5" w:rsidRPr="00C978B9" w14:paraId="53ECC153" w14:textId="77777777" w:rsidTr="00B30DBC">
        <w:trPr>
          <w:trHeight w:val="408"/>
        </w:trPr>
        <w:tc>
          <w:tcPr>
            <w:tcW w:w="1406" w:type="dxa"/>
            <w:tcBorders>
              <w:bottom w:val="single" w:sz="8" w:space="0" w:color="BCBEC0"/>
            </w:tcBorders>
          </w:tcPr>
          <w:p w14:paraId="3AF6F12B" w14:textId="77777777" w:rsidR="00F76AF5" w:rsidRPr="00C978B9" w:rsidRDefault="00F76AF5" w:rsidP="00B30DBC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82FC7DD" wp14:editId="7C131CC2">
                  <wp:extent cx="854016" cy="854016"/>
                  <wp:effectExtent l="0" t="0" r="3810" b="3810"/>
                  <wp:docPr id="13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2E8EDF5B" w14:textId="77777777" w:rsidR="00F76AF5" w:rsidRPr="00A8226F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3A1B6CA4" w14:textId="77777777" w:rsidR="00F76AF5" w:rsidRPr="00AA57E3" w:rsidRDefault="00F76AF5" w:rsidP="00B30DBC">
            <w:pPr>
              <w:pStyle w:val="TableText"/>
              <w:keepNext/>
              <w:ind w:right="142"/>
            </w:pPr>
            <w:r>
              <w:t>Provide customer-focused services in line with public sector and organisational objectives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4923AD77" w14:textId="77777777" w:rsidR="00F76AF5" w:rsidRDefault="00F76AF5" w:rsidP="00B30DBC">
            <w:pPr>
              <w:pStyle w:val="TableBullet"/>
              <w:ind w:right="142"/>
            </w:pPr>
            <w:r>
              <w:t>Focus on providing a positive customer experience</w:t>
            </w:r>
          </w:p>
          <w:p w14:paraId="78C2788E" w14:textId="77777777" w:rsidR="00F76AF5" w:rsidRDefault="00F76AF5" w:rsidP="00B30DBC">
            <w:pPr>
              <w:pStyle w:val="TableBullet"/>
              <w:ind w:right="142"/>
            </w:pPr>
            <w:r>
              <w:t>Support a customer-focused culture in the organisation</w:t>
            </w:r>
          </w:p>
          <w:p w14:paraId="5797E6FB" w14:textId="77777777" w:rsidR="00F76AF5" w:rsidRDefault="00F76AF5" w:rsidP="00B30DBC">
            <w:pPr>
              <w:pStyle w:val="TableBullet"/>
              <w:ind w:right="142"/>
            </w:pPr>
            <w:r>
              <w:t>Demonstrate a thorough knowledge of the services provided and relay this knowledge to customers</w:t>
            </w:r>
          </w:p>
          <w:p w14:paraId="79850DB6" w14:textId="77777777" w:rsidR="00F76AF5" w:rsidRDefault="00F76AF5" w:rsidP="00B30DBC">
            <w:pPr>
              <w:pStyle w:val="TableBullet"/>
              <w:ind w:right="142"/>
            </w:pPr>
            <w:r>
              <w:t>Identify and respond quickly to customer needs</w:t>
            </w:r>
          </w:p>
          <w:p w14:paraId="006BF9DB" w14:textId="77777777" w:rsidR="00F76AF5" w:rsidRDefault="00F76AF5" w:rsidP="00B30DBC">
            <w:pPr>
              <w:pStyle w:val="TableBullet"/>
              <w:ind w:right="142"/>
            </w:pPr>
            <w:r>
              <w:t>Consider customer service requirements and develop solutions to meet needs</w:t>
            </w:r>
          </w:p>
          <w:p w14:paraId="495CE80D" w14:textId="77777777" w:rsidR="00F76AF5" w:rsidRDefault="00F76AF5" w:rsidP="00B30DBC">
            <w:pPr>
              <w:pStyle w:val="TableBullet"/>
              <w:ind w:right="142"/>
            </w:pPr>
            <w:r>
              <w:t>Resolve complex customer issues and needs</w:t>
            </w:r>
          </w:p>
          <w:p w14:paraId="0C3F1BFC" w14:textId="77777777" w:rsidR="00F76AF5" w:rsidRPr="00AA57E3" w:rsidRDefault="00F76AF5" w:rsidP="00B30DBC">
            <w:pPr>
              <w:pStyle w:val="TableBullet"/>
              <w:numPr>
                <w:ilvl w:val="0"/>
                <w:numId w:val="0"/>
              </w:numPr>
              <w:ind w:left="360" w:right="142"/>
            </w:pPr>
            <w:r>
              <w:lastRenderedPageBreak/>
              <w:t>Cooperate across work areas to improve outcomes for customers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6C2148A5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lastRenderedPageBreak/>
              <w:t>Intermediate</w:t>
            </w:r>
          </w:p>
        </w:tc>
      </w:tr>
      <w:tr w:rsidR="00F76AF5" w:rsidRPr="00C978B9" w14:paraId="24356964" w14:textId="77777777" w:rsidTr="00B30DBC">
        <w:tc>
          <w:tcPr>
            <w:tcW w:w="1406" w:type="dxa"/>
            <w:vMerge w:val="restart"/>
            <w:tcBorders>
              <w:top w:val="single" w:sz="8" w:space="0" w:color="BCBEC0"/>
              <w:bottom w:val="single" w:sz="4" w:space="0" w:color="BCBEC0"/>
            </w:tcBorders>
          </w:tcPr>
          <w:p w14:paraId="3CC16FD5" w14:textId="77777777" w:rsidR="00F76AF5" w:rsidRPr="00C978B9" w:rsidRDefault="00F76AF5" w:rsidP="00B30DBC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4433684" wp14:editId="218F1922">
                  <wp:extent cx="854015" cy="854015"/>
                  <wp:effectExtent l="0" t="0" r="3810" b="3810"/>
                  <wp:docPr id="1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63EC20AF" w14:textId="77777777" w:rsidR="00F76AF5" w:rsidRPr="00A8226F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74AEBF66" w14:textId="77777777" w:rsidR="00F76AF5" w:rsidRPr="00AA57E3" w:rsidRDefault="00F76AF5" w:rsidP="00B30DBC">
            <w:pPr>
              <w:pStyle w:val="TableText"/>
              <w:keepNext/>
              <w:ind w:right="142"/>
            </w:pPr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6EF1A67C" w14:textId="77777777" w:rsidR="00F76AF5" w:rsidRDefault="00F76AF5" w:rsidP="00B30DBC">
            <w:pPr>
              <w:pStyle w:val="TableBullet"/>
              <w:ind w:right="142"/>
            </w:pPr>
            <w:r>
              <w:t>Research and apply critical-thinking techniques in analysing information, identify interrelationships and make recommendations based on relevant evidence</w:t>
            </w:r>
          </w:p>
          <w:p w14:paraId="478CDBC2" w14:textId="77777777" w:rsidR="00F76AF5" w:rsidRDefault="00F76AF5" w:rsidP="00B30DBC">
            <w:pPr>
              <w:pStyle w:val="TableBullet"/>
              <w:ind w:right="142"/>
            </w:pPr>
            <w:r>
              <w:t xml:space="preserve">Anticipate, </w:t>
            </w:r>
            <w:proofErr w:type="gramStart"/>
            <w:r>
              <w:t>identify</w:t>
            </w:r>
            <w:proofErr w:type="gramEnd"/>
            <w:r>
              <w:t xml:space="preserve"> and address issues and potential problems that may have an impact on organisational objectives and the user experience </w:t>
            </w:r>
          </w:p>
          <w:p w14:paraId="01D76CEF" w14:textId="77777777" w:rsidR="00F76AF5" w:rsidRDefault="00F76AF5" w:rsidP="00B30DBC">
            <w:pPr>
              <w:pStyle w:val="TableBullet"/>
              <w:ind w:right="142"/>
            </w:pPr>
            <w:r>
              <w:t xml:space="preserve">Apply creative-thinking techniques to generate new ideas and options to address issues and improve the user experience </w:t>
            </w:r>
          </w:p>
          <w:p w14:paraId="407ABCEE" w14:textId="77777777" w:rsidR="00F76AF5" w:rsidRDefault="00F76AF5" w:rsidP="00B30DBC">
            <w:pPr>
              <w:pStyle w:val="TableBullet"/>
              <w:ind w:right="142"/>
            </w:pPr>
            <w:r>
              <w:t>Seek contributions and ideas from people with diverse backgrounds and experience</w:t>
            </w:r>
          </w:p>
          <w:p w14:paraId="3FAEC178" w14:textId="77777777" w:rsidR="00F76AF5" w:rsidRDefault="00F76AF5" w:rsidP="00B30DBC">
            <w:pPr>
              <w:pStyle w:val="TableBullet"/>
              <w:ind w:right="142"/>
            </w:pPr>
            <w:r>
              <w:t>Participate in and contribute to team or unit initiatives to resolve common issues or barriers to effectiveness</w:t>
            </w:r>
          </w:p>
          <w:p w14:paraId="2E40DC41" w14:textId="77777777" w:rsidR="00F76AF5" w:rsidRPr="00AA57E3" w:rsidRDefault="00F76AF5" w:rsidP="00B30DBC">
            <w:pPr>
              <w:pStyle w:val="TableBullet"/>
              <w:numPr>
                <w:ilvl w:val="0"/>
                <w:numId w:val="0"/>
              </w:numPr>
              <w:ind w:left="360" w:right="142"/>
            </w:pPr>
            <w:r>
              <w:t>Identify and share business process improvements to enhance effectiveness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094E8448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Adept</w:t>
            </w:r>
          </w:p>
        </w:tc>
      </w:tr>
      <w:tr w:rsidR="00F76AF5" w:rsidRPr="00C978B9" w14:paraId="5F8B6D9B" w14:textId="77777777" w:rsidTr="00B30DBC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018F3C0" w14:textId="77777777" w:rsidR="00F76AF5" w:rsidRPr="00C978B9" w:rsidRDefault="00F76AF5" w:rsidP="00B30DBC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484BDF19" w14:textId="77777777" w:rsidR="00F76AF5" w:rsidRPr="00A8226F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Demonstrate Accountability</w:t>
            </w:r>
          </w:p>
          <w:p w14:paraId="21BA8D76" w14:textId="77777777" w:rsidR="00F76AF5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0CD1B75F" w14:textId="77777777" w:rsidR="00F76AF5" w:rsidRDefault="00F76AF5" w:rsidP="00B30DBC">
            <w:pPr>
              <w:pStyle w:val="TableBullet"/>
              <w:ind w:right="142"/>
            </w:pPr>
            <w:r>
              <w:t>Be proactive in taking responsibility and being accountable for own actions</w:t>
            </w:r>
          </w:p>
          <w:p w14:paraId="64746045" w14:textId="77777777" w:rsidR="00F76AF5" w:rsidRDefault="00F76AF5" w:rsidP="00B30DBC">
            <w:pPr>
              <w:pStyle w:val="TableBullet"/>
              <w:ind w:right="142"/>
            </w:pPr>
            <w:r>
              <w:t>Understand delegations and act within authority levels</w:t>
            </w:r>
          </w:p>
          <w:p w14:paraId="5F9E3013" w14:textId="77777777" w:rsidR="00F76AF5" w:rsidRDefault="00F76AF5" w:rsidP="00B30DBC">
            <w:pPr>
              <w:pStyle w:val="TableBullet"/>
              <w:ind w:right="142"/>
            </w:pPr>
            <w:r>
              <w:t>Identify and follow safe work practices, and be vigilant about own and others’ application of these practices</w:t>
            </w:r>
          </w:p>
          <w:p w14:paraId="52A73027" w14:textId="77777777" w:rsidR="00F76AF5" w:rsidRDefault="00F76AF5" w:rsidP="00B30DBC">
            <w:pPr>
              <w:pStyle w:val="TableBullet"/>
              <w:ind w:right="142"/>
            </w:pPr>
            <w:r>
              <w:t>Be aware of risks and act on or escalate risks, as appropriate</w:t>
            </w:r>
          </w:p>
          <w:p w14:paraId="72EF2D8B" w14:textId="77777777" w:rsidR="00F76AF5" w:rsidRDefault="00F76AF5" w:rsidP="00B30DBC">
            <w:pPr>
              <w:pStyle w:val="TableBullet"/>
              <w:ind w:right="142"/>
            </w:pPr>
            <w:r>
              <w:t>Use financial and other resources responsibly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5CB3247B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Intermediate</w:t>
            </w:r>
          </w:p>
        </w:tc>
      </w:tr>
      <w:tr w:rsidR="00F76AF5" w:rsidRPr="00C978B9" w14:paraId="0E0CBAFC" w14:textId="77777777" w:rsidTr="00B30DBC">
        <w:tc>
          <w:tcPr>
            <w:tcW w:w="1406" w:type="dxa"/>
            <w:vMerge w:val="restart"/>
          </w:tcPr>
          <w:p w14:paraId="02F8B4DF" w14:textId="77777777" w:rsidR="00F76AF5" w:rsidRPr="00C978B9" w:rsidRDefault="00F76AF5" w:rsidP="00B30DBC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9C3E327" wp14:editId="3AEE12AE">
                  <wp:extent cx="845388" cy="845388"/>
                  <wp:effectExtent l="0" t="0" r="0" b="0"/>
                  <wp:docPr id="1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1A3F6F29" w14:textId="77777777" w:rsidR="00F76AF5" w:rsidRPr="00A8226F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Technology</w:t>
            </w:r>
          </w:p>
          <w:p w14:paraId="0E982874" w14:textId="77777777" w:rsidR="00F76AF5" w:rsidRPr="00AA57E3" w:rsidRDefault="00F76AF5" w:rsidP="00B30DBC">
            <w:pPr>
              <w:pStyle w:val="TableText"/>
              <w:keepNext/>
              <w:ind w:right="142"/>
            </w:pPr>
            <w:r>
              <w:t>Understand and use available technologies to maximise efficiencies and effectiveness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7E54A93A" w14:textId="77777777" w:rsidR="00F76AF5" w:rsidRDefault="00F76AF5" w:rsidP="00B30DBC">
            <w:pPr>
              <w:pStyle w:val="TableBullet"/>
              <w:ind w:right="142"/>
            </w:pPr>
            <w:r>
              <w:t>Demonstrate a sound understanding of technology relevant to the work unit, and identify and select the most appropriate technology for assigned tasks</w:t>
            </w:r>
          </w:p>
          <w:p w14:paraId="10ED1407" w14:textId="77777777" w:rsidR="00F76AF5" w:rsidRDefault="00F76AF5" w:rsidP="00B30DBC">
            <w:pPr>
              <w:pStyle w:val="TableBullet"/>
              <w:ind w:right="142"/>
            </w:pPr>
            <w:r>
              <w:t>Use available technology to improve individual performance and effectiveness</w:t>
            </w:r>
          </w:p>
          <w:p w14:paraId="7226110E" w14:textId="77777777" w:rsidR="00F76AF5" w:rsidRDefault="00F76AF5" w:rsidP="00B30DBC">
            <w:pPr>
              <w:pStyle w:val="TableBullet"/>
              <w:ind w:right="142"/>
            </w:pPr>
            <w:r>
              <w:t>Make effective use of records, information and knowledge management functions and systems</w:t>
            </w:r>
          </w:p>
          <w:p w14:paraId="39692EFC" w14:textId="77777777" w:rsidR="00F76AF5" w:rsidRPr="00AA57E3" w:rsidRDefault="00F76AF5" w:rsidP="00B30DBC">
            <w:pPr>
              <w:pStyle w:val="TableBullet"/>
              <w:numPr>
                <w:ilvl w:val="0"/>
                <w:numId w:val="0"/>
              </w:numPr>
              <w:ind w:left="360" w:right="142"/>
            </w:pPr>
            <w:r>
              <w:t>Support the implementation of systems improvement initiatives, and the introduction and roll-out of new technologies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133C5EC7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Intermediate</w:t>
            </w:r>
          </w:p>
        </w:tc>
      </w:tr>
      <w:tr w:rsidR="00F76AF5" w:rsidRPr="00C978B9" w14:paraId="1F0EFF1E" w14:textId="77777777" w:rsidTr="00B30DBC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96DFBFD" w14:textId="77777777" w:rsidR="00F76AF5" w:rsidRPr="00C978B9" w:rsidRDefault="00F76AF5" w:rsidP="00B30DBC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tcBorders>
              <w:bottom w:val="single" w:sz="4" w:space="0" w:color="BCBEC0"/>
            </w:tcBorders>
          </w:tcPr>
          <w:p w14:paraId="2B68D35B" w14:textId="77777777" w:rsidR="00F76AF5" w:rsidRPr="00A8226F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6F81179B" w14:textId="77777777" w:rsidR="00F76AF5" w:rsidRDefault="00F76AF5" w:rsidP="00B30DBC">
            <w:pPr>
              <w:pStyle w:val="TableText"/>
              <w:keepNext/>
              <w:ind w:right="142"/>
              <w:rPr>
                <w:b/>
              </w:rPr>
            </w:pPr>
            <w:r>
              <w:t xml:space="preserve">Understand and apply effective planning, </w:t>
            </w:r>
            <w:proofErr w:type="gramStart"/>
            <w:r>
              <w:t>coordination</w:t>
            </w:r>
            <w:proofErr w:type="gramEnd"/>
            <w:r>
              <w:t xml:space="preserve"> and control methods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46739570" w14:textId="77777777" w:rsidR="00F76AF5" w:rsidRDefault="00F76AF5" w:rsidP="00B30DBC">
            <w:pPr>
              <w:pStyle w:val="TableBullet"/>
              <w:ind w:right="142"/>
            </w:pPr>
            <w:r>
              <w:t>Perform basic research and analysis to inform and support the achievement of project deliverables</w:t>
            </w:r>
          </w:p>
          <w:p w14:paraId="5B38B48A" w14:textId="77777777" w:rsidR="00F76AF5" w:rsidRDefault="00F76AF5" w:rsidP="00B30DBC">
            <w:pPr>
              <w:pStyle w:val="TableBullet"/>
              <w:ind w:right="142"/>
            </w:pPr>
            <w:r>
              <w:t>Contribute to developing project documentation and resource estimates</w:t>
            </w:r>
          </w:p>
          <w:p w14:paraId="2972FD95" w14:textId="77777777" w:rsidR="00F76AF5" w:rsidRDefault="00F76AF5" w:rsidP="00B30DBC">
            <w:pPr>
              <w:pStyle w:val="TableBullet"/>
              <w:ind w:right="142"/>
            </w:pPr>
            <w:r>
              <w:t xml:space="preserve">Contribute to reviews of progress, </w:t>
            </w:r>
            <w:proofErr w:type="gramStart"/>
            <w:r>
              <w:t>outcomes</w:t>
            </w:r>
            <w:proofErr w:type="gramEnd"/>
            <w:r>
              <w:t xml:space="preserve"> and future improvements</w:t>
            </w:r>
          </w:p>
          <w:p w14:paraId="3B7702BD" w14:textId="77777777" w:rsidR="00F76AF5" w:rsidRDefault="00F76AF5" w:rsidP="00B30DBC">
            <w:pPr>
              <w:pStyle w:val="TableBullet"/>
              <w:ind w:right="142"/>
            </w:pPr>
            <w:r>
              <w:t>Identify and escalate possible variances from project plans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5FB0DCAF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Intermediate</w:t>
            </w:r>
          </w:p>
        </w:tc>
      </w:tr>
    </w:tbl>
    <w:p w14:paraId="488B6826" w14:textId="77777777" w:rsidR="00F76AF5" w:rsidRPr="00F76AF5" w:rsidRDefault="00F76AF5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p w14:paraId="569B6700" w14:textId="77777777" w:rsidR="003927AE" w:rsidRDefault="003927AE" w:rsidP="003927AE">
      <w:pPr>
        <w:pStyle w:val="Heading1"/>
      </w:pPr>
      <w:r>
        <w:t>Complementary capabilities</w:t>
      </w:r>
    </w:p>
    <w:p w14:paraId="22CB5CF8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6EBA5422" w14:textId="0A17E754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521249D2" w14:textId="77777777" w:rsidR="00F76AF5" w:rsidRDefault="00F76AF5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7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349"/>
        <w:gridCol w:w="2881"/>
        <w:gridCol w:w="90"/>
        <w:gridCol w:w="4770"/>
        <w:gridCol w:w="1683"/>
      </w:tblGrid>
      <w:tr w:rsidR="00F76AF5" w:rsidRPr="00803E47" w14:paraId="008861C0" w14:textId="77777777" w:rsidTr="00B30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73" w:type="dxa"/>
            <w:gridSpan w:val="5"/>
          </w:tcPr>
          <w:p w14:paraId="391F4AE1" w14:textId="77777777" w:rsidR="00F76AF5" w:rsidRPr="00803E47" w:rsidRDefault="00F76AF5" w:rsidP="00B30DBC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F76AF5" w:rsidRPr="00C978B9" w14:paraId="5FEA0419" w14:textId="77777777" w:rsidTr="00B30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9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0B1AA538" w14:textId="77777777" w:rsidR="00F76AF5" w:rsidRPr="00C978B9" w:rsidRDefault="00F76AF5" w:rsidP="00B30DBC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18411E1A" w14:textId="77777777" w:rsidR="00F76AF5" w:rsidRPr="00C978B9" w:rsidRDefault="00F76AF5" w:rsidP="00B30DBC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152C98BD" w14:textId="77777777" w:rsidR="00F76AF5" w:rsidRDefault="00F76AF5" w:rsidP="00B30DBC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6AEC38DA" w14:textId="77777777" w:rsidR="00F76AF5" w:rsidRDefault="00F76AF5" w:rsidP="00B30DBC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BCBEC0"/>
          </w:tcPr>
          <w:p w14:paraId="034DEF82" w14:textId="77777777" w:rsidR="00F76AF5" w:rsidRDefault="00F76AF5" w:rsidP="00B30DBC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F76AF5" w:rsidRPr="00C978B9" w14:paraId="415427F0" w14:textId="77777777" w:rsidTr="00B30DBC">
        <w:tc>
          <w:tcPr>
            <w:tcW w:w="1349" w:type="dxa"/>
            <w:vMerge w:val="restart"/>
          </w:tcPr>
          <w:p w14:paraId="2FAC23ED" w14:textId="77777777" w:rsidR="00F76AF5" w:rsidRDefault="00F76AF5" w:rsidP="00B30DBC">
            <w:pPr>
              <w:keepNext/>
            </w:pPr>
          </w:p>
          <w:p w14:paraId="79EB1AB4" w14:textId="77777777" w:rsidR="00F76AF5" w:rsidRDefault="00F76AF5" w:rsidP="00B30DBC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F5CAC6F" wp14:editId="414FDDA4">
                  <wp:extent cx="848995" cy="848995"/>
                  <wp:effectExtent l="0" t="0" r="8255" b="8255"/>
                  <wp:docPr id="5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B6C62E7" w14:textId="77777777" w:rsidR="00F76AF5" w:rsidRDefault="00F76AF5" w:rsidP="00B30DBC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81B06F8" w14:textId="77777777" w:rsidR="00F76AF5" w:rsidRDefault="00F76AF5" w:rsidP="00B30DBC">
            <w:r>
              <w:t>Be open and honest, prepared to express your views, and willing to accept and commit to change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5FE723C5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F76AF5" w:rsidRPr="00C978B9" w14:paraId="68D23B64" w14:textId="77777777" w:rsidTr="00B30DBC">
        <w:tc>
          <w:tcPr>
            <w:tcW w:w="1349" w:type="dxa"/>
            <w:vMerge/>
          </w:tcPr>
          <w:p w14:paraId="548D0731" w14:textId="77777777" w:rsidR="00F76AF5" w:rsidRDefault="00F76AF5" w:rsidP="00B30DBC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159B6F2" w14:textId="77777777" w:rsidR="00F76AF5" w:rsidRPr="00A8226F" w:rsidRDefault="00F76AF5" w:rsidP="00B30DBC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9CC3B15" w14:textId="77777777" w:rsidR="00F76AF5" w:rsidRDefault="00F76AF5" w:rsidP="00B30DBC">
            <w:r>
              <w:t>Show drive and motivation, an ability to self-reflect and a commitment to learning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1B034DF4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F76AF5" w:rsidRPr="00C978B9" w14:paraId="74148EED" w14:textId="77777777" w:rsidTr="00B30DBC">
        <w:tc>
          <w:tcPr>
            <w:tcW w:w="1349" w:type="dxa"/>
            <w:vMerge/>
            <w:tcBorders>
              <w:bottom w:val="single" w:sz="4" w:space="0" w:color="BCBEC0"/>
            </w:tcBorders>
          </w:tcPr>
          <w:p w14:paraId="643D5C8B" w14:textId="77777777" w:rsidR="00F76AF5" w:rsidRDefault="00F76AF5" w:rsidP="00B30DBC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1142BF2" w14:textId="77777777" w:rsidR="00F76AF5" w:rsidRPr="00A8226F" w:rsidRDefault="00F76AF5" w:rsidP="00B30DBC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DE6A886" w14:textId="77777777" w:rsidR="00F76AF5" w:rsidRDefault="00F76AF5" w:rsidP="00B30DBC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34DBECB4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F76AF5" w:rsidRPr="00C978B9" w14:paraId="215A56DB" w14:textId="77777777" w:rsidTr="00B30DBC">
        <w:tc>
          <w:tcPr>
            <w:tcW w:w="1349" w:type="dxa"/>
            <w:vMerge w:val="restart"/>
          </w:tcPr>
          <w:p w14:paraId="53BC1C9F" w14:textId="77777777" w:rsidR="00F76AF5" w:rsidRDefault="00F76AF5" w:rsidP="00B30DBC">
            <w:pPr>
              <w:keepNext/>
            </w:pPr>
          </w:p>
          <w:p w14:paraId="72A2E9C8" w14:textId="77777777" w:rsidR="00F76AF5" w:rsidRDefault="00F76AF5" w:rsidP="00B30DBC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FF6A2B6" wp14:editId="23CCFA8F">
                  <wp:extent cx="854016" cy="854016"/>
                  <wp:effectExtent l="0" t="0" r="3810" b="3810"/>
                  <wp:docPr id="9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EEF9EAE" w14:textId="77777777" w:rsidR="00F76AF5" w:rsidRDefault="00F76AF5" w:rsidP="00B30DBC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9A77151" w14:textId="77777777" w:rsidR="00F76AF5" w:rsidRDefault="00F76AF5" w:rsidP="00B30DBC">
            <w:r>
              <w:t>Communicate clearly, actively listen to others, and respond with understanding and respect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27B33739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F76AF5" w:rsidRPr="00C978B9" w14:paraId="4B02E877" w14:textId="77777777" w:rsidTr="00B30DBC">
        <w:tc>
          <w:tcPr>
            <w:tcW w:w="1349" w:type="dxa"/>
            <w:vMerge/>
          </w:tcPr>
          <w:p w14:paraId="21C2DE89" w14:textId="77777777" w:rsidR="00F76AF5" w:rsidRDefault="00F76AF5" w:rsidP="00B30DBC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BDFF27A" w14:textId="77777777" w:rsidR="00F76AF5" w:rsidRPr="00A8226F" w:rsidRDefault="00F76AF5" w:rsidP="00B30DBC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96621D0" w14:textId="77777777" w:rsidR="00F76AF5" w:rsidRDefault="00F76AF5" w:rsidP="00B30DBC">
            <w:r>
              <w:t>Collaborate with others and value their contribution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0E2C0D32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F76AF5" w:rsidRPr="00C978B9" w14:paraId="5F420A8B" w14:textId="77777777" w:rsidTr="00B30DBC">
        <w:tc>
          <w:tcPr>
            <w:tcW w:w="1349" w:type="dxa"/>
            <w:vMerge/>
            <w:tcBorders>
              <w:bottom w:val="single" w:sz="4" w:space="0" w:color="BCBEC0"/>
            </w:tcBorders>
          </w:tcPr>
          <w:p w14:paraId="499D0B00" w14:textId="77777777" w:rsidR="00F76AF5" w:rsidRDefault="00F76AF5" w:rsidP="00B30DBC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8BBDCD0" w14:textId="77777777" w:rsidR="00F76AF5" w:rsidRPr="00A8226F" w:rsidRDefault="00F76AF5" w:rsidP="00B30DBC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A12DAEC" w14:textId="77777777" w:rsidR="00F76AF5" w:rsidRDefault="00F76AF5" w:rsidP="00B30DBC">
            <w:r>
              <w:t>Gain consensus and commitment from others, and resolve issues and conflicts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506574E3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F76AF5" w:rsidRPr="00C978B9" w14:paraId="352206A3" w14:textId="77777777" w:rsidTr="00B30DBC">
        <w:tc>
          <w:tcPr>
            <w:tcW w:w="1349" w:type="dxa"/>
            <w:vMerge w:val="restart"/>
          </w:tcPr>
          <w:p w14:paraId="039B6DC9" w14:textId="77777777" w:rsidR="00F76AF5" w:rsidRDefault="00F76AF5" w:rsidP="00B30DBC">
            <w:pPr>
              <w:keepNext/>
            </w:pPr>
          </w:p>
          <w:p w14:paraId="7CCF7216" w14:textId="77777777" w:rsidR="00F76AF5" w:rsidRDefault="00F76AF5" w:rsidP="00B30DBC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9B4FCA5" wp14:editId="7F4CFE5C">
                  <wp:extent cx="854015" cy="854015"/>
                  <wp:effectExtent l="0" t="0" r="3810" b="3810"/>
                  <wp:docPr id="10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D58AD6E" w14:textId="77777777" w:rsidR="00F76AF5" w:rsidRDefault="00F76AF5" w:rsidP="00B30DBC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E021D1F" w14:textId="77777777" w:rsidR="00F76AF5" w:rsidRDefault="00F76AF5" w:rsidP="00B30DBC">
            <w:r>
              <w:t>Achieve results through the efficient use of resources and a commitment to quality outcomes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0223DEAB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F76AF5" w:rsidRPr="00C978B9" w14:paraId="06ACDF67" w14:textId="77777777" w:rsidTr="00B30DBC">
        <w:tc>
          <w:tcPr>
            <w:tcW w:w="1349" w:type="dxa"/>
            <w:vMerge/>
          </w:tcPr>
          <w:p w14:paraId="75655DC0" w14:textId="77777777" w:rsidR="00F76AF5" w:rsidRPr="00C978B9" w:rsidRDefault="00F76AF5" w:rsidP="00B30DBC">
            <w:pPr>
              <w:keepNext/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CCA8AFB" w14:textId="77777777" w:rsidR="00F76AF5" w:rsidRPr="00AA57E3" w:rsidRDefault="00F76AF5" w:rsidP="00B30DBC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1429F52" w14:textId="77777777" w:rsidR="00F76AF5" w:rsidRPr="00AA57E3" w:rsidRDefault="00F76AF5" w:rsidP="00B30DBC">
            <w:r>
              <w:t>Plan to achieve priority outcomes and respond flexibly to changing circumstances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43E6C1FD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F76AF5" w:rsidRPr="00C978B9" w14:paraId="659B7837" w14:textId="77777777" w:rsidTr="00B30DBC">
        <w:tc>
          <w:tcPr>
            <w:tcW w:w="1349" w:type="dxa"/>
            <w:vMerge w:val="restart"/>
            <w:tcBorders>
              <w:bottom w:val="single" w:sz="4" w:space="0" w:color="BCBEC0"/>
            </w:tcBorders>
          </w:tcPr>
          <w:p w14:paraId="310339C0" w14:textId="77777777" w:rsidR="00F76AF5" w:rsidRDefault="00F76AF5" w:rsidP="00B30DBC">
            <w:pPr>
              <w:keepNext/>
            </w:pPr>
          </w:p>
          <w:p w14:paraId="63CB5197" w14:textId="77777777" w:rsidR="00F76AF5" w:rsidRPr="00C978B9" w:rsidRDefault="00F76AF5" w:rsidP="00B30DBC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7C70702" wp14:editId="3964ADAC">
                  <wp:extent cx="845388" cy="845388"/>
                  <wp:effectExtent l="0" t="0" r="0" b="0"/>
                  <wp:docPr id="4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A05FBB4" w14:textId="77777777" w:rsidR="00F76AF5" w:rsidRPr="00AA57E3" w:rsidRDefault="00F76AF5" w:rsidP="00B30DBC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295E6CF" w14:textId="77777777" w:rsidR="00F76AF5" w:rsidRPr="00AA57E3" w:rsidRDefault="00F76AF5" w:rsidP="00B30DBC">
            <w:r>
              <w:t>Understand and apply financial processes to achieve value for money and minimise financial risk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6BC45270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F76AF5" w:rsidRPr="00C978B9" w14:paraId="41A62EC2" w14:textId="77777777" w:rsidTr="00B30DBC">
        <w:tc>
          <w:tcPr>
            <w:tcW w:w="1349" w:type="dxa"/>
            <w:vMerge/>
            <w:tcBorders>
              <w:bottom w:val="single" w:sz="4" w:space="0" w:color="BCBEC0"/>
            </w:tcBorders>
          </w:tcPr>
          <w:p w14:paraId="185FB49E" w14:textId="77777777" w:rsidR="00F76AF5" w:rsidRDefault="00F76AF5" w:rsidP="00B30DBC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AA0D4B0" w14:textId="77777777" w:rsidR="00F76AF5" w:rsidRPr="00A8226F" w:rsidRDefault="00F76AF5" w:rsidP="00B30DBC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70C1BC2" w14:textId="77777777" w:rsidR="00F76AF5" w:rsidRDefault="00F76AF5" w:rsidP="00B30DBC">
            <w:r>
              <w:t>Understand and apply procurement processes to ensure effective purchasing and contract performance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2691C7AE" w14:textId="77777777" w:rsidR="00F76AF5" w:rsidRDefault="00F76AF5" w:rsidP="00B30DBC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682223C8" w14:textId="00C39DF4" w:rsidR="00D01A61" w:rsidRDefault="00D01A61" w:rsidP="00FE1221"/>
    <w:sectPr w:rsidR="00D01A61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3D03" w14:textId="77777777" w:rsidR="00E8439F" w:rsidRDefault="00E8439F" w:rsidP="00BB532F">
      <w:pPr>
        <w:spacing w:after="0" w:line="240" w:lineRule="auto"/>
      </w:pPr>
      <w:r>
        <w:separator/>
      </w:r>
    </w:p>
  </w:endnote>
  <w:endnote w:type="continuationSeparator" w:id="0">
    <w:p w14:paraId="63D42378" w14:textId="77777777" w:rsidR="00E8439F" w:rsidRDefault="00E8439F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6657CF" w14:paraId="51228467" w14:textId="77777777" w:rsidTr="00C03AFD">
      <w:tc>
        <w:tcPr>
          <w:tcW w:w="2250" w:type="pct"/>
          <w:vAlign w:val="center"/>
        </w:tcPr>
        <w:p w14:paraId="7001320F" w14:textId="1975CF3F" w:rsidR="006657CF" w:rsidRDefault="006657CF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>
            <w:rPr>
              <w:color w:val="928B81"/>
              <w:sz w:val="18"/>
            </w:rPr>
            <w:t xml:space="preserve"> </w:t>
          </w:r>
          <w:r w:rsidR="00473363">
            <w:rPr>
              <w:b/>
              <w:bCs/>
              <w:color w:val="928B81"/>
              <w:sz w:val="18"/>
            </w:rPr>
            <w:t>Assistant Analyst, Compliance</w:t>
          </w:r>
        </w:p>
      </w:tc>
      <w:tc>
        <w:tcPr>
          <w:tcW w:w="250" w:type="pct"/>
          <w:vAlign w:val="center"/>
        </w:tcPr>
        <w:p w14:paraId="78EA611B" w14:textId="77777777" w:rsidR="006657CF" w:rsidRPr="00C03AFD" w:rsidRDefault="006657CF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529C4C28" w14:textId="77777777" w:rsidR="006657CF" w:rsidRDefault="006657CF" w:rsidP="00C03AFD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5D80C786" wp14:editId="30735000">
                <wp:extent cx="432000" cy="452144"/>
                <wp:effectExtent l="0" t="0" r="635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3E5682" w14:textId="77777777" w:rsidR="006657CF" w:rsidRDefault="00665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6657CF" w14:paraId="012CFC23" w14:textId="77777777" w:rsidTr="0047547E">
      <w:trPr>
        <w:trHeight w:val="811"/>
      </w:trPr>
      <w:tc>
        <w:tcPr>
          <w:tcW w:w="10005" w:type="dxa"/>
          <w:vAlign w:val="bottom"/>
        </w:tcPr>
        <w:p w14:paraId="2FBC542C" w14:textId="77777777" w:rsidR="006657CF" w:rsidRPr="00051237" w:rsidRDefault="006657CF" w:rsidP="006657CF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66F5DD05" w14:textId="77777777" w:rsidR="006657CF" w:rsidRDefault="006657CF" w:rsidP="006657C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52D0CE31" wp14:editId="2F82FE80">
                <wp:extent cx="555625" cy="581660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_Work_For_NSW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D16CBC" w14:textId="77777777" w:rsidR="006657CF" w:rsidRDefault="0066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7CEE0" w14:textId="77777777" w:rsidR="00E8439F" w:rsidRDefault="00E8439F" w:rsidP="00BB532F">
      <w:pPr>
        <w:spacing w:after="0" w:line="240" w:lineRule="auto"/>
      </w:pPr>
      <w:r>
        <w:separator/>
      </w:r>
    </w:p>
  </w:footnote>
  <w:footnote w:type="continuationSeparator" w:id="0">
    <w:p w14:paraId="36B81780" w14:textId="77777777" w:rsidR="00E8439F" w:rsidRDefault="00E8439F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6657CF" w14:paraId="23741673" w14:textId="77777777" w:rsidTr="00894A73">
      <w:trPr>
        <w:trHeight w:val="813"/>
      </w:trPr>
      <w:tc>
        <w:tcPr>
          <w:tcW w:w="7082" w:type="dxa"/>
        </w:tcPr>
        <w:p w14:paraId="76DBC4D8" w14:textId="3C1B02AA" w:rsidR="006657CF" w:rsidRDefault="006657CF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  <w:r>
            <w:rPr>
              <w:rFonts w:ascii="Arial" w:hAnsi="Arial" w:cs="Arial"/>
            </w:rPr>
            <w:t xml:space="preserve"> </w:t>
          </w:r>
        </w:p>
        <w:p w14:paraId="681B9238" w14:textId="17D2CD38" w:rsidR="006657CF" w:rsidRPr="00935EE2" w:rsidRDefault="00C07C06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Assistant Analyst, Compliance</w:t>
          </w:r>
        </w:p>
      </w:tc>
      <w:tc>
        <w:tcPr>
          <w:tcW w:w="3688" w:type="dxa"/>
        </w:tcPr>
        <w:p w14:paraId="04C56303" w14:textId="77777777" w:rsidR="006657CF" w:rsidRPr="000477E1" w:rsidRDefault="006657CF" w:rsidP="00030565">
          <w:pPr>
            <w:jc w:val="right"/>
          </w:pPr>
        </w:p>
      </w:tc>
    </w:tr>
  </w:tbl>
  <w:p w14:paraId="378E01A2" w14:textId="77777777" w:rsidR="006657CF" w:rsidRDefault="006657CF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C82F9F"/>
    <w:multiLevelType w:val="hybridMultilevel"/>
    <w:tmpl w:val="9E4415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7D925F"/>
    <w:multiLevelType w:val="hybridMultilevel"/>
    <w:tmpl w:val="85E3B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78421"/>
    <w:multiLevelType w:val="hybridMultilevel"/>
    <w:tmpl w:val="2BEEE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A04164"/>
    <w:multiLevelType w:val="hybridMultilevel"/>
    <w:tmpl w:val="AB7C4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660"/>
    <w:multiLevelType w:val="hybridMultilevel"/>
    <w:tmpl w:val="5C6273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49A8"/>
    <w:multiLevelType w:val="hybridMultilevel"/>
    <w:tmpl w:val="AD4264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044765"/>
    <w:multiLevelType w:val="hybridMultilevel"/>
    <w:tmpl w:val="3D22C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CB66"/>
    <w:multiLevelType w:val="hybridMultilevel"/>
    <w:tmpl w:val="A13DCB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0D9A1B"/>
    <w:multiLevelType w:val="hybridMultilevel"/>
    <w:tmpl w:val="24C6B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32A36F9"/>
    <w:multiLevelType w:val="hybridMultilevel"/>
    <w:tmpl w:val="CD4C8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7E35"/>
    <w:multiLevelType w:val="hybridMultilevel"/>
    <w:tmpl w:val="17428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D406D"/>
    <w:multiLevelType w:val="hybridMultilevel"/>
    <w:tmpl w:val="67B04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10"/>
  </w:num>
  <w:num w:numId="18">
    <w:abstractNumId w:val="3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1FE2"/>
    <w:rsid w:val="00022223"/>
    <w:rsid w:val="00024E73"/>
    <w:rsid w:val="00026543"/>
    <w:rsid w:val="00027E23"/>
    <w:rsid w:val="00030565"/>
    <w:rsid w:val="0003263C"/>
    <w:rsid w:val="00034D62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8549E"/>
    <w:rsid w:val="00093235"/>
    <w:rsid w:val="000A2621"/>
    <w:rsid w:val="000C00E5"/>
    <w:rsid w:val="000C1841"/>
    <w:rsid w:val="000C3CC8"/>
    <w:rsid w:val="000D12B3"/>
    <w:rsid w:val="000D799A"/>
    <w:rsid w:val="000D7F77"/>
    <w:rsid w:val="000F231F"/>
    <w:rsid w:val="000F6704"/>
    <w:rsid w:val="00101763"/>
    <w:rsid w:val="00104EC7"/>
    <w:rsid w:val="0010608B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3658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2277"/>
    <w:rsid w:val="001E2792"/>
    <w:rsid w:val="001E27DB"/>
    <w:rsid w:val="001E49B2"/>
    <w:rsid w:val="001F2503"/>
    <w:rsid w:val="001F4B2B"/>
    <w:rsid w:val="00201E8B"/>
    <w:rsid w:val="0020219E"/>
    <w:rsid w:val="00205A8A"/>
    <w:rsid w:val="00211F68"/>
    <w:rsid w:val="0022064D"/>
    <w:rsid w:val="00222FE4"/>
    <w:rsid w:val="00237421"/>
    <w:rsid w:val="00240A8E"/>
    <w:rsid w:val="0025759B"/>
    <w:rsid w:val="00263ACB"/>
    <w:rsid w:val="00266912"/>
    <w:rsid w:val="00280887"/>
    <w:rsid w:val="0028314F"/>
    <w:rsid w:val="00287C54"/>
    <w:rsid w:val="00297D58"/>
    <w:rsid w:val="002A648F"/>
    <w:rsid w:val="002B0B83"/>
    <w:rsid w:val="002B1F76"/>
    <w:rsid w:val="002B5704"/>
    <w:rsid w:val="002B6409"/>
    <w:rsid w:val="002C02EF"/>
    <w:rsid w:val="002C2823"/>
    <w:rsid w:val="002C616A"/>
    <w:rsid w:val="002D336D"/>
    <w:rsid w:val="002D36BB"/>
    <w:rsid w:val="00300C40"/>
    <w:rsid w:val="00301747"/>
    <w:rsid w:val="00302CDC"/>
    <w:rsid w:val="00325E9D"/>
    <w:rsid w:val="00327F5C"/>
    <w:rsid w:val="00336011"/>
    <w:rsid w:val="00340ADC"/>
    <w:rsid w:val="0034264C"/>
    <w:rsid w:val="00343491"/>
    <w:rsid w:val="00345199"/>
    <w:rsid w:val="00346D51"/>
    <w:rsid w:val="00351826"/>
    <w:rsid w:val="00351C3F"/>
    <w:rsid w:val="00351D50"/>
    <w:rsid w:val="00361F4E"/>
    <w:rsid w:val="0036462D"/>
    <w:rsid w:val="00372A99"/>
    <w:rsid w:val="00373737"/>
    <w:rsid w:val="00375289"/>
    <w:rsid w:val="00375335"/>
    <w:rsid w:val="00377118"/>
    <w:rsid w:val="003927AE"/>
    <w:rsid w:val="0039395B"/>
    <w:rsid w:val="003953AD"/>
    <w:rsid w:val="00396278"/>
    <w:rsid w:val="003A1185"/>
    <w:rsid w:val="003A1A14"/>
    <w:rsid w:val="003A2AFA"/>
    <w:rsid w:val="003A3538"/>
    <w:rsid w:val="003B0F42"/>
    <w:rsid w:val="003B2594"/>
    <w:rsid w:val="003B403A"/>
    <w:rsid w:val="003C00FD"/>
    <w:rsid w:val="003C031F"/>
    <w:rsid w:val="003C2846"/>
    <w:rsid w:val="003C5EB3"/>
    <w:rsid w:val="003D5227"/>
    <w:rsid w:val="003E2663"/>
    <w:rsid w:val="003F6FF4"/>
    <w:rsid w:val="00411F3E"/>
    <w:rsid w:val="0041525E"/>
    <w:rsid w:val="00416D58"/>
    <w:rsid w:val="004203B4"/>
    <w:rsid w:val="00436621"/>
    <w:rsid w:val="00442732"/>
    <w:rsid w:val="00443779"/>
    <w:rsid w:val="00443BCB"/>
    <w:rsid w:val="0045299A"/>
    <w:rsid w:val="00466287"/>
    <w:rsid w:val="00473363"/>
    <w:rsid w:val="0047547E"/>
    <w:rsid w:val="00477EB1"/>
    <w:rsid w:val="004920CF"/>
    <w:rsid w:val="00492AA6"/>
    <w:rsid w:val="004951A1"/>
    <w:rsid w:val="00497EC1"/>
    <w:rsid w:val="004C32AC"/>
    <w:rsid w:val="004C45E2"/>
    <w:rsid w:val="004D0C22"/>
    <w:rsid w:val="004D15E4"/>
    <w:rsid w:val="004D20F2"/>
    <w:rsid w:val="004D27C8"/>
    <w:rsid w:val="004D3F0A"/>
    <w:rsid w:val="004D68A6"/>
    <w:rsid w:val="004E44A5"/>
    <w:rsid w:val="004E474E"/>
    <w:rsid w:val="004E7427"/>
    <w:rsid w:val="004E7F32"/>
    <w:rsid w:val="00502DBF"/>
    <w:rsid w:val="00506B3A"/>
    <w:rsid w:val="00521D19"/>
    <w:rsid w:val="00523B42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0A16"/>
    <w:rsid w:val="005C7AF5"/>
    <w:rsid w:val="005D1C3A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0D6B"/>
    <w:rsid w:val="00621D45"/>
    <w:rsid w:val="00623950"/>
    <w:rsid w:val="00626492"/>
    <w:rsid w:val="0063544E"/>
    <w:rsid w:val="00640189"/>
    <w:rsid w:val="00650234"/>
    <w:rsid w:val="006538BF"/>
    <w:rsid w:val="006657CF"/>
    <w:rsid w:val="00666139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D520F"/>
    <w:rsid w:val="006E0A4E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4278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D202A"/>
    <w:rsid w:val="007E2572"/>
    <w:rsid w:val="007E2FB7"/>
    <w:rsid w:val="007E77DC"/>
    <w:rsid w:val="00801E41"/>
    <w:rsid w:val="008044BB"/>
    <w:rsid w:val="00805561"/>
    <w:rsid w:val="00806FE1"/>
    <w:rsid w:val="00807ED1"/>
    <w:rsid w:val="00812427"/>
    <w:rsid w:val="00817B11"/>
    <w:rsid w:val="008203EE"/>
    <w:rsid w:val="008267A0"/>
    <w:rsid w:val="008308A7"/>
    <w:rsid w:val="008327FB"/>
    <w:rsid w:val="00833EC0"/>
    <w:rsid w:val="0083547C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648A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1D41"/>
    <w:rsid w:val="009B3103"/>
    <w:rsid w:val="009B5BB8"/>
    <w:rsid w:val="009C12FA"/>
    <w:rsid w:val="009D72FE"/>
    <w:rsid w:val="009D747B"/>
    <w:rsid w:val="009D7B94"/>
    <w:rsid w:val="009F61B1"/>
    <w:rsid w:val="00A00C30"/>
    <w:rsid w:val="00A02AEF"/>
    <w:rsid w:val="00A11071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A3C16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52006"/>
    <w:rsid w:val="00B635E3"/>
    <w:rsid w:val="00B72B4F"/>
    <w:rsid w:val="00B835C0"/>
    <w:rsid w:val="00B876AF"/>
    <w:rsid w:val="00B9055C"/>
    <w:rsid w:val="00BA0950"/>
    <w:rsid w:val="00BA64C9"/>
    <w:rsid w:val="00BA759E"/>
    <w:rsid w:val="00BB12E9"/>
    <w:rsid w:val="00BB532F"/>
    <w:rsid w:val="00BC162D"/>
    <w:rsid w:val="00BC2FE4"/>
    <w:rsid w:val="00BD4DDA"/>
    <w:rsid w:val="00BE4EAE"/>
    <w:rsid w:val="00BE6E24"/>
    <w:rsid w:val="00BF325F"/>
    <w:rsid w:val="00BF5DDE"/>
    <w:rsid w:val="00C01CED"/>
    <w:rsid w:val="00C03AFD"/>
    <w:rsid w:val="00C07C06"/>
    <w:rsid w:val="00C23E79"/>
    <w:rsid w:val="00C271F9"/>
    <w:rsid w:val="00C30FB6"/>
    <w:rsid w:val="00C41E42"/>
    <w:rsid w:val="00C470CB"/>
    <w:rsid w:val="00C517B6"/>
    <w:rsid w:val="00C609DD"/>
    <w:rsid w:val="00C62F50"/>
    <w:rsid w:val="00C63F0F"/>
    <w:rsid w:val="00C70636"/>
    <w:rsid w:val="00C70842"/>
    <w:rsid w:val="00C740FF"/>
    <w:rsid w:val="00C8565C"/>
    <w:rsid w:val="00C8578E"/>
    <w:rsid w:val="00C861F7"/>
    <w:rsid w:val="00CA3DE5"/>
    <w:rsid w:val="00CA653D"/>
    <w:rsid w:val="00CA76B5"/>
    <w:rsid w:val="00CC2175"/>
    <w:rsid w:val="00CC76F2"/>
    <w:rsid w:val="00CD323E"/>
    <w:rsid w:val="00CE105E"/>
    <w:rsid w:val="00CE1E5E"/>
    <w:rsid w:val="00CF2A85"/>
    <w:rsid w:val="00D010C4"/>
    <w:rsid w:val="00D01A61"/>
    <w:rsid w:val="00D040C1"/>
    <w:rsid w:val="00D10F71"/>
    <w:rsid w:val="00D22938"/>
    <w:rsid w:val="00D312DA"/>
    <w:rsid w:val="00D351CC"/>
    <w:rsid w:val="00D424FB"/>
    <w:rsid w:val="00D55E55"/>
    <w:rsid w:val="00D6084A"/>
    <w:rsid w:val="00D64165"/>
    <w:rsid w:val="00D663ED"/>
    <w:rsid w:val="00D66BB4"/>
    <w:rsid w:val="00D67A17"/>
    <w:rsid w:val="00D74882"/>
    <w:rsid w:val="00D759EE"/>
    <w:rsid w:val="00D76FB3"/>
    <w:rsid w:val="00D94451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3AD7"/>
    <w:rsid w:val="00E2478E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439F"/>
    <w:rsid w:val="00E85FA0"/>
    <w:rsid w:val="00E87997"/>
    <w:rsid w:val="00E95F38"/>
    <w:rsid w:val="00EA077B"/>
    <w:rsid w:val="00EA7A67"/>
    <w:rsid w:val="00EC0B04"/>
    <w:rsid w:val="00EC4A51"/>
    <w:rsid w:val="00EC5C1D"/>
    <w:rsid w:val="00ED176B"/>
    <w:rsid w:val="00ED57BF"/>
    <w:rsid w:val="00ED5CC6"/>
    <w:rsid w:val="00ED7943"/>
    <w:rsid w:val="00EE4670"/>
    <w:rsid w:val="00EE5AD4"/>
    <w:rsid w:val="00EF159C"/>
    <w:rsid w:val="00F07C69"/>
    <w:rsid w:val="00F07FB5"/>
    <w:rsid w:val="00F11D6C"/>
    <w:rsid w:val="00F15669"/>
    <w:rsid w:val="00F31B35"/>
    <w:rsid w:val="00F339CD"/>
    <w:rsid w:val="00F33A43"/>
    <w:rsid w:val="00F41650"/>
    <w:rsid w:val="00F4310A"/>
    <w:rsid w:val="00F47143"/>
    <w:rsid w:val="00F64875"/>
    <w:rsid w:val="00F672D5"/>
    <w:rsid w:val="00F73C3B"/>
    <w:rsid w:val="00F76AF5"/>
    <w:rsid w:val="00F83D95"/>
    <w:rsid w:val="00F9569D"/>
    <w:rsid w:val="00FC306C"/>
    <w:rsid w:val="00FC5F94"/>
    <w:rsid w:val="00FC6457"/>
    <w:rsid w:val="00FC6ECA"/>
    <w:rsid w:val="00FD3076"/>
    <w:rsid w:val="00FD46BA"/>
    <w:rsid w:val="00FD501D"/>
    <w:rsid w:val="00FE1221"/>
    <w:rsid w:val="00FE1CBC"/>
    <w:rsid w:val="00FE2E58"/>
    <w:rsid w:val="00FE5458"/>
    <w:rsid w:val="00FE6FBE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729FB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4E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1A14"/>
    <w:rPr>
      <w:color w:val="605E5C"/>
      <w:shd w:val="clear" w:color="auto" w:fill="E1DFDD"/>
    </w:rPr>
  </w:style>
  <w:style w:type="paragraph" w:customStyle="1" w:styleId="Default">
    <w:name w:val="Default"/>
    <w:rsid w:val="000C184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footer" Target="footer2.xml" Id="rId17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s://www.psc.nsw.gov.au/workforce-management/capability-framework/the-capability-framework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://www.dpc.nsw.gov.au/about/about_the_department" TargetMode="External" Id="rId9" /><Relationship Type="http://schemas.openxmlformats.org/officeDocument/2006/relationships/image" Target="media/image4.png" Id="rId14" /><Relationship Type="http://schemas.openxmlformats.org/officeDocument/2006/relationships/customXml" Target="/customXML/item3.xml" Id="R49ad0c0a0d8b4c3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E3871FEBC3EDC3EE0531950520A6160" version="1.0.0">
  <systemFields>
    <field name="Objective-Id">
      <value order="0">A5018014</value>
    </field>
    <field name="Objective-Title">
      <value order="0">05-06 - Assistant Analyst, Compliance (final)</value>
    </field>
    <field name="Objective-Description">
      <value order="0"/>
    </field>
    <field name="Objective-CreationStamp">
      <value order="0">2021-06-21T23:28:15Z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2021-07-05T23:31:30Z</value>
    </field>
    <field name="Objective-Owner">
      <value order="0">Hana Maalla</value>
    </field>
    <field name="Objective-Path">
      <value order="0">Objective Global Folder:DPC:People and Operations Group:People, Culture and Talent:People and Culture - DPC:Establishment:Role Descriptions:Role Descriptions and Evaluations:Clerk 05/06</value>
    </field>
    <field name="Objective-Parent">
      <value order="0">Clerk 05/06</value>
    </field>
    <field name="Objective-State">
      <value order="0">Being Drafted</value>
    </field>
    <field name="Objective-VersionId">
      <value order="0">vA8874097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DPC17/02642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Personal</value>
      </field>
      <field name="Objective-Document Type">
        <value order="0">Role Description (RD)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6840-7A33-4637-91FE-895AD6C5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4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Anbarasu Palanisamy</dc:creator>
  <cp:lastModifiedBy>Hana Maalla</cp:lastModifiedBy>
  <cp:revision>2</cp:revision>
  <dcterms:created xsi:type="dcterms:W3CDTF">2021-06-22T00:28:00Z</dcterms:created>
  <dcterms:modified xsi:type="dcterms:W3CDTF">2021-06-22T00:28:00Z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A5018014</vt:lpwstr>
  </property>
  <property fmtid="{D5CDD505-2E9C-101B-9397-08002B2CF9AE}" pid="4" name="Objective-Title">
    <vt:lpwstr>05-06 - Assistant Analyst, Compliance (final)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2021-06-21T23:28:15Z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2021-07-05T23:31:30Z</vt:filetime>
  </property>
  <property fmtid="{D5CDD505-2E9C-101B-9397-08002B2CF9AE}" pid="11" name="Objective-Owner">
    <vt:lpwstr>Hana Maalla</vt:lpwstr>
  </property>
  <property fmtid="{D5CDD505-2E9C-101B-9397-08002B2CF9AE}" pid="12" name="Objective-Path">
    <vt:lpwstr>Objective Global Folder:DPC:People and Operations Group:People, Culture and Talent:People and Culture - DPC:Establishment:Role Descriptions:Role Descriptions and Evaluations:Clerk 05/06</vt:lpwstr>
  </property>
  <property fmtid="{D5CDD505-2E9C-101B-9397-08002B2CF9AE}" pid="13" name="Objective-Parent">
    <vt:lpwstr>Clerk 05/06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vA8874097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DPC17/02642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nsitivity Label">
    <vt:lpwstr>Personal</vt:lpwstr>
  </property>
  <property fmtid="{D5CDD505-2E9C-101B-9397-08002B2CF9AE}" pid="23" name="Objective-Document Type">
    <vt:lpwstr>Role Description (RD)</vt:lpwstr>
  </property>
  <property fmtid="{D5CDD505-2E9C-101B-9397-08002B2CF9AE}" pid="24" name="Objective-Approval Status">
    <vt:lpwstr>Never Submitted</vt:lpwstr>
  </property>
  <property fmtid="{D5CDD505-2E9C-101B-9397-08002B2CF9AE}" pid="25" name="Objective-Approval Due">
    <vt:lpwstr/>
  </property>
  <property fmtid="{D5CDD505-2E9C-101B-9397-08002B2CF9AE}" pid="26" name="Objective-Approval Date">
    <vt:lpwstr/>
  </property>
  <property fmtid="{D5CDD505-2E9C-101B-9397-08002B2CF9AE}" pid="27" name="Objective-Submitted By">
    <vt:lpwstr/>
  </property>
  <property fmtid="{D5CDD505-2E9C-101B-9397-08002B2CF9AE}" pid="28" name="Objective-Current Approver">
    <vt:lpwstr/>
  </property>
  <property fmtid="{D5CDD505-2E9C-101B-9397-08002B2CF9AE}" pid="29" name="Objective-Approval History">
    <vt:lpwstr/>
  </property>
  <property fmtid="{D5CDD505-2E9C-101B-9397-08002B2CF9AE}" pid="30" name="Objective-Print and Dispatch Approach">
    <vt:lpwstr/>
  </property>
  <property fmtid="{D5CDD505-2E9C-101B-9397-08002B2CF9AE}" pid="31" name="Objective-Print and Dispatch Instructions">
    <vt:lpwstr/>
  </property>
  <property fmtid="{D5CDD505-2E9C-101B-9397-08002B2CF9AE}" pid="32" name="Objective-Document Tag(s)">
    <vt:lpwstr/>
  </property>
  <property fmtid="{D5CDD505-2E9C-101B-9397-08002B2CF9AE}" pid="33" name="Objective-Shared By">
    <vt:lpwstr/>
  </property>
  <property fmtid="{D5CDD505-2E9C-101B-9397-08002B2CF9AE}" pid="34" name="Objective-Connect Creator">
    <vt:lpwstr/>
  </property>
</Properties>
</file>