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5EC97B20"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6F4F045" w14:textId="77777777" w:rsidR="009077E2" w:rsidRPr="00DC0173" w:rsidRDefault="00E95F38" w:rsidP="00DC0173">
            <w:pPr>
              <w:pStyle w:val="TableTextWhite"/>
              <w:rPr>
                <w:b/>
              </w:rPr>
            </w:pPr>
            <w:bookmarkStart w:id="0" w:name="_GoBack"/>
            <w:bookmarkEnd w:id="0"/>
            <w:r>
              <w:rPr>
                <w:b/>
              </w:rPr>
              <w:t>Cluster</w:t>
            </w:r>
          </w:p>
        </w:tc>
        <w:tc>
          <w:tcPr>
            <w:tcW w:w="6561" w:type="dxa"/>
          </w:tcPr>
          <w:p w14:paraId="1DB25DE9" w14:textId="77777777" w:rsidR="009077E2" w:rsidRPr="00DC0173" w:rsidRDefault="00E95F38" w:rsidP="00DC0173">
            <w:pPr>
              <w:pStyle w:val="TableTextWhite"/>
            </w:pPr>
            <w:r>
              <w:t>Planning &amp; Environment</w:t>
            </w:r>
          </w:p>
        </w:tc>
      </w:tr>
      <w:tr w:rsidR="009077E2" w:rsidRPr="00DC0173" w14:paraId="6BD11D58" w14:textId="77777777" w:rsidTr="008476E6">
        <w:tc>
          <w:tcPr>
            <w:tcW w:w="4026" w:type="dxa"/>
            <w:vAlign w:val="center"/>
          </w:tcPr>
          <w:p w14:paraId="72855F67" w14:textId="77777777" w:rsidR="009077E2" w:rsidRPr="00DC0173" w:rsidRDefault="00E95F38" w:rsidP="00DC0173">
            <w:pPr>
              <w:pStyle w:val="TableTextWhite"/>
              <w:rPr>
                <w:b/>
              </w:rPr>
            </w:pPr>
            <w:r>
              <w:rPr>
                <w:b/>
              </w:rPr>
              <w:t>Agency</w:t>
            </w:r>
          </w:p>
        </w:tc>
        <w:tc>
          <w:tcPr>
            <w:tcW w:w="6561" w:type="dxa"/>
          </w:tcPr>
          <w:p w14:paraId="01A9D806" w14:textId="77777777" w:rsidR="009077E2" w:rsidRPr="00DC0173" w:rsidRDefault="00E95F38" w:rsidP="00DC0173">
            <w:pPr>
              <w:pStyle w:val="TableTextWhite"/>
            </w:pPr>
            <w:r>
              <w:t>Environment Protection Authority</w:t>
            </w:r>
          </w:p>
        </w:tc>
      </w:tr>
      <w:tr w:rsidR="009077E2" w:rsidRPr="00DC0173" w14:paraId="38C15F99" w14:textId="77777777" w:rsidTr="008476E6">
        <w:tc>
          <w:tcPr>
            <w:tcW w:w="4026" w:type="dxa"/>
            <w:vAlign w:val="center"/>
          </w:tcPr>
          <w:p w14:paraId="505F9787" w14:textId="77777777" w:rsidR="009077E2" w:rsidRPr="00DC0173" w:rsidRDefault="00E95F38" w:rsidP="00DC0173">
            <w:pPr>
              <w:pStyle w:val="TableTextWhite"/>
              <w:rPr>
                <w:b/>
              </w:rPr>
            </w:pPr>
            <w:r>
              <w:rPr>
                <w:b/>
              </w:rPr>
              <w:t>Division/Branch/Unit</w:t>
            </w:r>
          </w:p>
        </w:tc>
        <w:tc>
          <w:tcPr>
            <w:tcW w:w="6561" w:type="dxa"/>
          </w:tcPr>
          <w:p w14:paraId="7E450442" w14:textId="77777777" w:rsidR="009077E2" w:rsidRPr="00DC0173" w:rsidRDefault="00E95F38" w:rsidP="00DC0173">
            <w:pPr>
              <w:pStyle w:val="TableTextWhite"/>
            </w:pPr>
            <w:r>
              <w:t>EPA/</w:t>
            </w:r>
            <w:r w:rsidR="00D95AF3">
              <w:t>Regulatory Services Division</w:t>
            </w:r>
          </w:p>
        </w:tc>
      </w:tr>
      <w:tr w:rsidR="009077E2" w:rsidRPr="00DC0173" w14:paraId="77D1BC80" w14:textId="77777777" w:rsidTr="008476E6">
        <w:tc>
          <w:tcPr>
            <w:tcW w:w="4026" w:type="dxa"/>
            <w:vAlign w:val="center"/>
          </w:tcPr>
          <w:p w14:paraId="6D7D41BA" w14:textId="77777777" w:rsidR="009077E2" w:rsidRPr="00DC0173" w:rsidRDefault="00E95F38" w:rsidP="00DC0173">
            <w:pPr>
              <w:pStyle w:val="TableTextWhite"/>
              <w:rPr>
                <w:b/>
              </w:rPr>
            </w:pPr>
            <w:r>
              <w:rPr>
                <w:b/>
              </w:rPr>
              <w:t>Location</w:t>
            </w:r>
          </w:p>
        </w:tc>
        <w:tc>
          <w:tcPr>
            <w:tcW w:w="6561" w:type="dxa"/>
          </w:tcPr>
          <w:p w14:paraId="794F71E8" w14:textId="77777777" w:rsidR="009077E2" w:rsidRPr="00DC0173" w:rsidRDefault="00E95F38" w:rsidP="00DC0173">
            <w:pPr>
              <w:pStyle w:val="TableTextWhite"/>
            </w:pPr>
            <w:r>
              <w:t>Sydney</w:t>
            </w:r>
          </w:p>
        </w:tc>
      </w:tr>
      <w:tr w:rsidR="009077E2" w:rsidRPr="00DC0173" w14:paraId="64F4C402" w14:textId="77777777" w:rsidTr="008476E6">
        <w:tc>
          <w:tcPr>
            <w:tcW w:w="4026" w:type="dxa"/>
            <w:vAlign w:val="center"/>
          </w:tcPr>
          <w:p w14:paraId="44397801" w14:textId="77777777" w:rsidR="009077E2" w:rsidRPr="00DC0173" w:rsidRDefault="00E95F38" w:rsidP="00DC0173">
            <w:pPr>
              <w:pStyle w:val="TableTextWhite"/>
              <w:rPr>
                <w:b/>
              </w:rPr>
            </w:pPr>
            <w:r>
              <w:rPr>
                <w:b/>
              </w:rPr>
              <w:t>Classification/Grade/Band</w:t>
            </w:r>
          </w:p>
        </w:tc>
        <w:tc>
          <w:tcPr>
            <w:tcW w:w="6561" w:type="dxa"/>
          </w:tcPr>
          <w:p w14:paraId="6BBDA1CA" w14:textId="77777777" w:rsidR="009077E2" w:rsidRPr="00DC0173" w:rsidRDefault="00E95F38" w:rsidP="00DC0173">
            <w:pPr>
              <w:pStyle w:val="TableTextWhite"/>
            </w:pPr>
            <w:r>
              <w:t>Environment Office</w:t>
            </w:r>
            <w:r w:rsidR="003971B4">
              <w:t xml:space="preserve">r </w:t>
            </w:r>
            <w:r>
              <w:t xml:space="preserve">Class </w:t>
            </w:r>
            <w:r w:rsidR="00E6166E">
              <w:t>9</w:t>
            </w:r>
          </w:p>
        </w:tc>
      </w:tr>
      <w:tr w:rsidR="00697BC4" w:rsidRPr="00DC0173" w14:paraId="0BD3002B" w14:textId="77777777" w:rsidTr="008476E6">
        <w:tc>
          <w:tcPr>
            <w:tcW w:w="4026" w:type="dxa"/>
            <w:vAlign w:val="center"/>
          </w:tcPr>
          <w:p w14:paraId="1D1063DC" w14:textId="77777777" w:rsidR="00697BC4" w:rsidRDefault="00697BC4" w:rsidP="00DC0173">
            <w:pPr>
              <w:pStyle w:val="TableTextWhite"/>
              <w:rPr>
                <w:b/>
              </w:rPr>
            </w:pPr>
            <w:r>
              <w:rPr>
                <w:b/>
              </w:rPr>
              <w:t>Role Number</w:t>
            </w:r>
          </w:p>
        </w:tc>
        <w:tc>
          <w:tcPr>
            <w:tcW w:w="6561" w:type="dxa"/>
          </w:tcPr>
          <w:p w14:paraId="18D3AE50" w14:textId="77777777" w:rsidR="00697BC4" w:rsidRDefault="004801C8" w:rsidP="00DC0173">
            <w:pPr>
              <w:pStyle w:val="TableTextWhite"/>
            </w:pPr>
            <w:r>
              <w:t>Generic</w:t>
            </w:r>
          </w:p>
        </w:tc>
      </w:tr>
      <w:tr w:rsidR="009077E2" w:rsidRPr="00DC0173" w14:paraId="3918B1A4" w14:textId="77777777" w:rsidTr="008476E6">
        <w:tc>
          <w:tcPr>
            <w:tcW w:w="4026" w:type="dxa"/>
            <w:vAlign w:val="center"/>
          </w:tcPr>
          <w:p w14:paraId="38BA2193" w14:textId="77777777" w:rsidR="009077E2" w:rsidRPr="00DC0173" w:rsidRDefault="00E95F38" w:rsidP="00DC0173">
            <w:pPr>
              <w:pStyle w:val="TableTextWhite"/>
              <w:rPr>
                <w:b/>
              </w:rPr>
            </w:pPr>
            <w:r>
              <w:rPr>
                <w:b/>
              </w:rPr>
              <w:t>ANZSCO Code</w:t>
            </w:r>
          </w:p>
        </w:tc>
        <w:tc>
          <w:tcPr>
            <w:tcW w:w="6561" w:type="dxa"/>
          </w:tcPr>
          <w:p w14:paraId="57A6E7D5" w14:textId="77777777" w:rsidR="009077E2" w:rsidRPr="00DC0173" w:rsidRDefault="00280354" w:rsidP="00DC0173">
            <w:pPr>
              <w:pStyle w:val="TableTextWhite"/>
            </w:pPr>
            <w:r>
              <w:t>224411</w:t>
            </w:r>
          </w:p>
        </w:tc>
      </w:tr>
      <w:tr w:rsidR="009077E2" w:rsidRPr="00DC0173" w14:paraId="5A26608C" w14:textId="77777777" w:rsidTr="008476E6">
        <w:tc>
          <w:tcPr>
            <w:tcW w:w="4026" w:type="dxa"/>
            <w:vAlign w:val="center"/>
          </w:tcPr>
          <w:p w14:paraId="0363C390" w14:textId="77777777" w:rsidR="009077E2" w:rsidRPr="00DC0173" w:rsidRDefault="00E95F38" w:rsidP="00DC0173">
            <w:pPr>
              <w:pStyle w:val="TableTextWhite"/>
              <w:rPr>
                <w:b/>
              </w:rPr>
            </w:pPr>
            <w:r>
              <w:rPr>
                <w:b/>
              </w:rPr>
              <w:t>PCAT Code</w:t>
            </w:r>
          </w:p>
        </w:tc>
        <w:tc>
          <w:tcPr>
            <w:tcW w:w="6561" w:type="dxa"/>
          </w:tcPr>
          <w:p w14:paraId="25521CC4" w14:textId="77777777" w:rsidR="009077E2" w:rsidRPr="00DC0173" w:rsidRDefault="00280354" w:rsidP="00DC0173">
            <w:pPr>
              <w:pStyle w:val="TableTextWhite"/>
            </w:pPr>
            <w:r>
              <w:t>2221172</w:t>
            </w:r>
          </w:p>
        </w:tc>
      </w:tr>
      <w:tr w:rsidR="009077E2" w:rsidRPr="00DC0173" w14:paraId="1E0C00A7" w14:textId="77777777" w:rsidTr="008476E6">
        <w:tc>
          <w:tcPr>
            <w:tcW w:w="4026" w:type="dxa"/>
            <w:vAlign w:val="center"/>
          </w:tcPr>
          <w:p w14:paraId="0D52B06E" w14:textId="77777777" w:rsidR="009077E2" w:rsidRPr="00DC0173" w:rsidRDefault="00E95F38" w:rsidP="00DC0173">
            <w:pPr>
              <w:pStyle w:val="TableTextWhite"/>
              <w:rPr>
                <w:b/>
              </w:rPr>
            </w:pPr>
            <w:r>
              <w:rPr>
                <w:b/>
              </w:rPr>
              <w:t>Date of Approval</w:t>
            </w:r>
          </w:p>
        </w:tc>
        <w:tc>
          <w:tcPr>
            <w:tcW w:w="6561" w:type="dxa"/>
          </w:tcPr>
          <w:p w14:paraId="38473012" w14:textId="77777777" w:rsidR="009077E2" w:rsidRPr="00DC0173" w:rsidRDefault="003971B4" w:rsidP="00DC0173">
            <w:pPr>
              <w:pStyle w:val="TableTextWhite"/>
            </w:pPr>
            <w:r>
              <w:t>November 2017</w:t>
            </w:r>
          </w:p>
        </w:tc>
      </w:tr>
      <w:tr w:rsidR="009077E2" w:rsidRPr="00DC0173" w14:paraId="1585CD0E" w14:textId="77777777" w:rsidTr="008476E6">
        <w:tc>
          <w:tcPr>
            <w:tcW w:w="4026" w:type="dxa"/>
            <w:vAlign w:val="center"/>
          </w:tcPr>
          <w:p w14:paraId="4D81BF8A" w14:textId="77777777" w:rsidR="009077E2" w:rsidRPr="00DC0173" w:rsidRDefault="00E95F38" w:rsidP="00DC0173">
            <w:pPr>
              <w:pStyle w:val="TableTextWhite"/>
              <w:rPr>
                <w:b/>
              </w:rPr>
            </w:pPr>
            <w:r>
              <w:rPr>
                <w:b/>
              </w:rPr>
              <w:t>Agency Website</w:t>
            </w:r>
          </w:p>
        </w:tc>
        <w:tc>
          <w:tcPr>
            <w:tcW w:w="6561" w:type="dxa"/>
          </w:tcPr>
          <w:p w14:paraId="059DE5CE" w14:textId="77777777" w:rsidR="009077E2" w:rsidRPr="00DC0173" w:rsidRDefault="009B2167" w:rsidP="00DC0173">
            <w:pPr>
              <w:pStyle w:val="TableTextWhite"/>
            </w:pPr>
            <w:hyperlink r:id="rId8" w:history="1">
              <w:r w:rsidR="00835745" w:rsidRPr="00846417">
                <w:rPr>
                  <w:rStyle w:val="Hyperlink"/>
                </w:rPr>
                <w:t>www.epa.nsw.gov.au</w:t>
              </w:r>
            </w:hyperlink>
            <w:r w:rsidR="00835745">
              <w:t xml:space="preserve"> </w:t>
            </w:r>
          </w:p>
        </w:tc>
        <w:bookmarkStart w:id="1" w:name="Cluster"/>
        <w:bookmarkEnd w:id="1"/>
      </w:tr>
    </w:tbl>
    <w:p w14:paraId="491854EC" w14:textId="77777777" w:rsidR="006A2280" w:rsidRDefault="006A2280" w:rsidP="006A2280">
      <w:pPr>
        <w:tabs>
          <w:tab w:val="left" w:pos="2925"/>
        </w:tabs>
      </w:pPr>
    </w:p>
    <w:p w14:paraId="457EBC79" w14:textId="77777777" w:rsidR="00F47143" w:rsidRPr="00614552" w:rsidRDefault="00F47143" w:rsidP="006A2280">
      <w:pPr>
        <w:tabs>
          <w:tab w:val="left" w:pos="2925"/>
        </w:tabs>
        <w:rPr>
          <w:rStyle w:val="Heading1Char"/>
        </w:rPr>
      </w:pPr>
      <w:r w:rsidRPr="00614552">
        <w:rPr>
          <w:rStyle w:val="Heading1Char"/>
        </w:rPr>
        <w:t>Agency overview</w:t>
      </w:r>
    </w:p>
    <w:p w14:paraId="2A114686" w14:textId="77777777" w:rsidR="0070442F" w:rsidRDefault="0070442F" w:rsidP="0070442F">
      <w:pPr>
        <w:rPr>
          <w:color w:val="000000"/>
        </w:rPr>
      </w:pPr>
      <w:bookmarkStart w:id="2" w:name="_Hlk494978594"/>
      <w:r>
        <w:rPr>
          <w:color w:val="000000"/>
        </w:rPr>
        <w:t xml:space="preserve">The NSW Environment Protection Authority (EPA) is the </w:t>
      </w:r>
      <w:proofErr w:type="gramStart"/>
      <w:r>
        <w:rPr>
          <w:color w:val="000000"/>
        </w:rPr>
        <w:t>state‘</w:t>
      </w:r>
      <w:proofErr w:type="gramEnd"/>
      <w:r>
        <w:rPr>
          <w:color w:val="000000"/>
        </w:rPr>
        <w:t xml:space="preserve">s primary environmental regulator. We work to protect our community and the environment as a leader, partner and protector. Our vision is for New South Wales to have a healthy environment, healthy community and healthy business. We believe healthy ecosystems are the foundation for healthy communities, a healthy economy and for enhancing </w:t>
      </w:r>
      <w:proofErr w:type="spellStart"/>
      <w:r>
        <w:rPr>
          <w:color w:val="000000"/>
        </w:rPr>
        <w:t>Iiveability</w:t>
      </w:r>
      <w:proofErr w:type="spellEnd"/>
      <w:r>
        <w:rPr>
          <w:color w:val="000000"/>
        </w:rPr>
        <w:t>.</w:t>
      </w:r>
    </w:p>
    <w:p w14:paraId="73CB50FA" w14:textId="77777777" w:rsidR="0070442F" w:rsidRDefault="0070442F" w:rsidP="0070442F">
      <w:pPr>
        <w:rPr>
          <w:color w:val="000000"/>
        </w:rPr>
      </w:pPr>
      <w:r>
        <w:rPr>
          <w:color w:val="000000"/>
        </w:rPr>
        <w:t>We lead in protecting our air, waterways, land and the health of the community for the future.</w:t>
      </w:r>
    </w:p>
    <w:p w14:paraId="59EE7FE7" w14:textId="77777777" w:rsidR="0070442F" w:rsidRDefault="0070442F" w:rsidP="0070442F">
      <w:pPr>
        <w:rPr>
          <w:color w:val="000000"/>
        </w:rPr>
      </w:pPr>
      <w:r>
        <w:rPr>
          <w:color w:val="000000"/>
        </w:rPr>
        <w:t>We work with communities, government and business to reduce our impact on the environment.</w:t>
      </w:r>
    </w:p>
    <w:p w14:paraId="2DADAF24" w14:textId="77777777" w:rsidR="0070442F" w:rsidRDefault="0070442F" w:rsidP="0070442F">
      <w:pPr>
        <w:rPr>
          <w:color w:val="000000"/>
        </w:rPr>
      </w:pPr>
      <w:r>
        <w:rPr>
          <w:color w:val="000000"/>
        </w:rPr>
        <w:t xml:space="preserve">We hold people and </w:t>
      </w:r>
      <w:proofErr w:type="spellStart"/>
      <w:r>
        <w:rPr>
          <w:color w:val="000000"/>
        </w:rPr>
        <w:t>organisations</w:t>
      </w:r>
      <w:proofErr w:type="spellEnd"/>
      <w:r>
        <w:rPr>
          <w:color w:val="000000"/>
        </w:rPr>
        <w:t xml:space="preserve"> to account through licensing, monitoring, regulation and enforcement.</w:t>
      </w:r>
    </w:p>
    <w:p w14:paraId="7B24B2F8" w14:textId="77777777" w:rsidR="00037FD5" w:rsidRPr="00614552" w:rsidRDefault="00037FD5" w:rsidP="006A2280">
      <w:pPr>
        <w:tabs>
          <w:tab w:val="left" w:pos="2925"/>
        </w:tabs>
        <w:rPr>
          <w:rStyle w:val="Heading1Char"/>
        </w:rPr>
      </w:pPr>
      <w:r w:rsidRPr="00614552">
        <w:rPr>
          <w:rStyle w:val="Heading1Char"/>
        </w:rPr>
        <w:t>Primary purpose of the role</w:t>
      </w:r>
    </w:p>
    <w:p w14:paraId="49F2CB74" w14:textId="77777777" w:rsidR="0013413E" w:rsidRDefault="00A0489F" w:rsidP="006A2280">
      <w:pPr>
        <w:tabs>
          <w:tab w:val="left" w:pos="2925"/>
        </w:tabs>
        <w:rPr>
          <w:rFonts w:ascii="Georgia" w:hAnsi="Georgia"/>
        </w:rPr>
      </w:pPr>
      <w:r>
        <w:rPr>
          <w:rFonts w:cs="Arial"/>
        </w:rPr>
        <w:t>The</w:t>
      </w:r>
      <w:r w:rsidR="00D95AF3">
        <w:rPr>
          <w:rFonts w:cs="Arial"/>
        </w:rPr>
        <w:t xml:space="preserve"> </w:t>
      </w:r>
      <w:r>
        <w:rPr>
          <w:rFonts w:cs="Arial"/>
        </w:rPr>
        <w:t xml:space="preserve">Analyst (Intelligence) </w:t>
      </w:r>
      <w:r w:rsidR="004063EA">
        <w:rPr>
          <w:rFonts w:cs="Arial"/>
        </w:rPr>
        <w:t>p</w:t>
      </w:r>
      <w:r w:rsidR="00037FD5" w:rsidRPr="00614552">
        <w:rPr>
          <w:rFonts w:cs="Arial"/>
        </w:rPr>
        <w:t>rovi</w:t>
      </w:r>
      <w:r w:rsidR="00E6166E">
        <w:rPr>
          <w:rFonts w:cs="Arial"/>
        </w:rPr>
        <w:t>des</w:t>
      </w:r>
      <w:r>
        <w:rPr>
          <w:rFonts w:cs="Arial"/>
        </w:rPr>
        <w:t xml:space="preserve"> </w:t>
      </w:r>
      <w:r w:rsidR="00037FD5" w:rsidRPr="00614552">
        <w:rPr>
          <w:rFonts w:cs="Arial"/>
        </w:rPr>
        <w:t>high quality</w:t>
      </w:r>
      <w:r w:rsidR="006421F5">
        <w:rPr>
          <w:rFonts w:cs="Arial"/>
        </w:rPr>
        <w:t xml:space="preserve"> intelligence </w:t>
      </w:r>
      <w:r w:rsidR="00254D9F">
        <w:rPr>
          <w:rFonts w:cs="Arial"/>
        </w:rPr>
        <w:t>and analys</w:t>
      </w:r>
      <w:r w:rsidR="00363301">
        <w:rPr>
          <w:rFonts w:cs="Arial"/>
        </w:rPr>
        <w:t>e</w:t>
      </w:r>
      <w:r w:rsidR="00254D9F">
        <w:rPr>
          <w:rFonts w:cs="Arial"/>
        </w:rPr>
        <w:t xml:space="preserve">s </w:t>
      </w:r>
      <w:r w:rsidR="00037FD5" w:rsidRPr="00614552">
        <w:rPr>
          <w:rFonts w:cs="Arial"/>
        </w:rPr>
        <w:t>to the EPA t</w:t>
      </w:r>
      <w:r>
        <w:rPr>
          <w:rFonts w:cs="Arial"/>
        </w:rPr>
        <w:t xml:space="preserve">o inform strategic, operational and tactical planning and operations. </w:t>
      </w:r>
    </w:p>
    <w:p w14:paraId="0274089F" w14:textId="77777777" w:rsidR="00F339CD" w:rsidRDefault="00F339CD" w:rsidP="00614552">
      <w:pPr>
        <w:pStyle w:val="Heading1"/>
      </w:pPr>
      <w:r w:rsidRPr="00A14A03">
        <w:t>Key accountabilities</w:t>
      </w:r>
    </w:p>
    <w:p w14:paraId="387B6952" w14:textId="77777777" w:rsidR="007C5BDC" w:rsidRPr="00A5293F" w:rsidRDefault="007C5BDC" w:rsidP="007C5BDC">
      <w:pPr>
        <w:pStyle w:val="ListParagraph"/>
        <w:numPr>
          <w:ilvl w:val="0"/>
          <w:numId w:val="3"/>
        </w:numPr>
        <w:tabs>
          <w:tab w:val="left" w:pos="2925"/>
        </w:tabs>
        <w:rPr>
          <w:rFonts w:cs="Arial"/>
        </w:rPr>
      </w:pPr>
      <w:r>
        <w:rPr>
          <w:rFonts w:cs="Arial"/>
        </w:rPr>
        <w:t>Collect, identify and assess information to produce intelligence.</w:t>
      </w:r>
    </w:p>
    <w:p w14:paraId="7184330C" w14:textId="77777777" w:rsidR="0079692C" w:rsidRPr="00146459" w:rsidRDefault="0079692C" w:rsidP="00C8340E">
      <w:pPr>
        <w:pStyle w:val="ListParagraph"/>
        <w:numPr>
          <w:ilvl w:val="0"/>
          <w:numId w:val="3"/>
        </w:numPr>
        <w:tabs>
          <w:tab w:val="left" w:pos="2925"/>
        </w:tabs>
        <w:rPr>
          <w:rFonts w:ascii="Georgia" w:hAnsi="Georgia"/>
        </w:rPr>
      </w:pPr>
      <w:r w:rsidRPr="00C8340E">
        <w:rPr>
          <w:rFonts w:cs="Arial"/>
        </w:rPr>
        <w:t xml:space="preserve">Work with key stakeholders to define </w:t>
      </w:r>
      <w:r w:rsidR="00554E64" w:rsidRPr="00C8340E">
        <w:rPr>
          <w:rFonts w:cs="Arial"/>
        </w:rPr>
        <w:t xml:space="preserve">intelligence </w:t>
      </w:r>
      <w:r w:rsidRPr="00C8340E">
        <w:rPr>
          <w:rFonts w:cs="Arial"/>
        </w:rPr>
        <w:t xml:space="preserve">requirements and </w:t>
      </w:r>
      <w:r w:rsidR="00446481" w:rsidRPr="00C8340E">
        <w:rPr>
          <w:rFonts w:cs="Arial"/>
        </w:rPr>
        <w:t xml:space="preserve">identify </w:t>
      </w:r>
      <w:r w:rsidRPr="007C5BDC">
        <w:rPr>
          <w:rFonts w:cs="Arial"/>
        </w:rPr>
        <w:t>trends to enable informed decision</w:t>
      </w:r>
      <w:r w:rsidR="00554E64" w:rsidRPr="007C5BDC">
        <w:rPr>
          <w:rFonts w:cs="Arial"/>
        </w:rPr>
        <w:t xml:space="preserve"> making</w:t>
      </w:r>
      <w:r w:rsidR="00446481" w:rsidRPr="007C5BDC">
        <w:rPr>
          <w:rFonts w:cs="Arial"/>
        </w:rPr>
        <w:t>.</w:t>
      </w:r>
    </w:p>
    <w:p w14:paraId="77A75668" w14:textId="77777777" w:rsidR="006421F5" w:rsidRPr="006421F5" w:rsidRDefault="003F42BD" w:rsidP="00F339CD">
      <w:pPr>
        <w:pStyle w:val="ListParagraph"/>
        <w:numPr>
          <w:ilvl w:val="0"/>
          <w:numId w:val="3"/>
        </w:numPr>
        <w:tabs>
          <w:tab w:val="left" w:pos="2925"/>
        </w:tabs>
        <w:rPr>
          <w:rFonts w:ascii="Georgia" w:hAnsi="Georgia"/>
        </w:rPr>
      </w:pPr>
      <w:r>
        <w:rPr>
          <w:rFonts w:cs="Arial"/>
        </w:rPr>
        <w:t>Produce accurate written intelligence products which inform and support tactical, operational and strategic decision making, including high quality complex r</w:t>
      </w:r>
      <w:r w:rsidRPr="006421F5">
        <w:rPr>
          <w:rFonts w:cs="Arial"/>
        </w:rPr>
        <w:t>eports</w:t>
      </w:r>
      <w:r>
        <w:rPr>
          <w:rFonts w:cs="Arial"/>
        </w:rPr>
        <w:t>, summary reviews, correspondence and submissions.</w:t>
      </w:r>
    </w:p>
    <w:p w14:paraId="69AAC825" w14:textId="77777777" w:rsidR="003F42BD" w:rsidRPr="00A5293F" w:rsidRDefault="003F42BD" w:rsidP="006421F5">
      <w:pPr>
        <w:pStyle w:val="ListParagraph"/>
        <w:numPr>
          <w:ilvl w:val="0"/>
          <w:numId w:val="3"/>
        </w:numPr>
        <w:tabs>
          <w:tab w:val="left" w:pos="2925"/>
        </w:tabs>
        <w:rPr>
          <w:rFonts w:cs="Arial"/>
        </w:rPr>
      </w:pPr>
      <w:r w:rsidRPr="00146459">
        <w:rPr>
          <w:rFonts w:cs="Arial"/>
        </w:rPr>
        <w:t>Conduct, attend or assist with verbal intelligence briefings, presentations and meetings to influence decision making and inform stakeholders.</w:t>
      </w:r>
    </w:p>
    <w:p w14:paraId="57CD10BA" w14:textId="77777777" w:rsidR="007C5BDC" w:rsidRPr="00146459" w:rsidRDefault="007C5BDC" w:rsidP="006421F5">
      <w:pPr>
        <w:pStyle w:val="ListParagraph"/>
        <w:numPr>
          <w:ilvl w:val="0"/>
          <w:numId w:val="3"/>
        </w:numPr>
        <w:tabs>
          <w:tab w:val="left" w:pos="2925"/>
        </w:tabs>
        <w:rPr>
          <w:rFonts w:ascii="Georgia" w:hAnsi="Georgia"/>
        </w:rPr>
      </w:pPr>
      <w:r>
        <w:rPr>
          <w:rFonts w:cs="Arial"/>
        </w:rPr>
        <w:t>Establish, develop and maintain effective professional relationships with key stakeholders to support collaboration, the exchange of information and issues management.</w:t>
      </w:r>
    </w:p>
    <w:p w14:paraId="71078EE0" w14:textId="77777777" w:rsidR="003F42BD" w:rsidRPr="00835745" w:rsidRDefault="003F42BD" w:rsidP="006421F5">
      <w:pPr>
        <w:pStyle w:val="ListParagraph"/>
        <w:numPr>
          <w:ilvl w:val="0"/>
          <w:numId w:val="3"/>
        </w:numPr>
        <w:tabs>
          <w:tab w:val="left" w:pos="2925"/>
        </w:tabs>
        <w:rPr>
          <w:rFonts w:ascii="Georgia" w:hAnsi="Georgia"/>
        </w:rPr>
      </w:pPr>
      <w:r>
        <w:rPr>
          <w:rFonts w:cs="Arial"/>
        </w:rPr>
        <w:lastRenderedPageBreak/>
        <w:t>Assist in the development of intelligence practices to meet the EPA’s objectives.</w:t>
      </w:r>
    </w:p>
    <w:p w14:paraId="4A012960" w14:textId="77777777" w:rsidR="00835745" w:rsidRPr="006421F5" w:rsidRDefault="00835745" w:rsidP="00835745">
      <w:pPr>
        <w:pStyle w:val="ListParagraph"/>
        <w:tabs>
          <w:tab w:val="left" w:pos="2925"/>
        </w:tabs>
        <w:rPr>
          <w:rFonts w:ascii="Georgia" w:hAnsi="Georgia"/>
        </w:rPr>
      </w:pPr>
    </w:p>
    <w:p w14:paraId="299D2769" w14:textId="77777777" w:rsidR="001D097C" w:rsidRPr="00614552" w:rsidRDefault="001D097C" w:rsidP="006A2280">
      <w:pPr>
        <w:tabs>
          <w:tab w:val="left" w:pos="2925"/>
        </w:tabs>
        <w:rPr>
          <w:rStyle w:val="Heading1Char"/>
        </w:rPr>
      </w:pPr>
      <w:r w:rsidRPr="00614552">
        <w:rPr>
          <w:rStyle w:val="Heading1Char"/>
        </w:rPr>
        <w:t>Key challenges</w:t>
      </w:r>
    </w:p>
    <w:p w14:paraId="0CFDB154" w14:textId="77777777" w:rsidR="006421F5" w:rsidRPr="006421F5" w:rsidRDefault="007241B1" w:rsidP="006421F5">
      <w:pPr>
        <w:pStyle w:val="ListParagraph"/>
        <w:numPr>
          <w:ilvl w:val="0"/>
          <w:numId w:val="3"/>
        </w:numPr>
        <w:tabs>
          <w:tab w:val="left" w:pos="2925"/>
        </w:tabs>
        <w:rPr>
          <w:rFonts w:ascii="Georgia" w:hAnsi="Georgia"/>
        </w:rPr>
      </w:pPr>
      <w:r>
        <w:rPr>
          <w:rFonts w:cs="Arial"/>
        </w:rPr>
        <w:t>Evaluate</w:t>
      </w:r>
      <w:r w:rsidR="009575C3">
        <w:rPr>
          <w:rFonts w:cs="Arial"/>
        </w:rPr>
        <w:t xml:space="preserve"> multiple large data sources/formats and formulat</w:t>
      </w:r>
      <w:r w:rsidR="005D7B85">
        <w:rPr>
          <w:rFonts w:cs="Arial"/>
        </w:rPr>
        <w:t>e</w:t>
      </w:r>
      <w:r w:rsidR="009575C3">
        <w:rPr>
          <w:rFonts w:cs="Arial"/>
        </w:rPr>
        <w:t xml:space="preserve"> into a concise product to inform decision makers. </w:t>
      </w:r>
    </w:p>
    <w:p w14:paraId="7B88903F" w14:textId="77777777" w:rsidR="0013413E" w:rsidRPr="00146459" w:rsidRDefault="00BC08DA" w:rsidP="006421F5">
      <w:pPr>
        <w:pStyle w:val="ListParagraph"/>
        <w:numPr>
          <w:ilvl w:val="0"/>
          <w:numId w:val="3"/>
        </w:numPr>
        <w:tabs>
          <w:tab w:val="left" w:pos="2925"/>
        </w:tabs>
        <w:rPr>
          <w:rFonts w:ascii="Georgia" w:hAnsi="Georgia"/>
        </w:rPr>
      </w:pPr>
      <w:r>
        <w:rPr>
          <w:rFonts w:cs="Arial"/>
        </w:rPr>
        <w:t>Apply and maintain effective research and analytical skills and consider all relevant information sources to meet the project needs and outcomes.</w:t>
      </w:r>
    </w:p>
    <w:p w14:paraId="4112AB96" w14:textId="77777777" w:rsidR="007C5BDC" w:rsidRPr="00C8340E" w:rsidRDefault="007C5BDC" w:rsidP="007C5BDC">
      <w:pPr>
        <w:pStyle w:val="ListParagraph"/>
        <w:numPr>
          <w:ilvl w:val="0"/>
          <w:numId w:val="3"/>
        </w:numPr>
        <w:tabs>
          <w:tab w:val="left" w:pos="2925"/>
        </w:tabs>
        <w:rPr>
          <w:rFonts w:cs="Arial"/>
        </w:rPr>
      </w:pPr>
      <w:r w:rsidRPr="00146459">
        <w:rPr>
          <w:rFonts w:cs="Arial"/>
        </w:rPr>
        <w:t xml:space="preserve">Effectively </w:t>
      </w:r>
      <w:r w:rsidRPr="00C8340E">
        <w:rPr>
          <w:rFonts w:cs="Arial"/>
        </w:rPr>
        <w:t xml:space="preserve">communicate intelligence products </w:t>
      </w:r>
      <w:r>
        <w:rPr>
          <w:rFonts w:cs="Arial"/>
        </w:rPr>
        <w:t>to decision makers.</w:t>
      </w:r>
    </w:p>
    <w:p w14:paraId="044D6626" w14:textId="77777777" w:rsidR="007C5BDC" w:rsidRPr="00146459" w:rsidRDefault="007C5BDC" w:rsidP="00C8340E">
      <w:pPr>
        <w:pStyle w:val="ListParagraph"/>
        <w:numPr>
          <w:ilvl w:val="0"/>
          <w:numId w:val="3"/>
        </w:numPr>
        <w:tabs>
          <w:tab w:val="left" w:pos="2925"/>
        </w:tabs>
        <w:rPr>
          <w:rFonts w:ascii="Georgia" w:hAnsi="Georgia"/>
        </w:rPr>
      </w:pPr>
      <w:r>
        <w:rPr>
          <w:rFonts w:cs="Arial"/>
        </w:rPr>
        <w:t>S</w:t>
      </w:r>
      <w:r w:rsidRPr="006421F5">
        <w:rPr>
          <w:rFonts w:cs="Arial"/>
        </w:rPr>
        <w:t>tay abreast of the work of policy/program areas and operational areas to ensure that the approaches of the intelligence and analysis unit remains consistent and complimentary as appropriate</w:t>
      </w:r>
      <w:r>
        <w:rPr>
          <w:rFonts w:cs="Arial"/>
        </w:rPr>
        <w:t xml:space="preserve">. </w:t>
      </w:r>
    </w:p>
    <w:p w14:paraId="28546C50"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4B829926"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9CC0EDB" w14:textId="77777777" w:rsidR="00BB532F" w:rsidRPr="00C978B9" w:rsidRDefault="00BB532F" w:rsidP="00BD7BA7">
            <w:pPr>
              <w:pStyle w:val="TableTextWhite0"/>
            </w:pPr>
            <w:r w:rsidRPr="00C978B9">
              <w:t>Who</w:t>
            </w:r>
          </w:p>
        </w:tc>
        <w:tc>
          <w:tcPr>
            <w:tcW w:w="6986" w:type="dxa"/>
          </w:tcPr>
          <w:p w14:paraId="3462C093" w14:textId="77777777" w:rsidR="00BB532F" w:rsidRPr="00C978B9" w:rsidRDefault="00022223" w:rsidP="00022223">
            <w:pPr>
              <w:pStyle w:val="TableTextWhite0"/>
            </w:pPr>
            <w:r>
              <w:t xml:space="preserve">       </w:t>
            </w:r>
            <w:r w:rsidR="00BB532F" w:rsidRPr="00C978B9">
              <w:t>Why</w:t>
            </w:r>
          </w:p>
        </w:tc>
      </w:tr>
      <w:tr w:rsidR="00BB532F" w:rsidRPr="00A8245E" w14:paraId="479AFBFD" w14:textId="77777777" w:rsidTr="00CE105E">
        <w:tc>
          <w:tcPr>
            <w:tcW w:w="3601" w:type="dxa"/>
            <w:shd w:val="clear" w:color="auto" w:fill="BCBEC0"/>
          </w:tcPr>
          <w:p w14:paraId="6C3A2729"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DFD405E" w14:textId="77777777" w:rsidR="00BB532F" w:rsidRPr="00A8245E" w:rsidRDefault="00BB532F" w:rsidP="00BD7BA7">
            <w:pPr>
              <w:pStyle w:val="TableText"/>
              <w:keepNext/>
              <w:rPr>
                <w:b/>
              </w:rPr>
            </w:pPr>
          </w:p>
        </w:tc>
      </w:tr>
      <w:tr w:rsidR="00BB532F" w:rsidRPr="00C978B9" w14:paraId="72F308E3" w14:textId="77777777" w:rsidTr="00CE105E">
        <w:tc>
          <w:tcPr>
            <w:tcW w:w="3601" w:type="dxa"/>
            <w:tcBorders>
              <w:top w:val="single" w:sz="8" w:space="0" w:color="auto"/>
              <w:bottom w:val="single" w:sz="8" w:space="0" w:color="BCBEC0"/>
            </w:tcBorders>
          </w:tcPr>
          <w:p w14:paraId="1FC1E856" w14:textId="77777777" w:rsidR="00BB532F" w:rsidRDefault="001336E8" w:rsidP="002B1F76">
            <w:pPr>
              <w:pStyle w:val="TableText"/>
            </w:pPr>
            <w:r>
              <w:t>Manager</w:t>
            </w:r>
          </w:p>
          <w:p w14:paraId="6CFAF365" w14:textId="77777777" w:rsidR="00C11CF0" w:rsidRDefault="00C11CF0" w:rsidP="002B1F76">
            <w:pPr>
              <w:pStyle w:val="TableText"/>
            </w:pPr>
          </w:p>
          <w:p w14:paraId="725866D2" w14:textId="77777777" w:rsidR="006421F5" w:rsidRDefault="006421F5" w:rsidP="002B1F76">
            <w:pPr>
              <w:pStyle w:val="TableText"/>
            </w:pPr>
            <w:r>
              <w:t>Team Members</w:t>
            </w:r>
          </w:p>
          <w:p w14:paraId="446D6D51" w14:textId="77777777" w:rsidR="00C11CF0" w:rsidRDefault="00C11CF0" w:rsidP="002B1F76">
            <w:pPr>
              <w:pStyle w:val="TableText"/>
            </w:pPr>
          </w:p>
          <w:p w14:paraId="35078CFA" w14:textId="77777777" w:rsidR="00C11CF0" w:rsidRDefault="00C11CF0" w:rsidP="002B1F76">
            <w:pPr>
              <w:pStyle w:val="TableText"/>
            </w:pPr>
          </w:p>
          <w:p w14:paraId="7DB81068" w14:textId="77777777" w:rsidR="00C11CF0" w:rsidRDefault="00C11CF0" w:rsidP="002B1F76">
            <w:pPr>
              <w:pStyle w:val="TableText"/>
            </w:pPr>
          </w:p>
          <w:p w14:paraId="195A71D3" w14:textId="77777777" w:rsidR="006421F5" w:rsidRPr="00A15CDB" w:rsidRDefault="006421F5" w:rsidP="002B1F76">
            <w:pPr>
              <w:pStyle w:val="TableText"/>
            </w:pPr>
            <w:r>
              <w:t>EPA Staff</w:t>
            </w:r>
          </w:p>
        </w:tc>
        <w:tc>
          <w:tcPr>
            <w:tcW w:w="6986" w:type="dxa"/>
            <w:tcBorders>
              <w:top w:val="single" w:sz="8" w:space="0" w:color="auto"/>
              <w:bottom w:val="single" w:sz="8" w:space="0" w:color="BCBEC0"/>
            </w:tcBorders>
          </w:tcPr>
          <w:p w14:paraId="3DCD71DC" w14:textId="77777777" w:rsidR="00C11CF0" w:rsidRDefault="00C11CF0" w:rsidP="00022223">
            <w:pPr>
              <w:pStyle w:val="TableText"/>
              <w:numPr>
                <w:ilvl w:val="0"/>
                <w:numId w:val="3"/>
              </w:numPr>
            </w:pPr>
            <w:r>
              <w:t>Escalate issues, keep informed, advise and receive instructions</w:t>
            </w:r>
          </w:p>
          <w:p w14:paraId="0D95E655" w14:textId="77777777" w:rsidR="00984C36" w:rsidRDefault="00984C36" w:rsidP="00022223">
            <w:pPr>
              <w:pStyle w:val="TableText"/>
              <w:numPr>
                <w:ilvl w:val="0"/>
                <w:numId w:val="3"/>
              </w:numPr>
            </w:pPr>
            <w:r>
              <w:t>Provide regular updates on key projects, issues and priorities</w:t>
            </w:r>
          </w:p>
          <w:p w14:paraId="4AB20373" w14:textId="77777777" w:rsidR="00BB532F" w:rsidRDefault="00C11CF0" w:rsidP="00022223">
            <w:pPr>
              <w:pStyle w:val="TableText"/>
              <w:numPr>
                <w:ilvl w:val="0"/>
                <w:numId w:val="3"/>
              </w:numPr>
            </w:pPr>
            <w:r>
              <w:t>Receive</w:t>
            </w:r>
            <w:r w:rsidR="001336E8">
              <w:t xml:space="preserve"> guidance and support, consult and provide advice</w:t>
            </w:r>
          </w:p>
          <w:p w14:paraId="2A3B31F0" w14:textId="77777777" w:rsidR="00C11CF0" w:rsidRDefault="00C11CF0" w:rsidP="00022223">
            <w:pPr>
              <w:pStyle w:val="TableText"/>
              <w:numPr>
                <w:ilvl w:val="0"/>
                <w:numId w:val="3"/>
              </w:numPr>
            </w:pPr>
            <w:r>
              <w:t>Support team, work c</w:t>
            </w:r>
            <w:r w:rsidR="006421F5">
              <w:t>ollaborat</w:t>
            </w:r>
            <w:r>
              <w:t xml:space="preserve">ively to contribute to achieving the </w:t>
            </w:r>
            <w:proofErr w:type="gramStart"/>
            <w:r>
              <w:t>teams</w:t>
            </w:r>
            <w:proofErr w:type="gramEnd"/>
            <w:r>
              <w:t xml:space="preserve"> outcomes</w:t>
            </w:r>
          </w:p>
          <w:p w14:paraId="3BF791E4" w14:textId="77777777" w:rsidR="006421F5" w:rsidRDefault="00C11CF0" w:rsidP="00022223">
            <w:pPr>
              <w:pStyle w:val="TableText"/>
              <w:numPr>
                <w:ilvl w:val="0"/>
                <w:numId w:val="3"/>
              </w:numPr>
            </w:pPr>
            <w:r>
              <w:t>Participate in meeting</w:t>
            </w:r>
            <w:r w:rsidR="00043F73">
              <w:t>s</w:t>
            </w:r>
            <w:r>
              <w:t xml:space="preserve"> to represent work group</w:t>
            </w:r>
            <w:r w:rsidR="00E6166E">
              <w:t>’</w:t>
            </w:r>
            <w:r>
              <w:t xml:space="preserve">s perspective and share </w:t>
            </w:r>
            <w:r w:rsidR="006421F5">
              <w:t>information</w:t>
            </w:r>
          </w:p>
          <w:p w14:paraId="23A4992B" w14:textId="77777777" w:rsidR="00C11CF0" w:rsidRDefault="00C11CF0" w:rsidP="00022223">
            <w:pPr>
              <w:pStyle w:val="TableText"/>
              <w:numPr>
                <w:ilvl w:val="0"/>
                <w:numId w:val="3"/>
              </w:numPr>
            </w:pPr>
            <w:r>
              <w:t>Resolve issues and provide solutions to problems</w:t>
            </w:r>
          </w:p>
          <w:p w14:paraId="7C94C914" w14:textId="77777777" w:rsidR="006421F5" w:rsidRPr="00A15CDB" w:rsidRDefault="00C11CF0" w:rsidP="00A5293F">
            <w:pPr>
              <w:pStyle w:val="TableText"/>
              <w:numPr>
                <w:ilvl w:val="0"/>
                <w:numId w:val="3"/>
              </w:numPr>
            </w:pPr>
            <w:r>
              <w:t>Provide</w:t>
            </w:r>
            <w:r w:rsidR="001F269A">
              <w:t xml:space="preserve"> briefings, intelligence products and</w:t>
            </w:r>
            <w:r>
              <w:t xml:space="preserve"> advice</w:t>
            </w:r>
          </w:p>
        </w:tc>
      </w:tr>
      <w:tr w:rsidR="00BB532F" w:rsidRPr="00A8245E" w14:paraId="5E7841A2" w14:textId="77777777" w:rsidTr="00CE105E">
        <w:tc>
          <w:tcPr>
            <w:tcW w:w="3601" w:type="dxa"/>
            <w:shd w:val="clear" w:color="auto" w:fill="BCBEC0"/>
          </w:tcPr>
          <w:p w14:paraId="70A8D9C8"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18B7CE76" w14:textId="77777777" w:rsidR="00BB532F" w:rsidRPr="00A8245E" w:rsidRDefault="00BB532F" w:rsidP="00BD7BA7">
            <w:pPr>
              <w:pStyle w:val="TableText"/>
              <w:keepNext/>
              <w:rPr>
                <w:b/>
              </w:rPr>
            </w:pPr>
          </w:p>
        </w:tc>
      </w:tr>
      <w:tr w:rsidR="00BB532F" w:rsidRPr="00C978B9" w14:paraId="171D1BFF" w14:textId="77777777" w:rsidTr="00CE105E">
        <w:tc>
          <w:tcPr>
            <w:tcW w:w="3601" w:type="dxa"/>
            <w:tcBorders>
              <w:top w:val="single" w:sz="8" w:space="0" w:color="auto"/>
              <w:bottom w:val="single" w:sz="8" w:space="0" w:color="BCBEC0"/>
            </w:tcBorders>
          </w:tcPr>
          <w:p w14:paraId="467AC99B" w14:textId="77777777" w:rsidR="00BB532F" w:rsidRDefault="001336E8" w:rsidP="002B1F76">
            <w:pPr>
              <w:pStyle w:val="TableText"/>
            </w:pPr>
            <w:r>
              <w:t>Stakeholders</w:t>
            </w:r>
            <w:r w:rsidR="00984C36">
              <w:t xml:space="preserve"> including law enforcement intelligence agencies</w:t>
            </w:r>
          </w:p>
          <w:p w14:paraId="6F950C68" w14:textId="77777777" w:rsidR="006421F5" w:rsidRPr="00A15CDB" w:rsidRDefault="006421F5" w:rsidP="002B1F76">
            <w:pPr>
              <w:pStyle w:val="TableText"/>
            </w:pPr>
          </w:p>
        </w:tc>
        <w:tc>
          <w:tcPr>
            <w:tcW w:w="6986" w:type="dxa"/>
            <w:tcBorders>
              <w:top w:val="single" w:sz="8" w:space="0" w:color="auto"/>
              <w:bottom w:val="single" w:sz="8" w:space="0" w:color="BCBEC0"/>
            </w:tcBorders>
          </w:tcPr>
          <w:p w14:paraId="4409EE76" w14:textId="77777777" w:rsidR="00C11CF0" w:rsidRDefault="00984C36" w:rsidP="00022223">
            <w:pPr>
              <w:pStyle w:val="TableText"/>
              <w:numPr>
                <w:ilvl w:val="0"/>
                <w:numId w:val="3"/>
              </w:numPr>
            </w:pPr>
            <w:r>
              <w:t>Foster and maintain relationships and information sharing</w:t>
            </w:r>
          </w:p>
          <w:p w14:paraId="4C0E084C" w14:textId="77777777" w:rsidR="00C11CF0" w:rsidRDefault="00C11CF0" w:rsidP="00022223">
            <w:pPr>
              <w:pStyle w:val="TableText"/>
              <w:numPr>
                <w:ilvl w:val="0"/>
                <w:numId w:val="3"/>
              </w:numPr>
            </w:pPr>
            <w:r>
              <w:t>Contribute to the development of appropriate communication strategies and plans to share intelligence</w:t>
            </w:r>
          </w:p>
          <w:p w14:paraId="516126DF" w14:textId="77777777" w:rsidR="006421F5" w:rsidRPr="00A15CDB" w:rsidRDefault="00984C36" w:rsidP="00022223">
            <w:pPr>
              <w:pStyle w:val="TableText"/>
              <w:numPr>
                <w:ilvl w:val="0"/>
                <w:numId w:val="3"/>
              </w:numPr>
            </w:pPr>
            <w:r>
              <w:t>Raise cross jurisdictional issues</w:t>
            </w:r>
          </w:p>
        </w:tc>
      </w:tr>
    </w:tbl>
    <w:p w14:paraId="52C7B717" w14:textId="77777777" w:rsidR="00BB532F" w:rsidRDefault="00BB532F"/>
    <w:p w14:paraId="52C7C2B3" w14:textId="77777777" w:rsidR="00603D53" w:rsidRDefault="00603D53" w:rsidP="00614552">
      <w:pPr>
        <w:pStyle w:val="Heading1"/>
        <w:rPr>
          <w:sz w:val="28"/>
        </w:rPr>
      </w:pPr>
      <w:r w:rsidRPr="00614552">
        <w:t>Role dimensions</w:t>
      </w:r>
    </w:p>
    <w:p w14:paraId="54852298" w14:textId="77777777" w:rsidR="00603D53" w:rsidRPr="00614552" w:rsidRDefault="00603D53" w:rsidP="00614552">
      <w:pPr>
        <w:pStyle w:val="Heading2"/>
      </w:pPr>
      <w:r w:rsidRPr="00614552">
        <w:t>Decision making</w:t>
      </w:r>
    </w:p>
    <w:p w14:paraId="128D0BB2" w14:textId="77777777" w:rsidR="00603D53" w:rsidRPr="00603D53" w:rsidRDefault="00603D53">
      <w:pPr>
        <w:rPr>
          <w:rFonts w:cs="Arial"/>
          <w:szCs w:val="26"/>
        </w:rPr>
      </w:pPr>
      <w:r w:rsidRPr="00603D53">
        <w:rPr>
          <w:rFonts w:cs="Arial"/>
          <w:szCs w:val="26"/>
        </w:rPr>
        <w:t xml:space="preserve">The role </w:t>
      </w:r>
      <w:r w:rsidR="00BC08DA">
        <w:rPr>
          <w:rFonts w:cs="Arial"/>
          <w:szCs w:val="26"/>
        </w:rPr>
        <w:t>works under broad supervision/direction to</w:t>
      </w:r>
      <w:r w:rsidR="00984C36">
        <w:rPr>
          <w:rFonts w:cs="Arial"/>
          <w:szCs w:val="26"/>
        </w:rPr>
        <w:t xml:space="preserve"> provide</w:t>
      </w:r>
      <w:r w:rsidR="00140A8C">
        <w:rPr>
          <w:rFonts w:cs="Arial"/>
          <w:szCs w:val="26"/>
        </w:rPr>
        <w:t xml:space="preserve"> analyses and advice to support decision making within the EPA.</w:t>
      </w:r>
      <w:r w:rsidR="00984C36">
        <w:rPr>
          <w:rFonts w:cs="Arial"/>
          <w:szCs w:val="26"/>
        </w:rPr>
        <w:t xml:space="preserve"> </w:t>
      </w:r>
      <w:r w:rsidRPr="00603D53">
        <w:rPr>
          <w:rFonts w:cs="Arial"/>
          <w:szCs w:val="26"/>
        </w:rPr>
        <w:t xml:space="preserve">The role makes </w:t>
      </w:r>
      <w:r w:rsidR="00984C36">
        <w:rPr>
          <w:rFonts w:cs="Arial"/>
          <w:szCs w:val="26"/>
        </w:rPr>
        <w:t xml:space="preserve">day to day </w:t>
      </w:r>
      <w:r w:rsidRPr="00603D53">
        <w:rPr>
          <w:rFonts w:cs="Arial"/>
          <w:szCs w:val="26"/>
        </w:rPr>
        <w:t xml:space="preserve">decisions </w:t>
      </w:r>
      <w:r w:rsidR="00984C36">
        <w:rPr>
          <w:rFonts w:cs="Arial"/>
          <w:szCs w:val="26"/>
        </w:rPr>
        <w:t xml:space="preserve">and </w:t>
      </w:r>
      <w:proofErr w:type="spellStart"/>
      <w:r w:rsidR="00984C36">
        <w:rPr>
          <w:rFonts w:cs="Arial"/>
          <w:szCs w:val="26"/>
        </w:rPr>
        <w:t>prioritis</w:t>
      </w:r>
      <w:r w:rsidR="008D799E">
        <w:rPr>
          <w:rFonts w:cs="Arial"/>
          <w:szCs w:val="26"/>
        </w:rPr>
        <w:t>es</w:t>
      </w:r>
      <w:proofErr w:type="spellEnd"/>
      <w:r w:rsidR="00984C36">
        <w:rPr>
          <w:rFonts w:cs="Arial"/>
          <w:szCs w:val="26"/>
        </w:rPr>
        <w:t xml:space="preserve"> workload to </w:t>
      </w:r>
      <w:r w:rsidRPr="00603D53">
        <w:rPr>
          <w:rFonts w:cs="Arial"/>
          <w:szCs w:val="26"/>
        </w:rPr>
        <w:t xml:space="preserve">deliver assigned </w:t>
      </w:r>
      <w:r w:rsidR="00BC08DA">
        <w:rPr>
          <w:rFonts w:cs="Arial"/>
          <w:szCs w:val="26"/>
        </w:rPr>
        <w:t>task</w:t>
      </w:r>
      <w:r w:rsidR="00984C36">
        <w:rPr>
          <w:rFonts w:cs="Arial"/>
          <w:szCs w:val="26"/>
        </w:rPr>
        <w:t>s</w:t>
      </w:r>
      <w:r w:rsidR="00BC08DA" w:rsidRPr="00603D53">
        <w:rPr>
          <w:rFonts w:cs="Arial"/>
          <w:szCs w:val="26"/>
        </w:rPr>
        <w:t xml:space="preserve"> </w:t>
      </w:r>
      <w:r w:rsidRPr="00603D53">
        <w:rPr>
          <w:rFonts w:cs="Arial"/>
          <w:szCs w:val="26"/>
        </w:rPr>
        <w:t>on time.</w:t>
      </w:r>
    </w:p>
    <w:p w14:paraId="48066369" w14:textId="77777777" w:rsidR="00603D53" w:rsidRPr="00614552" w:rsidRDefault="00603D53" w:rsidP="00614552">
      <w:pPr>
        <w:pStyle w:val="Heading2"/>
      </w:pPr>
      <w:r w:rsidRPr="00614552">
        <w:t>Reporting line</w:t>
      </w:r>
    </w:p>
    <w:p w14:paraId="38209261" w14:textId="77777777" w:rsidR="00603D53" w:rsidRPr="00603D53" w:rsidRDefault="008D799E">
      <w:pPr>
        <w:rPr>
          <w:rFonts w:cs="Arial"/>
          <w:szCs w:val="26"/>
        </w:rPr>
      </w:pPr>
      <w:r>
        <w:rPr>
          <w:rFonts w:cs="Arial"/>
          <w:szCs w:val="26"/>
        </w:rPr>
        <w:t>This role may report to the</w:t>
      </w:r>
      <w:r w:rsidR="00D6081A">
        <w:rPr>
          <w:rFonts w:cs="Arial"/>
          <w:szCs w:val="26"/>
        </w:rPr>
        <w:t xml:space="preserve"> </w:t>
      </w:r>
      <w:r w:rsidR="00603D53" w:rsidRPr="00603D53">
        <w:rPr>
          <w:rFonts w:cs="Arial"/>
          <w:szCs w:val="26"/>
        </w:rPr>
        <w:t>Manager Intelligence and Analysis</w:t>
      </w:r>
      <w:r>
        <w:rPr>
          <w:rFonts w:cs="Arial"/>
          <w:szCs w:val="26"/>
        </w:rPr>
        <w:t xml:space="preserve"> or Principal Investigator.</w:t>
      </w:r>
    </w:p>
    <w:p w14:paraId="549C67E8" w14:textId="77777777" w:rsidR="00603D53" w:rsidRPr="00614552" w:rsidRDefault="00603D53" w:rsidP="00614552">
      <w:pPr>
        <w:pStyle w:val="Heading2"/>
      </w:pPr>
      <w:r w:rsidRPr="00614552">
        <w:t>Direct reports</w:t>
      </w:r>
    </w:p>
    <w:p w14:paraId="0F4B12DD" w14:textId="77777777" w:rsidR="00603D53" w:rsidRPr="00603D53" w:rsidRDefault="00603D53">
      <w:pPr>
        <w:rPr>
          <w:rFonts w:cs="Arial"/>
          <w:szCs w:val="26"/>
        </w:rPr>
      </w:pPr>
      <w:r w:rsidRPr="00603D53">
        <w:rPr>
          <w:rFonts w:cs="Arial"/>
          <w:szCs w:val="26"/>
        </w:rPr>
        <w:t>Nil</w:t>
      </w:r>
    </w:p>
    <w:p w14:paraId="4E1F6B1F" w14:textId="77777777" w:rsidR="00603D53" w:rsidRPr="00614552" w:rsidRDefault="00603D53" w:rsidP="00614552">
      <w:pPr>
        <w:pStyle w:val="Heading2"/>
      </w:pPr>
      <w:r w:rsidRPr="00614552">
        <w:lastRenderedPageBreak/>
        <w:t>Budget/Expenditure</w:t>
      </w:r>
    </w:p>
    <w:p w14:paraId="265D5F00" w14:textId="77777777" w:rsidR="00603D53" w:rsidRPr="00603D53" w:rsidRDefault="00603D53">
      <w:pPr>
        <w:rPr>
          <w:rFonts w:cs="Arial"/>
          <w:szCs w:val="26"/>
        </w:rPr>
      </w:pPr>
      <w:r w:rsidRPr="00603D53">
        <w:rPr>
          <w:rFonts w:cs="Arial"/>
          <w:szCs w:val="26"/>
        </w:rPr>
        <w:t>Nil</w:t>
      </w:r>
    </w:p>
    <w:p w14:paraId="67125B90" w14:textId="77777777" w:rsidR="00205A8A" w:rsidRPr="00614552" w:rsidRDefault="00205A8A" w:rsidP="00205A8A">
      <w:pPr>
        <w:tabs>
          <w:tab w:val="left" w:pos="2925"/>
        </w:tabs>
        <w:rPr>
          <w:rStyle w:val="Heading1Char"/>
        </w:rPr>
      </w:pPr>
      <w:r w:rsidRPr="00614552">
        <w:rPr>
          <w:rStyle w:val="Heading1Char"/>
        </w:rPr>
        <w:t>Essential requirements</w:t>
      </w:r>
    </w:p>
    <w:p w14:paraId="464F97FA" w14:textId="77777777" w:rsidR="003F42BD" w:rsidRDefault="003F42BD" w:rsidP="00205A8A">
      <w:pPr>
        <w:tabs>
          <w:tab w:val="left" w:pos="2925"/>
        </w:tabs>
        <w:rPr>
          <w:rFonts w:cs="Arial"/>
        </w:rPr>
      </w:pPr>
      <w:r>
        <w:rPr>
          <w:rFonts w:cs="Arial"/>
        </w:rPr>
        <w:t>Knowledge and understanding of the intelligence cycle and ability to apply it to the issues faced by the NSW EPA.</w:t>
      </w:r>
    </w:p>
    <w:p w14:paraId="7686248A" w14:textId="77777777" w:rsidR="007C5BDC" w:rsidRDefault="007C5BDC" w:rsidP="00205A8A">
      <w:pPr>
        <w:tabs>
          <w:tab w:val="left" w:pos="2925"/>
        </w:tabs>
        <w:rPr>
          <w:rFonts w:cs="Arial"/>
        </w:rPr>
      </w:pPr>
      <w:r>
        <w:rPr>
          <w:rFonts w:cs="Arial"/>
        </w:rPr>
        <w:t>Understanding and</w:t>
      </w:r>
      <w:r w:rsidR="00EE07FB">
        <w:rPr>
          <w:rFonts w:cs="Arial"/>
        </w:rPr>
        <w:t xml:space="preserve"> extensive</w:t>
      </w:r>
      <w:r>
        <w:rPr>
          <w:rFonts w:cs="Arial"/>
        </w:rPr>
        <w:t xml:space="preserve"> experience of tactical and operational intelligence and ability to apply intelligence concepts.</w:t>
      </w:r>
    </w:p>
    <w:p w14:paraId="1334B05B" w14:textId="77777777" w:rsidR="007C5BDC" w:rsidRDefault="007C5BDC" w:rsidP="00205A8A">
      <w:pPr>
        <w:tabs>
          <w:tab w:val="left" w:pos="2925"/>
        </w:tabs>
        <w:rPr>
          <w:rFonts w:cs="Arial"/>
        </w:rPr>
      </w:pPr>
      <w:r>
        <w:rPr>
          <w:rFonts w:cs="Arial"/>
        </w:rPr>
        <w:t xml:space="preserve">Ability to prepare intelligence assessments and reports. </w:t>
      </w:r>
    </w:p>
    <w:p w14:paraId="675E4E06" w14:textId="77777777" w:rsidR="007C5BDC" w:rsidRDefault="00C8340E" w:rsidP="007C5BDC">
      <w:pPr>
        <w:tabs>
          <w:tab w:val="left" w:pos="2925"/>
        </w:tabs>
        <w:rPr>
          <w:rFonts w:cs="Arial"/>
        </w:rPr>
      </w:pPr>
      <w:r>
        <w:rPr>
          <w:rFonts w:cs="Arial"/>
        </w:rPr>
        <w:t>Knowledge</w:t>
      </w:r>
      <w:r w:rsidR="007C5BDC">
        <w:rPr>
          <w:rFonts w:cs="Arial"/>
        </w:rPr>
        <w:t xml:space="preserve"> of environmental protection policy and related legislation.</w:t>
      </w:r>
    </w:p>
    <w:bookmarkEnd w:id="2"/>
    <w:p w14:paraId="27E43A83" w14:textId="77777777" w:rsidR="00994DCE" w:rsidRPr="00C978B9" w:rsidRDefault="00994DCE" w:rsidP="00994DCE">
      <w:pPr>
        <w:pStyle w:val="Heading1"/>
      </w:pPr>
      <w:r w:rsidRPr="00C978B9">
        <w:t>Capabilities for the role</w:t>
      </w:r>
    </w:p>
    <w:p w14:paraId="79A57081"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9" w:history="1">
        <w:r w:rsidRPr="00325E9D">
          <w:rPr>
            <w:rStyle w:val="Hyperlink"/>
            <w:rFonts w:cs="Arial"/>
            <w:sz w:val="22"/>
          </w:rPr>
          <w:t>www.psc.nsw.gov.au/capabilityframework</w:t>
        </w:r>
      </w:hyperlink>
    </w:p>
    <w:p w14:paraId="5AD9F88D" w14:textId="77777777" w:rsidR="00994DCE" w:rsidRPr="00C978B9" w:rsidRDefault="00994DCE" w:rsidP="00994DCE">
      <w:pPr>
        <w:pStyle w:val="Heading2"/>
      </w:pPr>
      <w:r w:rsidRPr="00C978B9">
        <w:t xml:space="preserve">Capability </w:t>
      </w:r>
      <w:r>
        <w:t>s</w:t>
      </w:r>
      <w:r w:rsidRPr="00C978B9">
        <w:t>ummary</w:t>
      </w:r>
    </w:p>
    <w:p w14:paraId="77212471"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803E47" w14:paraId="429F4B38"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80007B" w14:textId="77777777" w:rsidR="00FD3076" w:rsidRPr="00803E47" w:rsidRDefault="00FD3076" w:rsidP="00FD3076">
            <w:pPr>
              <w:pStyle w:val="TableTextWhite0"/>
              <w:keepNext/>
            </w:pPr>
            <w:r>
              <w:t>NSW Public Sector Capability Framework</w:t>
            </w:r>
          </w:p>
        </w:tc>
      </w:tr>
      <w:tr w:rsidR="00FD3076" w:rsidRPr="00C978B9" w14:paraId="6CED9753"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741589B1"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79505025"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91F9D98" w14:textId="77777777" w:rsidR="00FD3076" w:rsidRPr="00C978B9" w:rsidRDefault="00FD3076" w:rsidP="00FD3076">
            <w:pPr>
              <w:pStyle w:val="TableText"/>
              <w:keepNext/>
              <w:rPr>
                <w:b/>
                <w:sz w:val="24"/>
                <w:szCs w:val="24"/>
              </w:rPr>
            </w:pPr>
            <w:r>
              <w:rPr>
                <w:b/>
              </w:rPr>
              <w:t>Level</w:t>
            </w:r>
          </w:p>
        </w:tc>
      </w:tr>
      <w:tr w:rsidR="00373737" w:rsidRPr="00C978B9" w14:paraId="6618BB90" w14:textId="77777777" w:rsidTr="00A41E4E">
        <w:tc>
          <w:tcPr>
            <w:tcW w:w="2042" w:type="dxa"/>
            <w:vMerge w:val="restart"/>
            <w:tcBorders>
              <w:top w:val="gems" w:sz="8" w:space="0" w:color="BCBEC0"/>
              <w:bottom w:val="single" w:sz="8" w:space="0" w:color="BCBEC0"/>
            </w:tcBorders>
            <w:vAlign w:val="center"/>
          </w:tcPr>
          <w:p w14:paraId="71D33373" w14:textId="77777777" w:rsidR="00373737" w:rsidRPr="00C978B9" w:rsidRDefault="00373737" w:rsidP="00131907">
            <w:pPr>
              <w:keepNext/>
            </w:pPr>
            <w:r w:rsidRPr="00C978B9">
              <w:rPr>
                <w:noProof/>
                <w:lang w:eastAsia="en-AU"/>
              </w:rPr>
              <w:drawing>
                <wp:inline distT="0" distB="0" distL="0" distR="0" wp14:anchorId="3C9BEAAE" wp14:editId="4486E7DB">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4E69BCFC" w14:textId="77777777" w:rsidR="00373737" w:rsidRPr="00610758" w:rsidRDefault="006B723B" w:rsidP="006B723B">
            <w:pPr>
              <w:pStyle w:val="TableText"/>
              <w:keepNext/>
              <w:rPr>
                <w:b/>
                <w:sz w:val="24"/>
                <w:szCs w:val="24"/>
              </w:rPr>
            </w:pPr>
            <w:r>
              <w:rPr>
                <w:b/>
              </w:rPr>
              <w:t>Display Resilience and Courage</w:t>
            </w:r>
          </w:p>
        </w:tc>
        <w:tc>
          <w:tcPr>
            <w:tcW w:w="3357" w:type="dxa"/>
            <w:tcBorders>
              <w:top w:val="gems" w:sz="8" w:space="0" w:color="BCBEC0"/>
              <w:bottom w:val="single" w:sz="8" w:space="0" w:color="BCBEC0"/>
            </w:tcBorders>
          </w:tcPr>
          <w:p w14:paraId="4983F347" w14:textId="77777777" w:rsidR="00373737" w:rsidRPr="00610758" w:rsidRDefault="00A50AE7" w:rsidP="006B723B">
            <w:pPr>
              <w:pStyle w:val="TableText"/>
              <w:keepNext/>
              <w:rPr>
                <w:b/>
              </w:rPr>
            </w:pPr>
            <w:r>
              <w:rPr>
                <w:b/>
              </w:rPr>
              <w:t>Intermediate</w:t>
            </w:r>
          </w:p>
        </w:tc>
      </w:tr>
      <w:tr w:rsidR="00373737" w:rsidRPr="00C978B9" w14:paraId="64E4394E" w14:textId="77777777" w:rsidTr="00A8686E">
        <w:tc>
          <w:tcPr>
            <w:tcW w:w="2042" w:type="dxa"/>
            <w:vMerge/>
            <w:tcBorders>
              <w:bottom w:val="single" w:sz="4" w:space="0" w:color="BCBEC0"/>
            </w:tcBorders>
          </w:tcPr>
          <w:p w14:paraId="5DE07C2C" w14:textId="77777777" w:rsidR="00373737" w:rsidRPr="00C978B9" w:rsidRDefault="00373737" w:rsidP="00131907">
            <w:pPr>
              <w:keepNext/>
            </w:pPr>
          </w:p>
        </w:tc>
        <w:tc>
          <w:tcPr>
            <w:tcW w:w="5458" w:type="dxa"/>
            <w:tcBorders>
              <w:bottom w:val="single" w:sz="4" w:space="0" w:color="BCBEC0"/>
            </w:tcBorders>
          </w:tcPr>
          <w:p w14:paraId="08087D4D" w14:textId="77777777" w:rsidR="00373737" w:rsidRPr="00610758" w:rsidRDefault="0001016C" w:rsidP="0001016C">
            <w:pPr>
              <w:pStyle w:val="TableText"/>
              <w:keepNext/>
              <w:rPr>
                <w:b/>
                <w:sz w:val="24"/>
                <w:szCs w:val="24"/>
              </w:rPr>
            </w:pPr>
            <w:r>
              <w:rPr>
                <w:b/>
              </w:rPr>
              <w:t>Act with Integrity</w:t>
            </w:r>
          </w:p>
        </w:tc>
        <w:tc>
          <w:tcPr>
            <w:tcW w:w="3357" w:type="dxa"/>
            <w:tcBorders>
              <w:bottom w:val="single" w:sz="4" w:space="0" w:color="BCBEC0"/>
            </w:tcBorders>
          </w:tcPr>
          <w:p w14:paraId="48BBBA3B" w14:textId="77777777" w:rsidR="00373737" w:rsidRPr="00610758" w:rsidRDefault="0001016C" w:rsidP="0001016C">
            <w:pPr>
              <w:pStyle w:val="TableText"/>
              <w:keepNext/>
              <w:rPr>
                <w:b/>
              </w:rPr>
            </w:pPr>
            <w:r>
              <w:rPr>
                <w:b/>
              </w:rPr>
              <w:t>Intermediate</w:t>
            </w:r>
          </w:p>
        </w:tc>
      </w:tr>
      <w:tr w:rsidR="00373737" w:rsidRPr="00C978B9" w14:paraId="7FF080C4" w14:textId="77777777" w:rsidTr="00A41E4E">
        <w:tc>
          <w:tcPr>
            <w:tcW w:w="2042" w:type="dxa"/>
            <w:vMerge/>
            <w:tcBorders>
              <w:top w:val="single" w:sz="8" w:space="0" w:color="BCBEC0"/>
            </w:tcBorders>
          </w:tcPr>
          <w:p w14:paraId="2277574E" w14:textId="77777777" w:rsidR="00373737" w:rsidRPr="00C978B9" w:rsidRDefault="00373737" w:rsidP="00131907">
            <w:pPr>
              <w:keepNext/>
            </w:pPr>
          </w:p>
        </w:tc>
        <w:tc>
          <w:tcPr>
            <w:tcW w:w="5458" w:type="dxa"/>
            <w:tcBorders>
              <w:top w:val="single" w:sz="8" w:space="0" w:color="BCBEC0"/>
            </w:tcBorders>
          </w:tcPr>
          <w:p w14:paraId="575D0960" w14:textId="77777777" w:rsidR="00373737" w:rsidRPr="00C978B9" w:rsidRDefault="006B723B" w:rsidP="006B723B">
            <w:pPr>
              <w:pStyle w:val="TableText"/>
              <w:keepNext/>
              <w:rPr>
                <w:sz w:val="24"/>
                <w:szCs w:val="24"/>
              </w:rPr>
            </w:pPr>
            <w:r>
              <w:t>Manage Self</w:t>
            </w:r>
          </w:p>
        </w:tc>
        <w:tc>
          <w:tcPr>
            <w:tcW w:w="3357" w:type="dxa"/>
            <w:tcBorders>
              <w:top w:val="single" w:sz="8" w:space="0" w:color="BCBEC0"/>
            </w:tcBorders>
          </w:tcPr>
          <w:p w14:paraId="273D9100" w14:textId="77777777" w:rsidR="00373737" w:rsidRPr="00A15CDB" w:rsidRDefault="006B723B" w:rsidP="006B723B">
            <w:pPr>
              <w:pStyle w:val="TableText"/>
              <w:keepNext/>
            </w:pPr>
            <w:r>
              <w:t>Adept</w:t>
            </w:r>
          </w:p>
        </w:tc>
      </w:tr>
      <w:tr w:rsidR="00373737" w:rsidRPr="00C978B9" w14:paraId="1DB52A3B" w14:textId="77777777" w:rsidTr="00A41E4E">
        <w:tc>
          <w:tcPr>
            <w:tcW w:w="2042" w:type="dxa"/>
            <w:vMerge/>
            <w:tcBorders>
              <w:top w:val="single" w:sz="8" w:space="0" w:color="BCBEC0"/>
            </w:tcBorders>
          </w:tcPr>
          <w:p w14:paraId="4888E241" w14:textId="77777777" w:rsidR="00373737" w:rsidRPr="00C978B9" w:rsidRDefault="00373737" w:rsidP="00131907">
            <w:pPr>
              <w:keepNext/>
            </w:pPr>
          </w:p>
        </w:tc>
        <w:tc>
          <w:tcPr>
            <w:tcW w:w="5458" w:type="dxa"/>
            <w:tcBorders>
              <w:top w:val="single" w:sz="8" w:space="0" w:color="BCBEC0"/>
            </w:tcBorders>
          </w:tcPr>
          <w:p w14:paraId="465CA59D"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6B4A553E" w14:textId="77777777" w:rsidR="00373737" w:rsidRPr="00A15CDB" w:rsidRDefault="006B723B" w:rsidP="006B723B">
            <w:pPr>
              <w:pStyle w:val="TableText"/>
              <w:keepNext/>
            </w:pPr>
            <w:r>
              <w:t>Intermediate</w:t>
            </w:r>
          </w:p>
        </w:tc>
      </w:tr>
      <w:tr w:rsidR="00373737" w:rsidRPr="00C978B9" w14:paraId="08D05460" w14:textId="77777777" w:rsidTr="00A41E4E">
        <w:tc>
          <w:tcPr>
            <w:tcW w:w="2042" w:type="dxa"/>
            <w:vMerge w:val="restart"/>
            <w:tcBorders>
              <w:top w:val="single" w:sz="12" w:space="0" w:color="auto"/>
              <w:bottom w:val="single" w:sz="8" w:space="0" w:color="BCBEC0"/>
            </w:tcBorders>
            <w:vAlign w:val="center"/>
          </w:tcPr>
          <w:p w14:paraId="4A21D2E7" w14:textId="77777777" w:rsidR="00373737" w:rsidRPr="00C978B9" w:rsidRDefault="00373737" w:rsidP="00131907">
            <w:pPr>
              <w:keepNext/>
            </w:pPr>
            <w:r w:rsidRPr="00C978B9">
              <w:rPr>
                <w:noProof/>
                <w:lang w:eastAsia="en-AU"/>
              </w:rPr>
              <w:drawing>
                <wp:inline distT="0" distB="0" distL="0" distR="0" wp14:anchorId="0679A3D0" wp14:editId="038E2195">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EA4CDF9" w14:textId="77777777"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637E8C11" w14:textId="77777777" w:rsidR="00373737" w:rsidRPr="00610758" w:rsidRDefault="00A50AE7" w:rsidP="006B723B">
            <w:pPr>
              <w:pStyle w:val="TableText"/>
              <w:keepNext/>
              <w:rPr>
                <w:b/>
              </w:rPr>
            </w:pPr>
            <w:r>
              <w:rPr>
                <w:b/>
              </w:rPr>
              <w:t>Adept</w:t>
            </w:r>
          </w:p>
        </w:tc>
      </w:tr>
      <w:tr w:rsidR="00373737" w:rsidRPr="00C978B9" w14:paraId="1757ED5F" w14:textId="77777777" w:rsidTr="00A41E4E">
        <w:tc>
          <w:tcPr>
            <w:tcW w:w="2042" w:type="dxa"/>
            <w:vMerge/>
            <w:tcBorders>
              <w:top w:val="single" w:sz="8" w:space="0" w:color="BCBEC0"/>
            </w:tcBorders>
          </w:tcPr>
          <w:p w14:paraId="3B41A571" w14:textId="77777777" w:rsidR="00373737" w:rsidRPr="00C978B9" w:rsidRDefault="00373737" w:rsidP="00131907">
            <w:pPr>
              <w:keepNext/>
            </w:pPr>
          </w:p>
        </w:tc>
        <w:tc>
          <w:tcPr>
            <w:tcW w:w="5458" w:type="dxa"/>
            <w:tcBorders>
              <w:top w:val="single" w:sz="8" w:space="0" w:color="BCBEC0"/>
            </w:tcBorders>
          </w:tcPr>
          <w:p w14:paraId="6074AD3A" w14:textId="77777777" w:rsidR="00373737" w:rsidRPr="00C978B9" w:rsidRDefault="006B723B" w:rsidP="006B723B">
            <w:pPr>
              <w:pStyle w:val="TableText"/>
              <w:keepNext/>
              <w:rPr>
                <w:sz w:val="24"/>
                <w:szCs w:val="24"/>
              </w:rPr>
            </w:pPr>
            <w:r>
              <w:t>Commit to Customer Service</w:t>
            </w:r>
          </w:p>
        </w:tc>
        <w:tc>
          <w:tcPr>
            <w:tcW w:w="3357" w:type="dxa"/>
            <w:tcBorders>
              <w:top w:val="single" w:sz="8" w:space="0" w:color="BCBEC0"/>
            </w:tcBorders>
          </w:tcPr>
          <w:p w14:paraId="7726675A" w14:textId="77777777" w:rsidR="00373737" w:rsidRPr="00A15CDB" w:rsidRDefault="00A50AE7" w:rsidP="006B723B">
            <w:pPr>
              <w:pStyle w:val="TableText"/>
              <w:keepNext/>
            </w:pPr>
            <w:r>
              <w:t>Intermediate</w:t>
            </w:r>
          </w:p>
        </w:tc>
      </w:tr>
      <w:tr w:rsidR="00373737" w:rsidRPr="00C978B9" w14:paraId="71039568" w14:textId="77777777" w:rsidTr="00A8686E">
        <w:tc>
          <w:tcPr>
            <w:tcW w:w="2042" w:type="dxa"/>
            <w:vMerge/>
            <w:tcBorders>
              <w:bottom w:val="single" w:sz="4" w:space="0" w:color="BCBEC0"/>
            </w:tcBorders>
          </w:tcPr>
          <w:p w14:paraId="233A0ACA" w14:textId="77777777" w:rsidR="00373737" w:rsidRPr="00C978B9" w:rsidRDefault="00373737" w:rsidP="00131907">
            <w:pPr>
              <w:keepNext/>
            </w:pPr>
          </w:p>
        </w:tc>
        <w:tc>
          <w:tcPr>
            <w:tcW w:w="5458" w:type="dxa"/>
            <w:tcBorders>
              <w:bottom w:val="single" w:sz="4" w:space="0" w:color="BCBEC0"/>
            </w:tcBorders>
          </w:tcPr>
          <w:p w14:paraId="04BCA07B" w14:textId="77777777" w:rsidR="00373737" w:rsidRPr="00610758" w:rsidRDefault="0001016C" w:rsidP="0001016C">
            <w:pPr>
              <w:pStyle w:val="TableText"/>
              <w:keepNext/>
              <w:rPr>
                <w:b/>
                <w:sz w:val="24"/>
                <w:szCs w:val="24"/>
              </w:rPr>
            </w:pPr>
            <w:r>
              <w:rPr>
                <w:b/>
              </w:rPr>
              <w:t>Work Collaboratively</w:t>
            </w:r>
          </w:p>
        </w:tc>
        <w:tc>
          <w:tcPr>
            <w:tcW w:w="3357" w:type="dxa"/>
            <w:tcBorders>
              <w:bottom w:val="single" w:sz="4" w:space="0" w:color="BCBEC0"/>
            </w:tcBorders>
          </w:tcPr>
          <w:p w14:paraId="536551E5" w14:textId="77777777" w:rsidR="00373737" w:rsidRPr="00610758" w:rsidRDefault="00EE07FB" w:rsidP="0001016C">
            <w:pPr>
              <w:pStyle w:val="TableText"/>
              <w:keepNext/>
              <w:rPr>
                <w:b/>
              </w:rPr>
            </w:pPr>
            <w:r>
              <w:rPr>
                <w:b/>
              </w:rPr>
              <w:t>Advanced</w:t>
            </w:r>
          </w:p>
        </w:tc>
      </w:tr>
      <w:tr w:rsidR="00373737" w:rsidRPr="00C978B9" w14:paraId="21B79D35" w14:textId="77777777" w:rsidTr="00A8686E">
        <w:tc>
          <w:tcPr>
            <w:tcW w:w="2042" w:type="dxa"/>
            <w:vMerge/>
            <w:tcBorders>
              <w:bottom w:val="single" w:sz="4" w:space="0" w:color="BCBEC0"/>
            </w:tcBorders>
          </w:tcPr>
          <w:p w14:paraId="3187A11B" w14:textId="77777777" w:rsidR="00373737" w:rsidRPr="00C978B9" w:rsidRDefault="00373737" w:rsidP="00131907">
            <w:pPr>
              <w:keepNext/>
            </w:pPr>
          </w:p>
        </w:tc>
        <w:tc>
          <w:tcPr>
            <w:tcW w:w="5458" w:type="dxa"/>
            <w:tcBorders>
              <w:bottom w:val="single" w:sz="4" w:space="0" w:color="BCBEC0"/>
            </w:tcBorders>
          </w:tcPr>
          <w:p w14:paraId="3B3C590F" w14:textId="77777777" w:rsidR="00373737" w:rsidRPr="00610758" w:rsidRDefault="0001016C" w:rsidP="0001016C">
            <w:pPr>
              <w:pStyle w:val="TableText"/>
              <w:keepNext/>
              <w:rPr>
                <w:b/>
                <w:sz w:val="24"/>
                <w:szCs w:val="24"/>
              </w:rPr>
            </w:pPr>
            <w:r>
              <w:rPr>
                <w:b/>
              </w:rPr>
              <w:t>Influence and Negotiate</w:t>
            </w:r>
          </w:p>
        </w:tc>
        <w:tc>
          <w:tcPr>
            <w:tcW w:w="3357" w:type="dxa"/>
            <w:tcBorders>
              <w:bottom w:val="single" w:sz="4" w:space="0" w:color="BCBEC0"/>
            </w:tcBorders>
          </w:tcPr>
          <w:p w14:paraId="15315C88" w14:textId="77777777" w:rsidR="00373737" w:rsidRPr="00610758" w:rsidRDefault="00A50AE7" w:rsidP="0001016C">
            <w:pPr>
              <w:pStyle w:val="TableText"/>
              <w:keepNext/>
              <w:rPr>
                <w:b/>
              </w:rPr>
            </w:pPr>
            <w:r>
              <w:rPr>
                <w:b/>
              </w:rPr>
              <w:t>Intermediate</w:t>
            </w:r>
          </w:p>
        </w:tc>
      </w:tr>
      <w:tr w:rsidR="00373737" w:rsidRPr="00C978B9" w14:paraId="02BD76B1" w14:textId="77777777" w:rsidTr="00A41E4E">
        <w:tc>
          <w:tcPr>
            <w:tcW w:w="2042" w:type="dxa"/>
            <w:vMerge w:val="restart"/>
            <w:tcBorders>
              <w:top w:val="single" w:sz="12" w:space="0" w:color="auto"/>
              <w:bottom w:val="single" w:sz="8" w:space="0" w:color="BCBEC0"/>
            </w:tcBorders>
            <w:vAlign w:val="center"/>
          </w:tcPr>
          <w:p w14:paraId="1C16BEE4" w14:textId="77777777" w:rsidR="00373737" w:rsidRPr="00C978B9" w:rsidRDefault="00373737" w:rsidP="00131907">
            <w:pPr>
              <w:keepNext/>
            </w:pPr>
            <w:r w:rsidRPr="00C978B9">
              <w:rPr>
                <w:noProof/>
                <w:lang w:eastAsia="en-AU"/>
              </w:rPr>
              <w:drawing>
                <wp:inline distT="0" distB="0" distL="0" distR="0" wp14:anchorId="7EAAFB63" wp14:editId="007AEFE4">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2FA5F2FE" w14:textId="77777777" w:rsidR="00373737" w:rsidRPr="00F81544" w:rsidRDefault="006B723B" w:rsidP="006B723B">
            <w:pPr>
              <w:pStyle w:val="TableText"/>
              <w:keepNext/>
              <w:rPr>
                <w:b/>
                <w:sz w:val="24"/>
                <w:szCs w:val="24"/>
              </w:rPr>
            </w:pPr>
            <w:r w:rsidRPr="00F81544">
              <w:rPr>
                <w:b/>
              </w:rPr>
              <w:t>Deliver Results</w:t>
            </w:r>
          </w:p>
        </w:tc>
        <w:tc>
          <w:tcPr>
            <w:tcW w:w="3357" w:type="dxa"/>
            <w:tcBorders>
              <w:top w:val="single" w:sz="12" w:space="0" w:color="auto"/>
              <w:bottom w:val="single" w:sz="8" w:space="0" w:color="BCBEC0"/>
            </w:tcBorders>
          </w:tcPr>
          <w:p w14:paraId="0C67BCAA" w14:textId="77777777" w:rsidR="00373737" w:rsidRPr="00F81544" w:rsidRDefault="006B723B" w:rsidP="006B723B">
            <w:pPr>
              <w:pStyle w:val="TableText"/>
              <w:keepNext/>
              <w:rPr>
                <w:b/>
              </w:rPr>
            </w:pPr>
            <w:r w:rsidRPr="00F81544">
              <w:rPr>
                <w:b/>
              </w:rPr>
              <w:t>Adept</w:t>
            </w:r>
          </w:p>
        </w:tc>
      </w:tr>
      <w:tr w:rsidR="00373737" w:rsidRPr="00C978B9" w14:paraId="20614A70" w14:textId="77777777" w:rsidTr="00A8686E">
        <w:tc>
          <w:tcPr>
            <w:tcW w:w="2042" w:type="dxa"/>
            <w:vMerge/>
            <w:tcBorders>
              <w:bottom w:val="single" w:sz="4" w:space="0" w:color="BCBEC0"/>
            </w:tcBorders>
          </w:tcPr>
          <w:p w14:paraId="397F08DE" w14:textId="77777777" w:rsidR="00373737" w:rsidRPr="00C978B9" w:rsidRDefault="00373737" w:rsidP="00131907">
            <w:pPr>
              <w:keepNext/>
            </w:pPr>
          </w:p>
        </w:tc>
        <w:tc>
          <w:tcPr>
            <w:tcW w:w="5458" w:type="dxa"/>
            <w:tcBorders>
              <w:bottom w:val="single" w:sz="4" w:space="0" w:color="BCBEC0"/>
            </w:tcBorders>
          </w:tcPr>
          <w:p w14:paraId="5983F8B4" w14:textId="77777777" w:rsidR="00373737" w:rsidRPr="00F81544" w:rsidRDefault="0001016C" w:rsidP="0001016C">
            <w:pPr>
              <w:pStyle w:val="TableText"/>
              <w:keepNext/>
              <w:rPr>
                <w:sz w:val="24"/>
                <w:szCs w:val="24"/>
              </w:rPr>
            </w:pPr>
            <w:r w:rsidRPr="00F81544">
              <w:t>Plan and Prioritise</w:t>
            </w:r>
          </w:p>
        </w:tc>
        <w:tc>
          <w:tcPr>
            <w:tcW w:w="3357" w:type="dxa"/>
            <w:tcBorders>
              <w:bottom w:val="single" w:sz="4" w:space="0" w:color="BCBEC0"/>
            </w:tcBorders>
          </w:tcPr>
          <w:p w14:paraId="36E8E9E2" w14:textId="77777777" w:rsidR="00373737" w:rsidRPr="00F81544" w:rsidRDefault="00A5293F" w:rsidP="0001016C">
            <w:pPr>
              <w:pStyle w:val="TableText"/>
              <w:keepNext/>
            </w:pPr>
            <w:r>
              <w:t>Intermediate</w:t>
            </w:r>
          </w:p>
        </w:tc>
      </w:tr>
      <w:tr w:rsidR="00373737" w:rsidRPr="00C978B9" w14:paraId="05A65A50" w14:textId="77777777" w:rsidTr="00A8686E">
        <w:tc>
          <w:tcPr>
            <w:tcW w:w="2042" w:type="dxa"/>
            <w:vMerge/>
            <w:tcBorders>
              <w:bottom w:val="single" w:sz="4" w:space="0" w:color="BCBEC0"/>
            </w:tcBorders>
          </w:tcPr>
          <w:p w14:paraId="4F715B2A" w14:textId="77777777" w:rsidR="00373737" w:rsidRPr="00C978B9" w:rsidRDefault="00373737" w:rsidP="00131907">
            <w:pPr>
              <w:keepNext/>
            </w:pPr>
          </w:p>
        </w:tc>
        <w:tc>
          <w:tcPr>
            <w:tcW w:w="5458" w:type="dxa"/>
            <w:tcBorders>
              <w:bottom w:val="single" w:sz="4" w:space="0" w:color="BCBEC0"/>
            </w:tcBorders>
          </w:tcPr>
          <w:p w14:paraId="4AC3481A" w14:textId="77777777" w:rsidR="00373737" w:rsidRPr="00610758" w:rsidRDefault="0001016C" w:rsidP="0001016C">
            <w:pPr>
              <w:pStyle w:val="TableText"/>
              <w:keepNext/>
              <w:rPr>
                <w:b/>
                <w:sz w:val="24"/>
                <w:szCs w:val="24"/>
              </w:rPr>
            </w:pPr>
            <w:r>
              <w:rPr>
                <w:b/>
              </w:rPr>
              <w:t>Think and Solve Problems</w:t>
            </w:r>
          </w:p>
        </w:tc>
        <w:tc>
          <w:tcPr>
            <w:tcW w:w="3357" w:type="dxa"/>
            <w:tcBorders>
              <w:bottom w:val="single" w:sz="4" w:space="0" w:color="BCBEC0"/>
            </w:tcBorders>
          </w:tcPr>
          <w:p w14:paraId="40B1F239" w14:textId="77777777" w:rsidR="00373737" w:rsidRPr="00610758" w:rsidRDefault="0001016C" w:rsidP="0001016C">
            <w:pPr>
              <w:pStyle w:val="TableText"/>
              <w:keepNext/>
              <w:rPr>
                <w:b/>
              </w:rPr>
            </w:pPr>
            <w:r>
              <w:rPr>
                <w:b/>
              </w:rPr>
              <w:t>Advanced</w:t>
            </w:r>
          </w:p>
        </w:tc>
      </w:tr>
      <w:tr w:rsidR="00373737" w:rsidRPr="00C978B9" w14:paraId="6ED8D7ED" w14:textId="77777777" w:rsidTr="00A41E4E">
        <w:tc>
          <w:tcPr>
            <w:tcW w:w="2042" w:type="dxa"/>
            <w:vMerge/>
            <w:tcBorders>
              <w:top w:val="single" w:sz="8" w:space="0" w:color="BCBEC0"/>
            </w:tcBorders>
          </w:tcPr>
          <w:p w14:paraId="59E36E3A" w14:textId="77777777" w:rsidR="00373737" w:rsidRPr="00C978B9" w:rsidRDefault="00373737" w:rsidP="00131907">
            <w:pPr>
              <w:keepNext/>
            </w:pPr>
          </w:p>
        </w:tc>
        <w:tc>
          <w:tcPr>
            <w:tcW w:w="5458" w:type="dxa"/>
            <w:tcBorders>
              <w:top w:val="single" w:sz="8" w:space="0" w:color="BCBEC0"/>
            </w:tcBorders>
          </w:tcPr>
          <w:p w14:paraId="050885A2" w14:textId="77777777" w:rsidR="00373737" w:rsidRPr="00C978B9" w:rsidRDefault="006B723B" w:rsidP="006B723B">
            <w:pPr>
              <w:pStyle w:val="TableText"/>
              <w:keepNext/>
              <w:rPr>
                <w:sz w:val="24"/>
                <w:szCs w:val="24"/>
              </w:rPr>
            </w:pPr>
            <w:r>
              <w:t>Demonstrate Accountability</w:t>
            </w:r>
          </w:p>
        </w:tc>
        <w:tc>
          <w:tcPr>
            <w:tcW w:w="3357" w:type="dxa"/>
            <w:tcBorders>
              <w:top w:val="single" w:sz="8" w:space="0" w:color="BCBEC0"/>
            </w:tcBorders>
          </w:tcPr>
          <w:p w14:paraId="32FB542C" w14:textId="77777777" w:rsidR="00373737" w:rsidRPr="00A15CDB" w:rsidRDefault="006B723B" w:rsidP="006B723B">
            <w:pPr>
              <w:pStyle w:val="TableText"/>
              <w:keepNext/>
            </w:pPr>
            <w:r>
              <w:t>Intermediate</w:t>
            </w:r>
          </w:p>
        </w:tc>
      </w:tr>
      <w:tr w:rsidR="00373737" w:rsidRPr="00C978B9" w14:paraId="6FD3A29E" w14:textId="77777777" w:rsidTr="00A41E4E">
        <w:tc>
          <w:tcPr>
            <w:tcW w:w="2042" w:type="dxa"/>
            <w:vMerge w:val="restart"/>
            <w:tcBorders>
              <w:top w:val="single" w:sz="12" w:space="0" w:color="auto"/>
              <w:bottom w:val="single" w:sz="8" w:space="0" w:color="BCBEC0"/>
            </w:tcBorders>
            <w:vAlign w:val="center"/>
          </w:tcPr>
          <w:p w14:paraId="0FE084EE" w14:textId="77777777" w:rsidR="00373737" w:rsidRPr="00C978B9" w:rsidRDefault="00373737" w:rsidP="00131907">
            <w:pPr>
              <w:keepNext/>
            </w:pPr>
            <w:r w:rsidRPr="00C978B9">
              <w:rPr>
                <w:noProof/>
                <w:lang w:eastAsia="en-AU"/>
              </w:rPr>
              <w:drawing>
                <wp:inline distT="0" distB="0" distL="0" distR="0" wp14:anchorId="0751B91A" wp14:editId="6536C18F">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3584C3E"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5D71BFB0" w14:textId="77777777" w:rsidR="00373737" w:rsidRPr="00610758" w:rsidRDefault="006B723B" w:rsidP="006B723B">
            <w:pPr>
              <w:pStyle w:val="TableText"/>
              <w:keepNext/>
            </w:pPr>
            <w:r>
              <w:t>Intermediate</w:t>
            </w:r>
          </w:p>
        </w:tc>
      </w:tr>
      <w:tr w:rsidR="00373737" w:rsidRPr="00C978B9" w14:paraId="398CFCF2" w14:textId="77777777" w:rsidTr="00A41E4E">
        <w:tc>
          <w:tcPr>
            <w:tcW w:w="2042" w:type="dxa"/>
            <w:vMerge/>
            <w:tcBorders>
              <w:top w:val="single" w:sz="8" w:space="0" w:color="BCBEC0"/>
            </w:tcBorders>
          </w:tcPr>
          <w:p w14:paraId="251285E1" w14:textId="77777777" w:rsidR="00373737" w:rsidRPr="00C978B9" w:rsidRDefault="00373737" w:rsidP="00131907">
            <w:pPr>
              <w:keepNext/>
            </w:pPr>
          </w:p>
        </w:tc>
        <w:tc>
          <w:tcPr>
            <w:tcW w:w="5458" w:type="dxa"/>
            <w:tcBorders>
              <w:top w:val="single" w:sz="8" w:space="0" w:color="BCBEC0"/>
            </w:tcBorders>
          </w:tcPr>
          <w:p w14:paraId="52A6D397" w14:textId="77777777" w:rsidR="00373737" w:rsidRPr="00C978B9" w:rsidRDefault="006B723B" w:rsidP="006B723B">
            <w:pPr>
              <w:pStyle w:val="TableText"/>
              <w:keepNext/>
              <w:rPr>
                <w:sz w:val="24"/>
                <w:szCs w:val="24"/>
              </w:rPr>
            </w:pPr>
            <w:r>
              <w:t>Technology</w:t>
            </w:r>
          </w:p>
        </w:tc>
        <w:tc>
          <w:tcPr>
            <w:tcW w:w="3357" w:type="dxa"/>
            <w:tcBorders>
              <w:top w:val="single" w:sz="8" w:space="0" w:color="BCBEC0"/>
            </w:tcBorders>
          </w:tcPr>
          <w:p w14:paraId="6510334D" w14:textId="77777777" w:rsidR="00373737" w:rsidRPr="00A15CDB" w:rsidRDefault="006B723B" w:rsidP="006B723B">
            <w:pPr>
              <w:pStyle w:val="TableText"/>
              <w:keepNext/>
            </w:pPr>
            <w:r>
              <w:t>Intermediate</w:t>
            </w:r>
          </w:p>
        </w:tc>
      </w:tr>
      <w:tr w:rsidR="00373737" w:rsidRPr="00C978B9" w14:paraId="54E829AD" w14:textId="77777777" w:rsidTr="00A8686E">
        <w:tc>
          <w:tcPr>
            <w:tcW w:w="2042" w:type="dxa"/>
            <w:vMerge/>
            <w:tcBorders>
              <w:bottom w:val="single" w:sz="4" w:space="0" w:color="BCBEC0"/>
            </w:tcBorders>
          </w:tcPr>
          <w:p w14:paraId="70D09FEF" w14:textId="77777777" w:rsidR="00373737" w:rsidRPr="00C978B9" w:rsidRDefault="00373737" w:rsidP="00131907">
            <w:pPr>
              <w:keepNext/>
            </w:pPr>
          </w:p>
        </w:tc>
        <w:tc>
          <w:tcPr>
            <w:tcW w:w="5458" w:type="dxa"/>
            <w:tcBorders>
              <w:bottom w:val="single" w:sz="4" w:space="0" w:color="BCBEC0"/>
            </w:tcBorders>
          </w:tcPr>
          <w:p w14:paraId="0E9493BB" w14:textId="77777777" w:rsidR="00373737" w:rsidRPr="00835745" w:rsidRDefault="0001016C" w:rsidP="0001016C">
            <w:pPr>
              <w:pStyle w:val="TableText"/>
              <w:keepNext/>
              <w:rPr>
                <w:sz w:val="24"/>
                <w:szCs w:val="24"/>
              </w:rPr>
            </w:pPr>
            <w:r w:rsidRPr="00835745">
              <w:t>Procurement and Contract Management</w:t>
            </w:r>
          </w:p>
        </w:tc>
        <w:tc>
          <w:tcPr>
            <w:tcW w:w="3357" w:type="dxa"/>
            <w:tcBorders>
              <w:bottom w:val="single" w:sz="4" w:space="0" w:color="BCBEC0"/>
            </w:tcBorders>
          </w:tcPr>
          <w:p w14:paraId="74F422CE" w14:textId="77777777" w:rsidR="00373737" w:rsidRPr="00835745" w:rsidRDefault="0001016C" w:rsidP="0001016C">
            <w:pPr>
              <w:pStyle w:val="TableText"/>
              <w:keepNext/>
            </w:pPr>
            <w:r w:rsidRPr="00835745">
              <w:t>Intermediate</w:t>
            </w:r>
          </w:p>
        </w:tc>
      </w:tr>
      <w:tr w:rsidR="00373737" w:rsidRPr="00C978B9" w14:paraId="2EEA0FA0" w14:textId="77777777" w:rsidTr="00A41E4E">
        <w:tc>
          <w:tcPr>
            <w:tcW w:w="2042" w:type="dxa"/>
            <w:vMerge/>
            <w:tcBorders>
              <w:top w:val="single" w:sz="8" w:space="0" w:color="BCBEC0"/>
            </w:tcBorders>
          </w:tcPr>
          <w:p w14:paraId="6993C0F7" w14:textId="77777777" w:rsidR="00373737" w:rsidRPr="00C978B9" w:rsidRDefault="00373737" w:rsidP="00131907">
            <w:pPr>
              <w:keepNext/>
            </w:pPr>
          </w:p>
        </w:tc>
        <w:tc>
          <w:tcPr>
            <w:tcW w:w="5458" w:type="dxa"/>
            <w:tcBorders>
              <w:top w:val="single" w:sz="8" w:space="0" w:color="BCBEC0"/>
            </w:tcBorders>
          </w:tcPr>
          <w:p w14:paraId="645EABE1" w14:textId="77777777" w:rsidR="00373737" w:rsidRPr="00835745" w:rsidRDefault="006B723B" w:rsidP="006B723B">
            <w:pPr>
              <w:pStyle w:val="TableText"/>
              <w:keepNext/>
              <w:rPr>
                <w:b/>
                <w:sz w:val="24"/>
                <w:szCs w:val="24"/>
              </w:rPr>
            </w:pPr>
            <w:r w:rsidRPr="00835745">
              <w:rPr>
                <w:b/>
              </w:rPr>
              <w:t>Project Management</w:t>
            </w:r>
          </w:p>
        </w:tc>
        <w:tc>
          <w:tcPr>
            <w:tcW w:w="3357" w:type="dxa"/>
            <w:tcBorders>
              <w:top w:val="single" w:sz="8" w:space="0" w:color="BCBEC0"/>
            </w:tcBorders>
          </w:tcPr>
          <w:p w14:paraId="1EF4C303" w14:textId="77777777" w:rsidR="00373737" w:rsidRPr="00835745" w:rsidRDefault="006B723B" w:rsidP="006B723B">
            <w:pPr>
              <w:pStyle w:val="TableText"/>
              <w:keepNext/>
              <w:rPr>
                <w:b/>
              </w:rPr>
            </w:pPr>
            <w:r w:rsidRPr="00835745">
              <w:rPr>
                <w:b/>
              </w:rPr>
              <w:t>Adept</w:t>
            </w:r>
          </w:p>
        </w:tc>
      </w:tr>
    </w:tbl>
    <w:p w14:paraId="6466362E" w14:textId="77777777" w:rsidR="002D36BB" w:rsidRDefault="002D36BB" w:rsidP="008E08E3"/>
    <w:p w14:paraId="4039605F" w14:textId="77777777" w:rsidR="002D36BB" w:rsidRDefault="002D36BB" w:rsidP="00325E9D"/>
    <w:p w14:paraId="7432F84C" w14:textId="77777777" w:rsidR="00325E9D" w:rsidRPr="00C978B9" w:rsidRDefault="00325E9D" w:rsidP="00325E9D">
      <w:pPr>
        <w:pStyle w:val="Heading2"/>
      </w:pPr>
      <w:r w:rsidRPr="00C978B9">
        <w:t xml:space="preserve">Focus </w:t>
      </w:r>
      <w:r>
        <w:t>c</w:t>
      </w:r>
      <w:r w:rsidRPr="00C978B9">
        <w:t>apabilities</w:t>
      </w:r>
    </w:p>
    <w:p w14:paraId="626C6901" w14:textId="77777777"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w:t>
      </w:r>
      <w:proofErr w:type="spellStart"/>
      <w:r w:rsidRPr="00325E9D">
        <w:rPr>
          <w:rFonts w:cs="Arial"/>
        </w:rPr>
        <w:t>behaviours</w:t>
      </w:r>
      <w:proofErr w:type="spellEnd"/>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7"/>
        <w:gridCol w:w="5761"/>
      </w:tblGrid>
      <w:tr w:rsidR="002D36BB" w:rsidRPr="00C978B9" w14:paraId="059080A2"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74052CB1" w14:textId="77777777" w:rsidR="002D36BB" w:rsidRPr="00C978B9" w:rsidRDefault="002D36BB" w:rsidP="006C18F8">
            <w:pPr>
              <w:pStyle w:val="TableTextWhite0"/>
              <w:keepNext/>
            </w:pPr>
            <w:r w:rsidRPr="00C978B9">
              <w:t>NSW Public Sector Capability Framework</w:t>
            </w:r>
          </w:p>
        </w:tc>
      </w:tr>
      <w:tr w:rsidR="009575C3" w:rsidRPr="00C978B9" w14:paraId="59545932"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13A383EC" w14:textId="77777777"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0308A9A3" w14:textId="77777777"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7E608ED4" w14:textId="77777777" w:rsidR="00A85305" w:rsidRPr="00C978B9" w:rsidRDefault="00A85305" w:rsidP="00A85305">
            <w:pPr>
              <w:pStyle w:val="TableText"/>
              <w:keepNext/>
              <w:rPr>
                <w:b/>
                <w:sz w:val="24"/>
                <w:szCs w:val="24"/>
              </w:rPr>
            </w:pPr>
            <w:r>
              <w:rPr>
                <w:b/>
              </w:rPr>
              <w:t>Behavioural Indicators</w:t>
            </w:r>
          </w:p>
        </w:tc>
      </w:tr>
      <w:tr w:rsidR="009575C3" w:rsidRPr="00C978B9" w14:paraId="377607EA" w14:textId="77777777" w:rsidTr="00742966">
        <w:tc>
          <w:tcPr>
            <w:tcW w:w="2714" w:type="dxa"/>
          </w:tcPr>
          <w:p w14:paraId="13EEBF97" w14:textId="77777777" w:rsidR="001F2503" w:rsidRPr="00C978B9" w:rsidRDefault="0039395B" w:rsidP="00CC7829">
            <w:pPr>
              <w:pStyle w:val="TableText"/>
              <w:rPr>
                <w:b/>
              </w:rPr>
            </w:pPr>
            <w:r>
              <w:rPr>
                <w:b/>
              </w:rPr>
              <w:t>Personal Attributes</w:t>
            </w:r>
          </w:p>
          <w:p w14:paraId="4938B0F6" w14:textId="77777777" w:rsidR="001F2503" w:rsidRPr="00C978B9" w:rsidRDefault="0039395B" w:rsidP="0039395B">
            <w:pPr>
              <w:pStyle w:val="TableText"/>
            </w:pPr>
            <w:r>
              <w:t>Display Resilience and Courage</w:t>
            </w:r>
          </w:p>
        </w:tc>
        <w:tc>
          <w:tcPr>
            <w:tcW w:w="2348" w:type="dxa"/>
          </w:tcPr>
          <w:p w14:paraId="1EE9B48C" w14:textId="77777777" w:rsidR="001F2503" w:rsidRPr="00C978B9" w:rsidRDefault="00A5293F" w:rsidP="0039395B">
            <w:pPr>
              <w:pStyle w:val="TableText"/>
              <w:rPr>
                <w:rFonts w:cs="Arial"/>
                <w:color w:val="000000"/>
              </w:rPr>
            </w:pPr>
            <w:r>
              <w:rPr>
                <w:rFonts w:cs="Arial"/>
                <w:color w:val="000000"/>
              </w:rPr>
              <w:t>Intermediate</w:t>
            </w:r>
          </w:p>
        </w:tc>
        <w:tc>
          <w:tcPr>
            <w:tcW w:w="5795" w:type="dxa"/>
          </w:tcPr>
          <w:p w14:paraId="06C016E9" w14:textId="77777777" w:rsidR="00141E88" w:rsidRDefault="00141E88" w:rsidP="00146459">
            <w:pPr>
              <w:pStyle w:val="TableBullet"/>
            </w:pPr>
            <w:r>
              <w:t>Be flexible and adaptable and respond quickly when</w:t>
            </w:r>
            <w:r w:rsidR="009D2885">
              <w:t xml:space="preserve"> </w:t>
            </w:r>
            <w:r>
              <w:t>situations change</w:t>
            </w:r>
          </w:p>
          <w:p w14:paraId="123B9707" w14:textId="77777777" w:rsidR="00141E88" w:rsidRDefault="00141E88" w:rsidP="00146459">
            <w:pPr>
              <w:pStyle w:val="TableBullet"/>
            </w:pPr>
            <w:r>
              <w:t>Offer own opinion and raise</w:t>
            </w:r>
            <w:r w:rsidR="009D2885">
              <w:t xml:space="preserve"> </w:t>
            </w:r>
            <w:r>
              <w:t>challenging issues</w:t>
            </w:r>
          </w:p>
          <w:p w14:paraId="131DABBB" w14:textId="77777777" w:rsidR="00141E88" w:rsidRDefault="00141E88" w:rsidP="00146459">
            <w:pPr>
              <w:pStyle w:val="TableBullet"/>
            </w:pPr>
            <w:r>
              <w:t>Listen when ideas are challenged and respond in a reasonable way</w:t>
            </w:r>
          </w:p>
          <w:p w14:paraId="7451E3A5" w14:textId="77777777" w:rsidR="00141E88" w:rsidRDefault="00141E88" w:rsidP="00141E88">
            <w:pPr>
              <w:pStyle w:val="TableBullet"/>
            </w:pPr>
            <w:r>
              <w:t>Work through challenges</w:t>
            </w:r>
          </w:p>
          <w:p w14:paraId="0497326C" w14:textId="77777777" w:rsidR="001F2503" w:rsidRPr="00C978B9" w:rsidRDefault="00141E88" w:rsidP="0039395B">
            <w:pPr>
              <w:pStyle w:val="TableBullet"/>
            </w:pPr>
            <w:r>
              <w:t>Stay calm and focused in the face of challenging situations</w:t>
            </w:r>
          </w:p>
        </w:tc>
      </w:tr>
      <w:tr w:rsidR="009575C3" w:rsidRPr="00C978B9" w14:paraId="4876FFC7" w14:textId="77777777" w:rsidTr="00742966">
        <w:tc>
          <w:tcPr>
            <w:tcW w:w="2714" w:type="dxa"/>
          </w:tcPr>
          <w:p w14:paraId="461A7C11" w14:textId="77777777" w:rsidR="001F2503" w:rsidRPr="00C978B9" w:rsidRDefault="0039395B" w:rsidP="00CC7829">
            <w:pPr>
              <w:pStyle w:val="TableText"/>
              <w:rPr>
                <w:b/>
              </w:rPr>
            </w:pPr>
            <w:r>
              <w:rPr>
                <w:b/>
              </w:rPr>
              <w:t>Personal Attributes</w:t>
            </w:r>
          </w:p>
          <w:p w14:paraId="01166CC6" w14:textId="77777777" w:rsidR="001F2503" w:rsidRPr="00C978B9" w:rsidRDefault="0039395B" w:rsidP="0039395B">
            <w:pPr>
              <w:pStyle w:val="TableText"/>
            </w:pPr>
            <w:r>
              <w:t>Act with Integrity</w:t>
            </w:r>
          </w:p>
        </w:tc>
        <w:tc>
          <w:tcPr>
            <w:tcW w:w="2348" w:type="dxa"/>
          </w:tcPr>
          <w:p w14:paraId="54579E2D" w14:textId="77777777" w:rsidR="001F2503" w:rsidRPr="00C978B9" w:rsidRDefault="0039395B" w:rsidP="0039395B">
            <w:pPr>
              <w:pStyle w:val="TableText"/>
              <w:rPr>
                <w:rFonts w:cs="Arial"/>
                <w:color w:val="000000"/>
              </w:rPr>
            </w:pPr>
            <w:r>
              <w:rPr>
                <w:rFonts w:cs="Arial"/>
                <w:color w:val="000000"/>
              </w:rPr>
              <w:t>Intermediate</w:t>
            </w:r>
          </w:p>
        </w:tc>
        <w:tc>
          <w:tcPr>
            <w:tcW w:w="5795" w:type="dxa"/>
          </w:tcPr>
          <w:p w14:paraId="405C11AB" w14:textId="77777777" w:rsidR="001F2503" w:rsidRPr="00C978B9" w:rsidRDefault="0039395B" w:rsidP="0039395B">
            <w:pPr>
              <w:pStyle w:val="TableBullet"/>
            </w:pPr>
            <w:r>
              <w:t>Represent the organisation in an honest, ethical and professional way</w:t>
            </w:r>
          </w:p>
          <w:p w14:paraId="271EB2F3" w14:textId="77777777" w:rsidR="001F2503" w:rsidRPr="00C978B9" w:rsidRDefault="0039395B" w:rsidP="0039395B">
            <w:pPr>
              <w:pStyle w:val="TableBullet"/>
            </w:pPr>
            <w:r>
              <w:t>Support a culture of integrity and professionalism</w:t>
            </w:r>
          </w:p>
          <w:p w14:paraId="5FC3E858" w14:textId="77777777" w:rsidR="001F2503" w:rsidRPr="00C978B9" w:rsidRDefault="0039395B" w:rsidP="0039395B">
            <w:pPr>
              <w:pStyle w:val="TableBullet"/>
            </w:pPr>
            <w:r>
              <w:t>Understand and follow legislation, rules, policies, guidelines and codes of conduct</w:t>
            </w:r>
          </w:p>
          <w:p w14:paraId="79B57086" w14:textId="77777777" w:rsidR="001F2503" w:rsidRPr="00C978B9" w:rsidRDefault="0039395B" w:rsidP="0039395B">
            <w:pPr>
              <w:pStyle w:val="TableBullet"/>
            </w:pPr>
            <w:r>
              <w:t>Help others to understand their obligations to comply with legislation, rules, policies, guidelines and codes of conduct</w:t>
            </w:r>
          </w:p>
          <w:p w14:paraId="40AACED9" w14:textId="77777777" w:rsidR="001F2503" w:rsidRPr="00C978B9" w:rsidRDefault="0039395B" w:rsidP="0039395B">
            <w:pPr>
              <w:pStyle w:val="TableBullet"/>
            </w:pPr>
            <w:r>
              <w:t>Recognise and report misconduct, illegal or inappropriate behaviour</w:t>
            </w:r>
          </w:p>
          <w:p w14:paraId="73CE3292" w14:textId="77777777" w:rsidR="001F2503" w:rsidRPr="00C978B9" w:rsidRDefault="0039395B" w:rsidP="0039395B">
            <w:pPr>
              <w:pStyle w:val="TableBullet"/>
            </w:pPr>
            <w:r>
              <w:t>Report and manage apparent conflicts of interest</w:t>
            </w:r>
          </w:p>
        </w:tc>
      </w:tr>
      <w:tr w:rsidR="009575C3" w:rsidRPr="00C978B9" w14:paraId="6DFA2846" w14:textId="77777777" w:rsidTr="00742966">
        <w:tc>
          <w:tcPr>
            <w:tcW w:w="2714" w:type="dxa"/>
          </w:tcPr>
          <w:p w14:paraId="183F4F22" w14:textId="77777777" w:rsidR="001F2503" w:rsidRPr="00C978B9" w:rsidRDefault="0039395B" w:rsidP="00CC7829">
            <w:pPr>
              <w:pStyle w:val="TableText"/>
              <w:rPr>
                <w:b/>
              </w:rPr>
            </w:pPr>
            <w:r>
              <w:rPr>
                <w:b/>
              </w:rPr>
              <w:t>Relationships</w:t>
            </w:r>
          </w:p>
          <w:p w14:paraId="4FCB9D06" w14:textId="77777777" w:rsidR="001F2503" w:rsidRPr="00C978B9" w:rsidRDefault="0039395B" w:rsidP="0039395B">
            <w:pPr>
              <w:pStyle w:val="TableText"/>
            </w:pPr>
            <w:r>
              <w:t>Communicate Effectively</w:t>
            </w:r>
          </w:p>
        </w:tc>
        <w:tc>
          <w:tcPr>
            <w:tcW w:w="2348" w:type="dxa"/>
          </w:tcPr>
          <w:p w14:paraId="5153C892" w14:textId="77777777" w:rsidR="001F2503" w:rsidRPr="00C978B9" w:rsidRDefault="0039395B" w:rsidP="0039395B">
            <w:pPr>
              <w:pStyle w:val="TableText"/>
              <w:rPr>
                <w:rFonts w:cs="Arial"/>
                <w:color w:val="000000"/>
              </w:rPr>
            </w:pPr>
            <w:r>
              <w:rPr>
                <w:rFonts w:cs="Arial"/>
                <w:color w:val="000000"/>
              </w:rPr>
              <w:t>Ad</w:t>
            </w:r>
            <w:r w:rsidR="0049768E">
              <w:rPr>
                <w:rFonts w:cs="Arial"/>
                <w:color w:val="000000"/>
              </w:rPr>
              <w:t>ept</w:t>
            </w:r>
          </w:p>
        </w:tc>
        <w:tc>
          <w:tcPr>
            <w:tcW w:w="5795" w:type="dxa"/>
          </w:tcPr>
          <w:p w14:paraId="16425744" w14:textId="77777777" w:rsidR="009D2885" w:rsidRDefault="009D2885" w:rsidP="00B65C37">
            <w:pPr>
              <w:pStyle w:val="TableBullet"/>
            </w:pPr>
            <w:r>
              <w:t>Tailor communication to the audience</w:t>
            </w:r>
          </w:p>
          <w:p w14:paraId="0A1A9776" w14:textId="77777777" w:rsidR="009D2885" w:rsidRDefault="009D2885" w:rsidP="0058672B">
            <w:pPr>
              <w:pStyle w:val="TableBullet"/>
            </w:pPr>
            <w:r>
              <w:t>Clearly explain complex concepts and arguments to individuals and groups</w:t>
            </w:r>
          </w:p>
          <w:p w14:paraId="39312F7B" w14:textId="77777777" w:rsidR="009D2885" w:rsidRDefault="009D2885" w:rsidP="00FD54EA">
            <w:pPr>
              <w:pStyle w:val="TableBullet"/>
            </w:pPr>
            <w:r>
              <w:t>Monitor own and others’ non-verbal cues and adapt where necessary</w:t>
            </w:r>
          </w:p>
          <w:p w14:paraId="2EF76291" w14:textId="77777777" w:rsidR="009D2885" w:rsidRDefault="009D2885" w:rsidP="00047294">
            <w:pPr>
              <w:pStyle w:val="TableBullet"/>
            </w:pPr>
            <w:r>
              <w:t>Create opportunities for others to be heard</w:t>
            </w:r>
          </w:p>
          <w:p w14:paraId="638D2931" w14:textId="77777777" w:rsidR="009D2885" w:rsidRDefault="009D2885" w:rsidP="00BA7FAD">
            <w:pPr>
              <w:pStyle w:val="TableBullet"/>
            </w:pPr>
            <w:r>
              <w:t>Actively listen to others and clarify own understanding</w:t>
            </w:r>
          </w:p>
          <w:p w14:paraId="397238CF" w14:textId="77777777" w:rsidR="001F2503" w:rsidRPr="00C978B9" w:rsidRDefault="009D2885" w:rsidP="009D2885">
            <w:pPr>
              <w:pStyle w:val="TableBullet"/>
            </w:pPr>
            <w:r>
              <w:t>Write fluently in a range of styles and formats</w:t>
            </w:r>
          </w:p>
        </w:tc>
      </w:tr>
      <w:tr w:rsidR="009575C3" w:rsidRPr="00C978B9" w14:paraId="4AE9BBB2" w14:textId="77777777" w:rsidTr="00742966">
        <w:tc>
          <w:tcPr>
            <w:tcW w:w="2714" w:type="dxa"/>
          </w:tcPr>
          <w:p w14:paraId="30E805C8" w14:textId="77777777" w:rsidR="001F2503" w:rsidRPr="00C978B9" w:rsidRDefault="0039395B" w:rsidP="00CC7829">
            <w:pPr>
              <w:pStyle w:val="TableText"/>
              <w:rPr>
                <w:b/>
              </w:rPr>
            </w:pPr>
            <w:r>
              <w:rPr>
                <w:b/>
              </w:rPr>
              <w:t>Relationships</w:t>
            </w:r>
          </w:p>
          <w:p w14:paraId="5032A957" w14:textId="77777777" w:rsidR="001F2503" w:rsidRPr="00C978B9" w:rsidRDefault="0039395B" w:rsidP="0039395B">
            <w:pPr>
              <w:pStyle w:val="TableText"/>
            </w:pPr>
            <w:r>
              <w:t>Work Collaboratively</w:t>
            </w:r>
          </w:p>
        </w:tc>
        <w:tc>
          <w:tcPr>
            <w:tcW w:w="2348" w:type="dxa"/>
          </w:tcPr>
          <w:p w14:paraId="429746B9" w14:textId="77777777" w:rsidR="001F2503" w:rsidRPr="00C978B9" w:rsidRDefault="0015385D" w:rsidP="0039395B">
            <w:pPr>
              <w:pStyle w:val="TableText"/>
              <w:rPr>
                <w:rFonts w:cs="Arial"/>
                <w:color w:val="000000"/>
              </w:rPr>
            </w:pPr>
            <w:r>
              <w:rPr>
                <w:rFonts w:cs="Arial"/>
                <w:color w:val="000000"/>
              </w:rPr>
              <w:t>Advanced</w:t>
            </w:r>
          </w:p>
        </w:tc>
        <w:tc>
          <w:tcPr>
            <w:tcW w:w="5795" w:type="dxa"/>
          </w:tcPr>
          <w:p w14:paraId="4080F210" w14:textId="77777777" w:rsidR="009D2885" w:rsidRDefault="009D2885" w:rsidP="00880F22">
            <w:pPr>
              <w:pStyle w:val="TableBullet"/>
            </w:pPr>
            <w:r>
              <w:t>Build a culture of respect and understanding across the organisation</w:t>
            </w:r>
          </w:p>
          <w:p w14:paraId="2DD314E6" w14:textId="77777777" w:rsidR="009D2885" w:rsidRDefault="009D2885" w:rsidP="002B1828">
            <w:pPr>
              <w:pStyle w:val="TableBullet"/>
            </w:pPr>
            <w:r>
              <w:t>Recognise outcomes which resulted from effective collaboration between teams</w:t>
            </w:r>
          </w:p>
          <w:p w14:paraId="15D5812A" w14:textId="77777777" w:rsidR="009D2885" w:rsidRDefault="009D2885" w:rsidP="0021160F">
            <w:pPr>
              <w:pStyle w:val="TableBullet"/>
            </w:pPr>
            <w:r>
              <w:t>Build co-operation and overcome barriers to information sharing, communication and collaboration across the organisation and cross-government</w:t>
            </w:r>
          </w:p>
          <w:p w14:paraId="3AC8F848" w14:textId="77777777" w:rsidR="001F2503" w:rsidRPr="00C978B9" w:rsidRDefault="009D2885" w:rsidP="009D2885">
            <w:pPr>
              <w:pStyle w:val="TableBullet"/>
            </w:pPr>
            <w:r>
              <w:t>Facilitate opportunities to engage and collaborate with external stakeholders to develop joint solutions</w:t>
            </w:r>
          </w:p>
        </w:tc>
      </w:tr>
      <w:tr w:rsidR="009575C3" w:rsidRPr="00C978B9" w14:paraId="3F8F0F67" w14:textId="77777777" w:rsidTr="00742966">
        <w:tc>
          <w:tcPr>
            <w:tcW w:w="2714" w:type="dxa"/>
          </w:tcPr>
          <w:p w14:paraId="03D277D4" w14:textId="77777777" w:rsidR="001F2503" w:rsidRPr="00C978B9" w:rsidRDefault="0039395B" w:rsidP="00CC7829">
            <w:pPr>
              <w:pStyle w:val="TableText"/>
              <w:rPr>
                <w:b/>
              </w:rPr>
            </w:pPr>
            <w:r>
              <w:rPr>
                <w:b/>
              </w:rPr>
              <w:t>Relationships</w:t>
            </w:r>
          </w:p>
          <w:p w14:paraId="3C4BC387" w14:textId="77777777" w:rsidR="001F2503" w:rsidRPr="00C978B9" w:rsidRDefault="0039395B" w:rsidP="0039395B">
            <w:pPr>
              <w:pStyle w:val="TableText"/>
            </w:pPr>
            <w:r>
              <w:t>Influence and Negotiate</w:t>
            </w:r>
          </w:p>
        </w:tc>
        <w:tc>
          <w:tcPr>
            <w:tcW w:w="2348" w:type="dxa"/>
          </w:tcPr>
          <w:p w14:paraId="4198DEC5" w14:textId="77777777" w:rsidR="001F2503" w:rsidRPr="00C978B9" w:rsidRDefault="008D0B92" w:rsidP="0039395B">
            <w:pPr>
              <w:pStyle w:val="TableText"/>
              <w:rPr>
                <w:rFonts w:cs="Arial"/>
                <w:color w:val="000000"/>
              </w:rPr>
            </w:pPr>
            <w:r>
              <w:rPr>
                <w:rFonts w:cs="Arial"/>
                <w:color w:val="000000"/>
              </w:rPr>
              <w:t>Intermediate</w:t>
            </w:r>
          </w:p>
        </w:tc>
        <w:tc>
          <w:tcPr>
            <w:tcW w:w="5795" w:type="dxa"/>
          </w:tcPr>
          <w:p w14:paraId="20A70568" w14:textId="77777777" w:rsidR="0011271C" w:rsidRDefault="0011271C" w:rsidP="00146459">
            <w:pPr>
              <w:pStyle w:val="TableBullet"/>
            </w:pPr>
            <w:r>
              <w:t>Utilise facts, knowledge and experience to support</w:t>
            </w:r>
            <w:r w:rsidR="009D2885">
              <w:t xml:space="preserve"> </w:t>
            </w:r>
            <w:r>
              <w:t>recommendations</w:t>
            </w:r>
          </w:p>
          <w:p w14:paraId="42873874" w14:textId="77777777" w:rsidR="0011271C" w:rsidRDefault="0011271C" w:rsidP="00A1688F">
            <w:pPr>
              <w:pStyle w:val="TableBullet"/>
            </w:pPr>
            <w:r>
              <w:t>Work towards positive and</w:t>
            </w:r>
            <w:r w:rsidR="009D2885">
              <w:t xml:space="preserve"> </w:t>
            </w:r>
            <w:r>
              <w:t>mutually satisfactory outcomes</w:t>
            </w:r>
          </w:p>
          <w:p w14:paraId="588D9387" w14:textId="77777777" w:rsidR="0011271C" w:rsidRDefault="0011271C" w:rsidP="00040530">
            <w:pPr>
              <w:pStyle w:val="TableBullet"/>
            </w:pPr>
            <w:r>
              <w:t>Identify and resolve issues in</w:t>
            </w:r>
            <w:r w:rsidR="009D2885">
              <w:t xml:space="preserve"> </w:t>
            </w:r>
            <w:r>
              <w:t>discussion with other staff</w:t>
            </w:r>
            <w:r w:rsidR="009D2885">
              <w:t xml:space="preserve"> </w:t>
            </w:r>
            <w:r>
              <w:t>and stakeholders</w:t>
            </w:r>
          </w:p>
          <w:p w14:paraId="4A6196A2" w14:textId="77777777" w:rsidR="0011271C" w:rsidRDefault="0011271C" w:rsidP="006E0CAA">
            <w:pPr>
              <w:pStyle w:val="TableBullet"/>
            </w:pPr>
            <w:r>
              <w:t>Identify others’ concerns</w:t>
            </w:r>
            <w:r w:rsidR="009D2885">
              <w:t xml:space="preserve"> </w:t>
            </w:r>
            <w:r>
              <w:t>and expectations</w:t>
            </w:r>
          </w:p>
          <w:p w14:paraId="1CDC909B" w14:textId="77777777" w:rsidR="0011271C" w:rsidRDefault="0011271C" w:rsidP="0098609A">
            <w:pPr>
              <w:pStyle w:val="TableBullet"/>
            </w:pPr>
            <w:r>
              <w:lastRenderedPageBreak/>
              <w:t>Respond constructively to conflict</w:t>
            </w:r>
            <w:r w:rsidR="009D2885">
              <w:t xml:space="preserve"> </w:t>
            </w:r>
            <w:r>
              <w:t>and disagreements</w:t>
            </w:r>
          </w:p>
          <w:p w14:paraId="54A45649" w14:textId="77777777" w:rsidR="001F2503" w:rsidRPr="00C978B9" w:rsidRDefault="0011271C" w:rsidP="0011271C">
            <w:pPr>
              <w:pStyle w:val="TableBullet"/>
            </w:pPr>
            <w:r>
              <w:t>Keep discussion focused on the</w:t>
            </w:r>
            <w:r w:rsidR="009D2885">
              <w:t xml:space="preserve"> </w:t>
            </w:r>
            <w:r>
              <w:t>key issues</w:t>
            </w:r>
          </w:p>
        </w:tc>
      </w:tr>
      <w:tr w:rsidR="009575C3" w:rsidRPr="00C978B9" w14:paraId="0C0DD1F7" w14:textId="77777777" w:rsidTr="00742966">
        <w:tc>
          <w:tcPr>
            <w:tcW w:w="2714" w:type="dxa"/>
          </w:tcPr>
          <w:p w14:paraId="6E4EB6EF" w14:textId="77777777" w:rsidR="001F2503" w:rsidRPr="00C978B9" w:rsidRDefault="0039395B" w:rsidP="00CC7829">
            <w:pPr>
              <w:pStyle w:val="TableText"/>
              <w:rPr>
                <w:b/>
              </w:rPr>
            </w:pPr>
            <w:r>
              <w:rPr>
                <w:b/>
              </w:rPr>
              <w:lastRenderedPageBreak/>
              <w:t>Results</w:t>
            </w:r>
          </w:p>
          <w:p w14:paraId="5CCCEAD4" w14:textId="77777777" w:rsidR="001F2503" w:rsidRPr="00C978B9" w:rsidRDefault="00A5293F" w:rsidP="0039395B">
            <w:pPr>
              <w:pStyle w:val="TableText"/>
            </w:pPr>
            <w:r>
              <w:t>Deliver Results</w:t>
            </w:r>
          </w:p>
        </w:tc>
        <w:tc>
          <w:tcPr>
            <w:tcW w:w="2348" w:type="dxa"/>
          </w:tcPr>
          <w:p w14:paraId="3C59B888"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59091A5D" w14:textId="77777777" w:rsidR="00141E88" w:rsidRDefault="00141E88" w:rsidP="00146459">
            <w:pPr>
              <w:pStyle w:val="TableBullet"/>
            </w:pPr>
            <w:r>
              <w:t>Take responsibility for delivering on intended outcomes</w:t>
            </w:r>
          </w:p>
          <w:p w14:paraId="4D453D46" w14:textId="77777777" w:rsidR="00141E88" w:rsidRDefault="00141E88" w:rsidP="00146459">
            <w:pPr>
              <w:pStyle w:val="TableBullet"/>
            </w:pPr>
            <w:r>
              <w:t>Make sure team/unit staff understand expected goals and acknowledge success</w:t>
            </w:r>
          </w:p>
          <w:p w14:paraId="744C77F3" w14:textId="77777777" w:rsidR="00141E88" w:rsidRDefault="00141E88" w:rsidP="00146459">
            <w:pPr>
              <w:pStyle w:val="TableBullet"/>
            </w:pPr>
            <w:r>
              <w:t>Identify resource needs and ensure goals are achieved within budget and deadlines</w:t>
            </w:r>
          </w:p>
          <w:p w14:paraId="34A29718" w14:textId="77777777" w:rsidR="00141E88" w:rsidRDefault="00141E88" w:rsidP="00146459">
            <w:pPr>
              <w:pStyle w:val="TableBullet"/>
            </w:pPr>
            <w:r>
              <w:t>Identify changed priorities and ensure allocation of resources</w:t>
            </w:r>
            <w:r w:rsidR="009D2885">
              <w:t xml:space="preserve"> </w:t>
            </w:r>
            <w:r>
              <w:t>meets new business needs</w:t>
            </w:r>
          </w:p>
          <w:p w14:paraId="5C8B4A42" w14:textId="77777777" w:rsidR="00141E88" w:rsidRDefault="00141E88">
            <w:pPr>
              <w:pStyle w:val="TableBullet"/>
            </w:pPr>
            <w:r>
              <w:t>Ensure financial implications of changed priorities are explicit and budgeted for</w:t>
            </w:r>
          </w:p>
          <w:p w14:paraId="66ACBE4F" w14:textId="77777777" w:rsidR="001F2503" w:rsidRPr="00C978B9" w:rsidRDefault="00141E88">
            <w:pPr>
              <w:pStyle w:val="TableBullet"/>
            </w:pPr>
            <w:r>
              <w:t>Use own expertise and seek others’ expertise to achieve work outcomes</w:t>
            </w:r>
          </w:p>
        </w:tc>
      </w:tr>
      <w:tr w:rsidR="009575C3" w:rsidRPr="00C978B9" w14:paraId="0D986972" w14:textId="77777777" w:rsidTr="00742966">
        <w:tc>
          <w:tcPr>
            <w:tcW w:w="2714" w:type="dxa"/>
          </w:tcPr>
          <w:p w14:paraId="093CAE7A" w14:textId="77777777" w:rsidR="001F2503" w:rsidRPr="00C978B9" w:rsidRDefault="0039395B" w:rsidP="00CC7829">
            <w:pPr>
              <w:pStyle w:val="TableText"/>
              <w:rPr>
                <w:b/>
              </w:rPr>
            </w:pPr>
            <w:r>
              <w:rPr>
                <w:b/>
              </w:rPr>
              <w:t>Results</w:t>
            </w:r>
          </w:p>
          <w:p w14:paraId="77FE2534" w14:textId="77777777" w:rsidR="001F2503" w:rsidRPr="00C978B9" w:rsidRDefault="0039395B" w:rsidP="0039395B">
            <w:pPr>
              <w:pStyle w:val="TableText"/>
            </w:pPr>
            <w:r>
              <w:t>Think and Solve Problems</w:t>
            </w:r>
          </w:p>
        </w:tc>
        <w:tc>
          <w:tcPr>
            <w:tcW w:w="2348" w:type="dxa"/>
          </w:tcPr>
          <w:p w14:paraId="6BE64681" w14:textId="77777777" w:rsidR="001F2503" w:rsidRPr="00C978B9" w:rsidRDefault="0039395B" w:rsidP="0039395B">
            <w:pPr>
              <w:pStyle w:val="TableText"/>
              <w:rPr>
                <w:rFonts w:cs="Arial"/>
                <w:color w:val="000000"/>
              </w:rPr>
            </w:pPr>
            <w:r>
              <w:rPr>
                <w:rFonts w:cs="Arial"/>
                <w:color w:val="000000"/>
              </w:rPr>
              <w:t>Advanced</w:t>
            </w:r>
          </w:p>
        </w:tc>
        <w:tc>
          <w:tcPr>
            <w:tcW w:w="5795" w:type="dxa"/>
          </w:tcPr>
          <w:p w14:paraId="7C2BC490" w14:textId="77777777" w:rsidR="001F2503" w:rsidRPr="00C978B9" w:rsidRDefault="0039395B" w:rsidP="0039395B">
            <w:pPr>
              <w:pStyle w:val="TableBullet"/>
            </w:pPr>
            <w:r>
              <w:t>Undertake objective, critical analysis to draw accurate conclusions that recognise and manage contextual issues</w:t>
            </w:r>
          </w:p>
          <w:p w14:paraId="3620B256" w14:textId="77777777" w:rsidR="001F2503" w:rsidRPr="00C978B9" w:rsidRDefault="0039395B" w:rsidP="0039395B">
            <w:pPr>
              <w:pStyle w:val="TableBullet"/>
            </w:pPr>
            <w:r>
              <w:t>Work through issues, weigh up alternatives and identify the most effective solutions</w:t>
            </w:r>
          </w:p>
          <w:p w14:paraId="1F6667FC" w14:textId="77777777" w:rsidR="001F2503" w:rsidRPr="00C978B9" w:rsidRDefault="0039395B" w:rsidP="0039395B">
            <w:pPr>
              <w:pStyle w:val="TableBullet"/>
            </w:pPr>
            <w:r>
              <w:t>Take account of the wider business context when considering options to resolve issues</w:t>
            </w:r>
          </w:p>
          <w:p w14:paraId="36AFE0C0" w14:textId="77777777" w:rsidR="001F2503" w:rsidRPr="00C978B9" w:rsidRDefault="0039395B" w:rsidP="0039395B">
            <w:pPr>
              <w:pStyle w:val="TableBullet"/>
            </w:pPr>
            <w:r>
              <w:t>Explore a range of possibilities and creative alternatives to contribute to systems, process and business improvements</w:t>
            </w:r>
          </w:p>
          <w:p w14:paraId="144DF40E" w14:textId="77777777" w:rsidR="001F2503" w:rsidRPr="00C978B9" w:rsidRDefault="0039395B" w:rsidP="0039395B">
            <w:pPr>
              <w:pStyle w:val="TableBullet"/>
            </w:pPr>
            <w:r>
              <w:t>Implement systems and processes that underpin high quality research and analysis</w:t>
            </w:r>
          </w:p>
        </w:tc>
      </w:tr>
      <w:tr w:rsidR="009575C3" w:rsidRPr="00C978B9" w14:paraId="2692D89E" w14:textId="77777777" w:rsidTr="00742966">
        <w:tc>
          <w:tcPr>
            <w:tcW w:w="2714" w:type="dxa"/>
          </w:tcPr>
          <w:p w14:paraId="2B120246" w14:textId="77777777" w:rsidR="001F2503" w:rsidRPr="00C978B9" w:rsidRDefault="0039395B" w:rsidP="00CC7829">
            <w:pPr>
              <w:pStyle w:val="TableText"/>
              <w:rPr>
                <w:b/>
              </w:rPr>
            </w:pPr>
            <w:r>
              <w:rPr>
                <w:b/>
              </w:rPr>
              <w:t>Business Enablers</w:t>
            </w:r>
          </w:p>
          <w:p w14:paraId="6CEDF252" w14:textId="77777777" w:rsidR="001F2503" w:rsidRPr="00C978B9" w:rsidRDefault="009575C3" w:rsidP="0039395B">
            <w:pPr>
              <w:pStyle w:val="TableText"/>
            </w:pPr>
            <w:r>
              <w:t xml:space="preserve">Project management </w:t>
            </w:r>
          </w:p>
        </w:tc>
        <w:tc>
          <w:tcPr>
            <w:tcW w:w="2348" w:type="dxa"/>
          </w:tcPr>
          <w:p w14:paraId="7F762B25" w14:textId="77777777" w:rsidR="001F2503" w:rsidRPr="00C978B9" w:rsidRDefault="009575C3" w:rsidP="0039395B">
            <w:pPr>
              <w:pStyle w:val="TableText"/>
              <w:rPr>
                <w:rFonts w:cs="Arial"/>
                <w:color w:val="000000"/>
              </w:rPr>
            </w:pPr>
            <w:r>
              <w:rPr>
                <w:rFonts w:cs="Arial"/>
                <w:color w:val="000000"/>
              </w:rPr>
              <w:t>Adept</w:t>
            </w:r>
          </w:p>
        </w:tc>
        <w:tc>
          <w:tcPr>
            <w:tcW w:w="5795" w:type="dxa"/>
          </w:tcPr>
          <w:p w14:paraId="73623847" w14:textId="77777777" w:rsidR="009575C3" w:rsidRDefault="009575C3" w:rsidP="0039395B">
            <w:pPr>
              <w:pStyle w:val="TableBullet"/>
            </w:pPr>
            <w:r>
              <w:t>Prepare clear project proposal and define scope and goals in measurable terms</w:t>
            </w:r>
          </w:p>
          <w:p w14:paraId="1A15F627" w14:textId="77777777" w:rsidR="009575C3" w:rsidRDefault="009575C3" w:rsidP="0039395B">
            <w:pPr>
              <w:pStyle w:val="TableBullet"/>
            </w:pPr>
            <w:r>
              <w:t>Establish performance outcomes and measures for key project goals, and define monitoring, reporting and communication requirements</w:t>
            </w:r>
          </w:p>
          <w:p w14:paraId="57910178" w14:textId="77777777" w:rsidR="009575C3" w:rsidRDefault="009575C3" w:rsidP="0039395B">
            <w:pPr>
              <w:pStyle w:val="TableBullet"/>
            </w:pPr>
            <w:r>
              <w:t>Prepare accurate estimates of costs and resources required for more complex projects</w:t>
            </w:r>
          </w:p>
          <w:p w14:paraId="70F2477C" w14:textId="77777777" w:rsidR="009575C3" w:rsidRDefault="009575C3" w:rsidP="0039395B">
            <w:pPr>
              <w:pStyle w:val="TableBullet"/>
            </w:pPr>
            <w:r>
              <w:t>Communicate the project strategy and its expected benefits to others</w:t>
            </w:r>
          </w:p>
          <w:p w14:paraId="19AD59A8" w14:textId="77777777" w:rsidR="009575C3" w:rsidRDefault="009575C3" w:rsidP="0039395B">
            <w:pPr>
              <w:pStyle w:val="TableBullet"/>
            </w:pPr>
            <w:r>
              <w:t>Monitor the completion of project milestones against goals and initiate amendments where necessary</w:t>
            </w:r>
          </w:p>
          <w:p w14:paraId="2A555461" w14:textId="77777777" w:rsidR="001F2503" w:rsidRPr="00C978B9" w:rsidRDefault="009575C3" w:rsidP="00C45530">
            <w:pPr>
              <w:pStyle w:val="TableBullet"/>
            </w:pPr>
            <w:r>
              <w:t>Evaluate progress and identify improvements to inform future projects.</w:t>
            </w:r>
          </w:p>
        </w:tc>
      </w:tr>
    </w:tbl>
    <w:p w14:paraId="6A8CF4E5" w14:textId="77777777" w:rsidR="00A623CB" w:rsidRDefault="00A623CB"/>
    <w:sectPr w:rsidR="00A623CB"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1BD29" w14:textId="77777777" w:rsidR="009B2167" w:rsidRDefault="009B2167" w:rsidP="00BB532F">
      <w:pPr>
        <w:spacing w:after="0" w:line="240" w:lineRule="auto"/>
      </w:pPr>
      <w:r>
        <w:separator/>
      </w:r>
    </w:p>
  </w:endnote>
  <w:endnote w:type="continuationSeparator" w:id="0">
    <w:p w14:paraId="312113D6" w14:textId="77777777" w:rsidR="009B2167" w:rsidRDefault="009B216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4A186D3" w14:textId="77777777" w:rsidTr="00C03AFD">
      <w:tc>
        <w:tcPr>
          <w:tcW w:w="2250" w:type="pct"/>
          <w:vAlign w:val="center"/>
        </w:tcPr>
        <w:p w14:paraId="34CA1923" w14:textId="77777777"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Analyst</w:t>
          </w:r>
          <w:proofErr w:type="gramEnd"/>
          <w:r w:rsidR="00A5293F">
            <w:rPr>
              <w:color w:val="000000" w:themeColor="text1"/>
              <w:sz w:val="18"/>
            </w:rPr>
            <w:t xml:space="preserve"> (Intelligence)</w:t>
          </w:r>
        </w:p>
      </w:tc>
      <w:tc>
        <w:tcPr>
          <w:tcW w:w="250" w:type="pct"/>
          <w:vAlign w:val="center"/>
        </w:tcPr>
        <w:p w14:paraId="48332037"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801C8">
            <w:rPr>
              <w:noProof/>
              <w:color w:val="928B81"/>
              <w:sz w:val="18"/>
              <w:lang w:eastAsia="en-AU"/>
            </w:rPr>
            <w:t>3</w:t>
          </w:r>
          <w:r w:rsidRPr="00C03AFD">
            <w:rPr>
              <w:noProof/>
              <w:color w:val="928B81"/>
              <w:sz w:val="18"/>
              <w:lang w:eastAsia="en-AU"/>
            </w:rPr>
            <w:fldChar w:fldCharType="end"/>
          </w:r>
        </w:p>
      </w:tc>
      <w:tc>
        <w:tcPr>
          <w:tcW w:w="2350" w:type="pct"/>
        </w:tcPr>
        <w:p w14:paraId="6C67C947" w14:textId="77777777" w:rsidR="00C03AFD" w:rsidRDefault="00C03AFD" w:rsidP="00C03AFD">
          <w:pPr>
            <w:pStyle w:val="Footer"/>
            <w:jc w:val="right"/>
          </w:pPr>
          <w:r>
            <w:rPr>
              <w:noProof/>
              <w:lang w:val="en-AU" w:eastAsia="en-AU"/>
            </w:rPr>
            <w:drawing>
              <wp:inline distT="0" distB="0" distL="0" distR="0" wp14:anchorId="799F3570" wp14:editId="6BD20937">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3BE4B5C"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4EB6C46" w14:textId="77777777" w:rsidTr="0047547E">
      <w:trPr>
        <w:trHeight w:val="811"/>
      </w:trPr>
      <w:tc>
        <w:tcPr>
          <w:tcW w:w="10005" w:type="dxa"/>
          <w:vAlign w:val="bottom"/>
        </w:tcPr>
        <w:p w14:paraId="2BFFC1FB"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801C8">
            <w:rPr>
              <w:noProof/>
              <w:lang w:eastAsia="en-AU"/>
            </w:rPr>
            <w:t>1</w:t>
          </w:r>
          <w:r>
            <w:rPr>
              <w:noProof/>
              <w:lang w:eastAsia="en-AU"/>
            </w:rPr>
            <w:fldChar w:fldCharType="end"/>
          </w:r>
        </w:p>
      </w:tc>
      <w:tc>
        <w:tcPr>
          <w:tcW w:w="875" w:type="dxa"/>
        </w:tcPr>
        <w:p w14:paraId="0DC18A83" w14:textId="77777777" w:rsidR="00BB532F" w:rsidRDefault="00BB532F" w:rsidP="00BD7BA7">
          <w:pPr>
            <w:pStyle w:val="Footer"/>
            <w:jc w:val="right"/>
          </w:pPr>
          <w:r>
            <w:rPr>
              <w:noProof/>
              <w:lang w:val="en-AU" w:eastAsia="en-AU"/>
            </w:rPr>
            <w:drawing>
              <wp:inline distT="0" distB="0" distL="0" distR="0" wp14:anchorId="1ECE6EF5" wp14:editId="708375AF">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6A5AB78"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3A1D" w14:textId="77777777" w:rsidR="009B2167" w:rsidRDefault="009B2167" w:rsidP="00BB532F">
      <w:pPr>
        <w:spacing w:after="0" w:line="240" w:lineRule="auto"/>
      </w:pPr>
      <w:r>
        <w:separator/>
      </w:r>
    </w:p>
  </w:footnote>
  <w:footnote w:type="continuationSeparator" w:id="0">
    <w:p w14:paraId="1F2F49EA" w14:textId="77777777" w:rsidR="009B2167" w:rsidRDefault="009B216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4D6B59F" w14:textId="77777777" w:rsidTr="009D747B">
      <w:trPr>
        <w:trHeight w:val="1337"/>
      </w:trPr>
      <w:tc>
        <w:tcPr>
          <w:tcW w:w="7038" w:type="dxa"/>
        </w:tcPr>
        <w:p w14:paraId="65E14E02"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F7A8FD3" w14:textId="77777777" w:rsidR="007E2FB7" w:rsidRPr="001E49B2" w:rsidRDefault="001C2248" w:rsidP="00D95AF3">
          <w:pPr>
            <w:pStyle w:val="TitleSub"/>
            <w:spacing w:after="0"/>
            <w:rPr>
              <w:rFonts w:ascii="Arial" w:hAnsi="Arial" w:cs="Arial"/>
              <w:b/>
            </w:rPr>
          </w:pPr>
          <w:r w:rsidRPr="001E49B2">
            <w:rPr>
              <w:rFonts w:ascii="Arial" w:hAnsi="Arial" w:cs="Arial"/>
              <w:b/>
            </w:rPr>
            <w:t>Analyst</w:t>
          </w:r>
          <w:r w:rsidR="00A0489F">
            <w:rPr>
              <w:rFonts w:ascii="Arial" w:hAnsi="Arial" w:cs="Arial"/>
              <w:b/>
            </w:rPr>
            <w:t xml:space="preserve"> (Intelligence)</w:t>
          </w:r>
        </w:p>
      </w:tc>
      <w:tc>
        <w:tcPr>
          <w:tcW w:w="3665" w:type="dxa"/>
        </w:tcPr>
        <w:p w14:paraId="6BEC571C" w14:textId="77777777" w:rsidR="000477E1" w:rsidRPr="000477E1" w:rsidRDefault="003971B4" w:rsidP="00030565">
          <w:pPr>
            <w:jc w:val="right"/>
          </w:pPr>
          <w:r>
            <w:rPr>
              <w:noProof/>
              <w:lang w:val="en-AU" w:eastAsia="en-AU"/>
            </w:rPr>
            <w:drawing>
              <wp:inline distT="0" distB="0" distL="0" distR="0" wp14:anchorId="73B862D0" wp14:editId="03B3ABB2">
                <wp:extent cx="876300" cy="581025"/>
                <wp:effectExtent l="0" t="0" r="0" b="9525"/>
                <wp:docPr id="6" name="Picture 6" descr="C:\Users\henriqr\Desktop\EPA Logo.png"/>
                <wp:cNvGraphicFramePr/>
                <a:graphic xmlns:a="http://schemas.openxmlformats.org/drawingml/2006/main">
                  <a:graphicData uri="http://schemas.openxmlformats.org/drawingml/2006/picture">
                    <pic:pic xmlns:pic="http://schemas.openxmlformats.org/drawingml/2006/picture">
                      <pic:nvPicPr>
                        <pic:cNvPr id="6" name="Picture 6" descr="C:\Users\henriqr\Desktop\EPA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a:noFill/>
                        </a:ln>
                      </pic:spPr>
                    </pic:pic>
                  </a:graphicData>
                </a:graphic>
              </wp:inline>
            </w:drawing>
          </w:r>
        </w:p>
      </w:tc>
    </w:tr>
  </w:tbl>
  <w:p w14:paraId="1C0276B2"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3F73"/>
    <w:rsid w:val="000477E1"/>
    <w:rsid w:val="00060B58"/>
    <w:rsid w:val="000645C8"/>
    <w:rsid w:val="00067161"/>
    <w:rsid w:val="000A2621"/>
    <w:rsid w:val="000C3CC8"/>
    <w:rsid w:val="000D12B3"/>
    <w:rsid w:val="000D799A"/>
    <w:rsid w:val="000E53C0"/>
    <w:rsid w:val="000F231F"/>
    <w:rsid w:val="00104EC7"/>
    <w:rsid w:val="0011271C"/>
    <w:rsid w:val="001336E8"/>
    <w:rsid w:val="0013413E"/>
    <w:rsid w:val="00134F5E"/>
    <w:rsid w:val="00140A8C"/>
    <w:rsid w:val="00141E88"/>
    <w:rsid w:val="00146459"/>
    <w:rsid w:val="0015385D"/>
    <w:rsid w:val="00153F10"/>
    <w:rsid w:val="00165754"/>
    <w:rsid w:val="001671DC"/>
    <w:rsid w:val="0018091E"/>
    <w:rsid w:val="001815E8"/>
    <w:rsid w:val="00183D2B"/>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1041"/>
    <w:rsid w:val="001E2792"/>
    <w:rsid w:val="001E27DB"/>
    <w:rsid w:val="001E49B2"/>
    <w:rsid w:val="001E5957"/>
    <w:rsid w:val="001F2503"/>
    <w:rsid w:val="001F269A"/>
    <w:rsid w:val="00201E8B"/>
    <w:rsid w:val="00205A8A"/>
    <w:rsid w:val="00211F68"/>
    <w:rsid w:val="00237421"/>
    <w:rsid w:val="00240A8E"/>
    <w:rsid w:val="00254D9F"/>
    <w:rsid w:val="00257712"/>
    <w:rsid w:val="00263ACB"/>
    <w:rsid w:val="00280354"/>
    <w:rsid w:val="0028314F"/>
    <w:rsid w:val="0028454B"/>
    <w:rsid w:val="00287C54"/>
    <w:rsid w:val="002A648F"/>
    <w:rsid w:val="002B0B83"/>
    <w:rsid w:val="002B1F76"/>
    <w:rsid w:val="002C2823"/>
    <w:rsid w:val="002D36BB"/>
    <w:rsid w:val="002E524E"/>
    <w:rsid w:val="00301747"/>
    <w:rsid w:val="00325E9D"/>
    <w:rsid w:val="00327F5C"/>
    <w:rsid w:val="00340ADC"/>
    <w:rsid w:val="00343491"/>
    <w:rsid w:val="00345199"/>
    <w:rsid w:val="00346D51"/>
    <w:rsid w:val="00351826"/>
    <w:rsid w:val="00363301"/>
    <w:rsid w:val="00372A99"/>
    <w:rsid w:val="00373737"/>
    <w:rsid w:val="00375289"/>
    <w:rsid w:val="00377118"/>
    <w:rsid w:val="0039395B"/>
    <w:rsid w:val="003971B4"/>
    <w:rsid w:val="003A2AFA"/>
    <w:rsid w:val="003A3538"/>
    <w:rsid w:val="003B0F42"/>
    <w:rsid w:val="003B403A"/>
    <w:rsid w:val="003C00FD"/>
    <w:rsid w:val="003C031F"/>
    <w:rsid w:val="003C5EB3"/>
    <w:rsid w:val="003D46E4"/>
    <w:rsid w:val="003D5227"/>
    <w:rsid w:val="003E2663"/>
    <w:rsid w:val="003F42BD"/>
    <w:rsid w:val="004063EA"/>
    <w:rsid w:val="00411F3E"/>
    <w:rsid w:val="0041525E"/>
    <w:rsid w:val="004203B4"/>
    <w:rsid w:val="00436621"/>
    <w:rsid w:val="00442732"/>
    <w:rsid w:val="00446481"/>
    <w:rsid w:val="00466287"/>
    <w:rsid w:val="0047547E"/>
    <w:rsid w:val="004801C8"/>
    <w:rsid w:val="00484A00"/>
    <w:rsid w:val="0049089C"/>
    <w:rsid w:val="00492AA6"/>
    <w:rsid w:val="0049768E"/>
    <w:rsid w:val="004C45E2"/>
    <w:rsid w:val="004D0C22"/>
    <w:rsid w:val="004D27C8"/>
    <w:rsid w:val="004E44A5"/>
    <w:rsid w:val="004E474E"/>
    <w:rsid w:val="004E7F32"/>
    <w:rsid w:val="00502DBF"/>
    <w:rsid w:val="00521D19"/>
    <w:rsid w:val="00523CFF"/>
    <w:rsid w:val="00527FCF"/>
    <w:rsid w:val="005307BA"/>
    <w:rsid w:val="00545AC6"/>
    <w:rsid w:val="00551038"/>
    <w:rsid w:val="00554E64"/>
    <w:rsid w:val="0059035B"/>
    <w:rsid w:val="005A732E"/>
    <w:rsid w:val="005B10E1"/>
    <w:rsid w:val="005B5053"/>
    <w:rsid w:val="005C7AF5"/>
    <w:rsid w:val="005D71EA"/>
    <w:rsid w:val="005D7B85"/>
    <w:rsid w:val="005E6C59"/>
    <w:rsid w:val="005E75FC"/>
    <w:rsid w:val="005F5FD1"/>
    <w:rsid w:val="005F7EE8"/>
    <w:rsid w:val="006022B4"/>
    <w:rsid w:val="00603D53"/>
    <w:rsid w:val="00612673"/>
    <w:rsid w:val="00612AFA"/>
    <w:rsid w:val="00614552"/>
    <w:rsid w:val="00621D45"/>
    <w:rsid w:val="00623950"/>
    <w:rsid w:val="00626492"/>
    <w:rsid w:val="0063544E"/>
    <w:rsid w:val="006421F5"/>
    <w:rsid w:val="006538BF"/>
    <w:rsid w:val="00674D4C"/>
    <w:rsid w:val="00683870"/>
    <w:rsid w:val="00697310"/>
    <w:rsid w:val="00697BC4"/>
    <w:rsid w:val="006A2280"/>
    <w:rsid w:val="006B723B"/>
    <w:rsid w:val="006C2473"/>
    <w:rsid w:val="006C4218"/>
    <w:rsid w:val="006D1FBC"/>
    <w:rsid w:val="006E28E7"/>
    <w:rsid w:val="006F6652"/>
    <w:rsid w:val="006F7124"/>
    <w:rsid w:val="00701F8B"/>
    <w:rsid w:val="007041EA"/>
    <w:rsid w:val="0070442F"/>
    <w:rsid w:val="007241B1"/>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692C"/>
    <w:rsid w:val="007B7C1F"/>
    <w:rsid w:val="007C21C8"/>
    <w:rsid w:val="007C5BDC"/>
    <w:rsid w:val="007D0E2E"/>
    <w:rsid w:val="007E2FB7"/>
    <w:rsid w:val="00805561"/>
    <w:rsid w:val="00806FE1"/>
    <w:rsid w:val="00807ED1"/>
    <w:rsid w:val="00817B11"/>
    <w:rsid w:val="008203EE"/>
    <w:rsid w:val="0082239E"/>
    <w:rsid w:val="008267A0"/>
    <w:rsid w:val="0083547C"/>
    <w:rsid w:val="00835745"/>
    <w:rsid w:val="008476E6"/>
    <w:rsid w:val="0085706D"/>
    <w:rsid w:val="00860904"/>
    <w:rsid w:val="0086784B"/>
    <w:rsid w:val="008A0EBB"/>
    <w:rsid w:val="008A13AC"/>
    <w:rsid w:val="008B74C1"/>
    <w:rsid w:val="008C0B4D"/>
    <w:rsid w:val="008C37C8"/>
    <w:rsid w:val="008D0B92"/>
    <w:rsid w:val="008D7766"/>
    <w:rsid w:val="008D799E"/>
    <w:rsid w:val="008E08E3"/>
    <w:rsid w:val="00902EC0"/>
    <w:rsid w:val="009077E2"/>
    <w:rsid w:val="00910F45"/>
    <w:rsid w:val="00911725"/>
    <w:rsid w:val="009351E9"/>
    <w:rsid w:val="00940C04"/>
    <w:rsid w:val="00946D98"/>
    <w:rsid w:val="009575C3"/>
    <w:rsid w:val="00957666"/>
    <w:rsid w:val="00964A6C"/>
    <w:rsid w:val="00970179"/>
    <w:rsid w:val="00977E40"/>
    <w:rsid w:val="00984C36"/>
    <w:rsid w:val="00985984"/>
    <w:rsid w:val="00994DCE"/>
    <w:rsid w:val="0099587E"/>
    <w:rsid w:val="009979FA"/>
    <w:rsid w:val="009B2167"/>
    <w:rsid w:val="009B3103"/>
    <w:rsid w:val="009C12FA"/>
    <w:rsid w:val="009D2885"/>
    <w:rsid w:val="009D72FE"/>
    <w:rsid w:val="009D747B"/>
    <w:rsid w:val="00A00C30"/>
    <w:rsid w:val="00A02AEF"/>
    <w:rsid w:val="00A0489F"/>
    <w:rsid w:val="00A14A03"/>
    <w:rsid w:val="00A15313"/>
    <w:rsid w:val="00A2122C"/>
    <w:rsid w:val="00A41E4E"/>
    <w:rsid w:val="00A4412E"/>
    <w:rsid w:val="00A47353"/>
    <w:rsid w:val="00A50AE7"/>
    <w:rsid w:val="00A5293F"/>
    <w:rsid w:val="00A623CB"/>
    <w:rsid w:val="00A72CBE"/>
    <w:rsid w:val="00A7336C"/>
    <w:rsid w:val="00A73C38"/>
    <w:rsid w:val="00A77B0C"/>
    <w:rsid w:val="00A83932"/>
    <w:rsid w:val="00A85305"/>
    <w:rsid w:val="00A8686E"/>
    <w:rsid w:val="00A8732A"/>
    <w:rsid w:val="00A970A2"/>
    <w:rsid w:val="00AB120A"/>
    <w:rsid w:val="00AB50E4"/>
    <w:rsid w:val="00AC1AF9"/>
    <w:rsid w:val="00AC742D"/>
    <w:rsid w:val="00AC7DC9"/>
    <w:rsid w:val="00AD71D0"/>
    <w:rsid w:val="00AE14D7"/>
    <w:rsid w:val="00AF01AC"/>
    <w:rsid w:val="00AF7D0C"/>
    <w:rsid w:val="00B0574B"/>
    <w:rsid w:val="00B2037F"/>
    <w:rsid w:val="00B32691"/>
    <w:rsid w:val="00B407F6"/>
    <w:rsid w:val="00B635E3"/>
    <w:rsid w:val="00B72B4F"/>
    <w:rsid w:val="00B835C0"/>
    <w:rsid w:val="00B876AF"/>
    <w:rsid w:val="00BA759E"/>
    <w:rsid w:val="00BB532F"/>
    <w:rsid w:val="00BC08DA"/>
    <w:rsid w:val="00BC162D"/>
    <w:rsid w:val="00BC2FE4"/>
    <w:rsid w:val="00BD4DDA"/>
    <w:rsid w:val="00BE47D4"/>
    <w:rsid w:val="00BE4EAE"/>
    <w:rsid w:val="00C026A5"/>
    <w:rsid w:val="00C03AFD"/>
    <w:rsid w:val="00C11CF0"/>
    <w:rsid w:val="00C214AF"/>
    <w:rsid w:val="00C271F9"/>
    <w:rsid w:val="00C45530"/>
    <w:rsid w:val="00C517B6"/>
    <w:rsid w:val="00C63F0F"/>
    <w:rsid w:val="00C70636"/>
    <w:rsid w:val="00C70842"/>
    <w:rsid w:val="00C810DD"/>
    <w:rsid w:val="00C8340E"/>
    <w:rsid w:val="00CC76F2"/>
    <w:rsid w:val="00CE105E"/>
    <w:rsid w:val="00CE1E5E"/>
    <w:rsid w:val="00D5098F"/>
    <w:rsid w:val="00D55E55"/>
    <w:rsid w:val="00D6081A"/>
    <w:rsid w:val="00D663ED"/>
    <w:rsid w:val="00D67A17"/>
    <w:rsid w:val="00D74882"/>
    <w:rsid w:val="00D759EE"/>
    <w:rsid w:val="00D956AA"/>
    <w:rsid w:val="00D95AF3"/>
    <w:rsid w:val="00DA543F"/>
    <w:rsid w:val="00DC0173"/>
    <w:rsid w:val="00DC11EA"/>
    <w:rsid w:val="00DC4056"/>
    <w:rsid w:val="00DD0CC7"/>
    <w:rsid w:val="00DE2472"/>
    <w:rsid w:val="00DE58C6"/>
    <w:rsid w:val="00DE6C80"/>
    <w:rsid w:val="00DF1540"/>
    <w:rsid w:val="00DF5EB4"/>
    <w:rsid w:val="00E25470"/>
    <w:rsid w:val="00E27471"/>
    <w:rsid w:val="00E420C8"/>
    <w:rsid w:val="00E44564"/>
    <w:rsid w:val="00E6166E"/>
    <w:rsid w:val="00E72D70"/>
    <w:rsid w:val="00E80A46"/>
    <w:rsid w:val="00E83B02"/>
    <w:rsid w:val="00E85FA0"/>
    <w:rsid w:val="00E87997"/>
    <w:rsid w:val="00E906ED"/>
    <w:rsid w:val="00E95F38"/>
    <w:rsid w:val="00EA7A67"/>
    <w:rsid w:val="00EC0B04"/>
    <w:rsid w:val="00EC4A51"/>
    <w:rsid w:val="00EC5C1D"/>
    <w:rsid w:val="00ED176B"/>
    <w:rsid w:val="00EE07FB"/>
    <w:rsid w:val="00F103D3"/>
    <w:rsid w:val="00F31B35"/>
    <w:rsid w:val="00F339CD"/>
    <w:rsid w:val="00F33A43"/>
    <w:rsid w:val="00F41650"/>
    <w:rsid w:val="00F47143"/>
    <w:rsid w:val="00F81544"/>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22B94"/>
  <w15:docId w15:val="{2BE5C976-2E53-413C-BCE5-B74E9AC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9575C3"/>
    <w:rPr>
      <w:sz w:val="16"/>
      <w:szCs w:val="16"/>
    </w:rPr>
  </w:style>
  <w:style w:type="paragraph" w:styleId="CommentText">
    <w:name w:val="annotation text"/>
    <w:basedOn w:val="Normal"/>
    <w:link w:val="CommentTextChar"/>
    <w:uiPriority w:val="99"/>
    <w:semiHidden/>
    <w:unhideWhenUsed/>
    <w:rsid w:val="009575C3"/>
    <w:pPr>
      <w:spacing w:line="240" w:lineRule="auto"/>
    </w:pPr>
    <w:rPr>
      <w:sz w:val="20"/>
      <w:szCs w:val="20"/>
    </w:rPr>
  </w:style>
  <w:style w:type="character" w:customStyle="1" w:styleId="CommentTextChar">
    <w:name w:val="Comment Text Char"/>
    <w:basedOn w:val="DefaultParagraphFont"/>
    <w:link w:val="CommentText"/>
    <w:uiPriority w:val="99"/>
    <w:semiHidden/>
    <w:rsid w:val="009575C3"/>
    <w:rPr>
      <w:sz w:val="20"/>
      <w:szCs w:val="20"/>
    </w:rPr>
  </w:style>
  <w:style w:type="paragraph" w:styleId="CommentSubject">
    <w:name w:val="annotation subject"/>
    <w:basedOn w:val="CommentText"/>
    <w:next w:val="CommentText"/>
    <w:link w:val="CommentSubjectChar"/>
    <w:uiPriority w:val="99"/>
    <w:semiHidden/>
    <w:unhideWhenUsed/>
    <w:rsid w:val="009575C3"/>
    <w:rPr>
      <w:b/>
      <w:bCs/>
    </w:rPr>
  </w:style>
  <w:style w:type="character" w:customStyle="1" w:styleId="CommentSubjectChar">
    <w:name w:val="Comment Subject Char"/>
    <w:basedOn w:val="CommentTextChar"/>
    <w:link w:val="CommentSubject"/>
    <w:uiPriority w:val="99"/>
    <w:semiHidden/>
    <w:rsid w:val="00957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055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psc.nsw.gov.au/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2A8A-080F-47CB-A0F9-E3DB24F0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Gemma Battison</cp:lastModifiedBy>
  <cp:revision>2</cp:revision>
  <cp:lastPrinted>2017-10-13T01:06:00Z</cp:lastPrinted>
  <dcterms:created xsi:type="dcterms:W3CDTF">2020-12-09T06:13:00Z</dcterms:created>
  <dcterms:modified xsi:type="dcterms:W3CDTF">2020-12-09T06:13:00Z</dcterms:modified>
</cp:coreProperties>
</file>