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E02362" w14:paraId="04A56501"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FB3ADF8" w14:textId="77777777" w:rsidR="009077E2" w:rsidRPr="00E02362" w:rsidRDefault="00E95F38" w:rsidP="00DC0173">
            <w:pPr>
              <w:pStyle w:val="TableTextWhite"/>
              <w:rPr>
                <w:rFonts w:cs="Arial"/>
                <w:b/>
              </w:rPr>
            </w:pPr>
            <w:r w:rsidRPr="00E02362">
              <w:rPr>
                <w:rFonts w:cs="Arial"/>
                <w:b/>
              </w:rPr>
              <w:t>Agency</w:t>
            </w:r>
          </w:p>
        </w:tc>
        <w:tc>
          <w:tcPr>
            <w:tcW w:w="6561" w:type="dxa"/>
          </w:tcPr>
          <w:p w14:paraId="4B25CFE5" w14:textId="77777777" w:rsidR="009077E2" w:rsidRPr="00E02362" w:rsidRDefault="00A41FEC" w:rsidP="00DC0173">
            <w:pPr>
              <w:pStyle w:val="TableTextWhite"/>
              <w:rPr>
                <w:rFonts w:cs="Arial"/>
              </w:rPr>
            </w:pPr>
            <w:r w:rsidRPr="00E02362">
              <w:rPr>
                <w:rFonts w:cs="Arial"/>
              </w:rPr>
              <w:t>Public Service Commission</w:t>
            </w:r>
          </w:p>
        </w:tc>
      </w:tr>
      <w:tr w:rsidR="009077E2" w:rsidRPr="00E02362" w14:paraId="322F749D" w14:textId="77777777" w:rsidTr="008476E6">
        <w:tc>
          <w:tcPr>
            <w:tcW w:w="4026" w:type="dxa"/>
            <w:vAlign w:val="center"/>
          </w:tcPr>
          <w:p w14:paraId="58207E8D" w14:textId="77777777" w:rsidR="009077E2" w:rsidRPr="00E02362" w:rsidRDefault="00E95F38" w:rsidP="00DC0173">
            <w:pPr>
              <w:pStyle w:val="TableTextWhite"/>
              <w:rPr>
                <w:rFonts w:cs="Arial"/>
                <w:b/>
              </w:rPr>
            </w:pPr>
            <w:r w:rsidRPr="00E02362">
              <w:rPr>
                <w:rFonts w:cs="Arial"/>
                <w:b/>
              </w:rPr>
              <w:t>Branch/Unit</w:t>
            </w:r>
          </w:p>
        </w:tc>
        <w:tc>
          <w:tcPr>
            <w:tcW w:w="6561" w:type="dxa"/>
          </w:tcPr>
          <w:p w14:paraId="71A3C0FC" w14:textId="77777777" w:rsidR="009077E2" w:rsidRPr="00E02362" w:rsidRDefault="00A41FEC" w:rsidP="00A41FEC">
            <w:pPr>
              <w:pStyle w:val="TableTextWhite"/>
              <w:rPr>
                <w:rFonts w:cs="Arial"/>
              </w:rPr>
            </w:pPr>
            <w:r w:rsidRPr="00E02362">
              <w:rPr>
                <w:rFonts w:cs="Arial"/>
              </w:rPr>
              <w:t>Corporate</w:t>
            </w:r>
            <w:r w:rsidR="00E837AB" w:rsidRPr="00E02362">
              <w:rPr>
                <w:rFonts w:cs="Arial"/>
              </w:rPr>
              <w:t xml:space="preserve"> / </w:t>
            </w:r>
            <w:r w:rsidRPr="00E02362">
              <w:rPr>
                <w:rFonts w:cs="Arial"/>
              </w:rPr>
              <w:t>Finance</w:t>
            </w:r>
          </w:p>
        </w:tc>
      </w:tr>
      <w:tr w:rsidR="009077E2" w:rsidRPr="00E02362" w14:paraId="5B57EF48" w14:textId="77777777" w:rsidTr="008476E6">
        <w:tc>
          <w:tcPr>
            <w:tcW w:w="4026" w:type="dxa"/>
            <w:vAlign w:val="center"/>
          </w:tcPr>
          <w:p w14:paraId="6199889E" w14:textId="77777777" w:rsidR="009077E2" w:rsidRPr="00E02362" w:rsidRDefault="00E95F38" w:rsidP="00DC0173">
            <w:pPr>
              <w:pStyle w:val="TableTextWhite"/>
              <w:rPr>
                <w:rFonts w:cs="Arial"/>
                <w:b/>
              </w:rPr>
            </w:pPr>
            <w:r w:rsidRPr="00E02362">
              <w:rPr>
                <w:rFonts w:cs="Arial"/>
                <w:b/>
              </w:rPr>
              <w:t>Location</w:t>
            </w:r>
          </w:p>
        </w:tc>
        <w:tc>
          <w:tcPr>
            <w:tcW w:w="6561" w:type="dxa"/>
          </w:tcPr>
          <w:p w14:paraId="5A1B1094" w14:textId="77777777" w:rsidR="009077E2" w:rsidRPr="00E02362" w:rsidRDefault="00A41FEC" w:rsidP="00DC0173">
            <w:pPr>
              <w:pStyle w:val="TableTextWhite"/>
              <w:rPr>
                <w:rFonts w:cs="Arial"/>
              </w:rPr>
            </w:pPr>
            <w:r w:rsidRPr="00E02362">
              <w:rPr>
                <w:rFonts w:cs="Arial"/>
              </w:rPr>
              <w:t>Sydney CBD</w:t>
            </w:r>
          </w:p>
        </w:tc>
      </w:tr>
      <w:tr w:rsidR="009077E2" w:rsidRPr="00E02362" w14:paraId="4A4989B4" w14:textId="77777777" w:rsidTr="008476E6">
        <w:tc>
          <w:tcPr>
            <w:tcW w:w="4026" w:type="dxa"/>
            <w:vAlign w:val="center"/>
          </w:tcPr>
          <w:p w14:paraId="57837E1D" w14:textId="77777777" w:rsidR="009077E2" w:rsidRPr="00E02362" w:rsidRDefault="00E95F38" w:rsidP="00DC0173">
            <w:pPr>
              <w:pStyle w:val="TableTextWhite"/>
              <w:rPr>
                <w:rFonts w:cs="Arial"/>
                <w:b/>
              </w:rPr>
            </w:pPr>
            <w:r w:rsidRPr="00E02362">
              <w:rPr>
                <w:rFonts w:cs="Arial"/>
                <w:b/>
              </w:rPr>
              <w:t>Classification/Grade/Band</w:t>
            </w:r>
          </w:p>
        </w:tc>
        <w:tc>
          <w:tcPr>
            <w:tcW w:w="6561" w:type="dxa"/>
          </w:tcPr>
          <w:p w14:paraId="6A89FA05" w14:textId="77777777" w:rsidR="009077E2" w:rsidRPr="00E02362" w:rsidRDefault="0083685A" w:rsidP="00DC0173">
            <w:pPr>
              <w:pStyle w:val="TableTextWhite"/>
              <w:rPr>
                <w:rFonts w:cs="Arial"/>
              </w:rPr>
            </w:pPr>
            <w:r w:rsidRPr="00E02362">
              <w:rPr>
                <w:rFonts w:cs="Arial"/>
              </w:rPr>
              <w:t>Clerk Grade 11/12</w:t>
            </w:r>
          </w:p>
        </w:tc>
      </w:tr>
      <w:tr w:rsidR="0095624F" w:rsidRPr="00E02362" w14:paraId="6BB93731" w14:textId="77777777" w:rsidTr="008476E6">
        <w:tc>
          <w:tcPr>
            <w:tcW w:w="4026" w:type="dxa"/>
            <w:vAlign w:val="center"/>
          </w:tcPr>
          <w:p w14:paraId="023489D9" w14:textId="77777777" w:rsidR="0095624F" w:rsidRPr="00E02362" w:rsidRDefault="0095624F" w:rsidP="00DC0173">
            <w:pPr>
              <w:pStyle w:val="TableTextWhite"/>
              <w:rPr>
                <w:rFonts w:cs="Arial"/>
                <w:b/>
              </w:rPr>
            </w:pPr>
            <w:r w:rsidRPr="00E02362">
              <w:rPr>
                <w:rFonts w:cs="Arial"/>
                <w:b/>
              </w:rPr>
              <w:t>Kind of Employment</w:t>
            </w:r>
          </w:p>
        </w:tc>
        <w:tc>
          <w:tcPr>
            <w:tcW w:w="6561" w:type="dxa"/>
          </w:tcPr>
          <w:p w14:paraId="3498F9F0" w14:textId="77777777" w:rsidR="0095624F" w:rsidRPr="00E02362" w:rsidRDefault="0095624F" w:rsidP="00DC0173">
            <w:pPr>
              <w:pStyle w:val="TableTextWhite"/>
              <w:rPr>
                <w:rFonts w:cs="Arial"/>
              </w:rPr>
            </w:pPr>
            <w:r w:rsidRPr="00E02362">
              <w:rPr>
                <w:rFonts w:cs="Arial"/>
              </w:rPr>
              <w:t>Ongoing</w:t>
            </w:r>
          </w:p>
        </w:tc>
      </w:tr>
      <w:tr w:rsidR="009077E2" w:rsidRPr="00E02362" w14:paraId="56ACE3DD" w14:textId="77777777" w:rsidTr="008476E6">
        <w:tc>
          <w:tcPr>
            <w:tcW w:w="4026" w:type="dxa"/>
            <w:vAlign w:val="center"/>
          </w:tcPr>
          <w:p w14:paraId="4C87507E" w14:textId="77777777" w:rsidR="009077E2" w:rsidRPr="00E02362" w:rsidRDefault="00E95F38" w:rsidP="00DC0173">
            <w:pPr>
              <w:pStyle w:val="TableTextWhite"/>
              <w:rPr>
                <w:rFonts w:cs="Arial"/>
                <w:b/>
              </w:rPr>
            </w:pPr>
            <w:r w:rsidRPr="00E02362">
              <w:rPr>
                <w:rFonts w:cs="Arial"/>
                <w:b/>
              </w:rPr>
              <w:t>ANZSCO Code</w:t>
            </w:r>
          </w:p>
        </w:tc>
        <w:tc>
          <w:tcPr>
            <w:tcW w:w="6561" w:type="dxa"/>
          </w:tcPr>
          <w:p w14:paraId="7E27C491" w14:textId="77777777" w:rsidR="009077E2" w:rsidRPr="00E02362" w:rsidRDefault="0014120F" w:rsidP="00DC0173">
            <w:pPr>
              <w:pStyle w:val="TableTextWhite"/>
              <w:rPr>
                <w:rFonts w:cs="Arial"/>
              </w:rPr>
            </w:pPr>
            <w:r w:rsidRPr="00E02362">
              <w:rPr>
                <w:rFonts w:cs="Arial"/>
              </w:rPr>
              <w:t>132211</w:t>
            </w:r>
          </w:p>
        </w:tc>
      </w:tr>
      <w:tr w:rsidR="009077E2" w:rsidRPr="00E02362" w14:paraId="2CCEA031" w14:textId="77777777" w:rsidTr="008476E6">
        <w:tc>
          <w:tcPr>
            <w:tcW w:w="4026" w:type="dxa"/>
            <w:vAlign w:val="center"/>
          </w:tcPr>
          <w:p w14:paraId="41AE726C" w14:textId="77777777" w:rsidR="009077E2" w:rsidRPr="00E02362" w:rsidRDefault="00E95F38" w:rsidP="00DC0173">
            <w:pPr>
              <w:pStyle w:val="TableTextWhite"/>
              <w:rPr>
                <w:rFonts w:cs="Arial"/>
                <w:b/>
              </w:rPr>
            </w:pPr>
            <w:r w:rsidRPr="00E02362">
              <w:rPr>
                <w:rFonts w:cs="Arial"/>
                <w:b/>
              </w:rPr>
              <w:t>PCAT Code</w:t>
            </w:r>
          </w:p>
        </w:tc>
        <w:tc>
          <w:tcPr>
            <w:tcW w:w="6561" w:type="dxa"/>
          </w:tcPr>
          <w:p w14:paraId="5C686A9B" w14:textId="77777777" w:rsidR="009077E2" w:rsidRPr="00E02362" w:rsidRDefault="0014120F" w:rsidP="00DC0173">
            <w:pPr>
              <w:pStyle w:val="TableTextWhite"/>
              <w:rPr>
                <w:rFonts w:cs="Arial"/>
              </w:rPr>
            </w:pPr>
            <w:r w:rsidRPr="00E02362">
              <w:rPr>
                <w:rFonts w:cs="Arial"/>
              </w:rPr>
              <w:t>1223392</w:t>
            </w:r>
          </w:p>
        </w:tc>
      </w:tr>
      <w:tr w:rsidR="009077E2" w:rsidRPr="00E02362" w14:paraId="5EC7D583" w14:textId="77777777" w:rsidTr="008476E6">
        <w:tc>
          <w:tcPr>
            <w:tcW w:w="4026" w:type="dxa"/>
            <w:vAlign w:val="center"/>
          </w:tcPr>
          <w:p w14:paraId="0DE43026" w14:textId="77777777" w:rsidR="009077E2" w:rsidRPr="00E02362" w:rsidRDefault="00E95F38" w:rsidP="00DC0173">
            <w:pPr>
              <w:pStyle w:val="TableTextWhite"/>
              <w:rPr>
                <w:rFonts w:cs="Arial"/>
                <w:b/>
              </w:rPr>
            </w:pPr>
            <w:r w:rsidRPr="00E02362">
              <w:rPr>
                <w:rFonts w:cs="Arial"/>
                <w:b/>
              </w:rPr>
              <w:t>Date of Approval</w:t>
            </w:r>
          </w:p>
        </w:tc>
        <w:tc>
          <w:tcPr>
            <w:tcW w:w="6561" w:type="dxa"/>
          </w:tcPr>
          <w:p w14:paraId="0617EC10" w14:textId="110A2BD2" w:rsidR="009077E2" w:rsidRPr="00E02362" w:rsidRDefault="00A72256" w:rsidP="00DC0173">
            <w:pPr>
              <w:pStyle w:val="TableTextWhite"/>
              <w:rPr>
                <w:rFonts w:cs="Arial"/>
              </w:rPr>
            </w:pPr>
            <w:r>
              <w:rPr>
                <w:rFonts w:cs="Arial"/>
              </w:rPr>
              <w:t>October</w:t>
            </w:r>
            <w:r w:rsidR="0095624F" w:rsidRPr="00E02362">
              <w:rPr>
                <w:rFonts w:cs="Arial"/>
              </w:rPr>
              <w:t xml:space="preserve"> 201</w:t>
            </w:r>
            <w:r w:rsidR="00053255">
              <w:rPr>
                <w:rFonts w:cs="Arial"/>
              </w:rPr>
              <w:t>9</w:t>
            </w:r>
            <w:bookmarkStart w:id="0" w:name="_GoBack"/>
            <w:bookmarkEnd w:id="0"/>
          </w:p>
        </w:tc>
      </w:tr>
      <w:tr w:rsidR="009077E2" w:rsidRPr="00E02362" w14:paraId="1C9926A8" w14:textId="77777777" w:rsidTr="008476E6">
        <w:tc>
          <w:tcPr>
            <w:tcW w:w="4026" w:type="dxa"/>
            <w:vAlign w:val="center"/>
          </w:tcPr>
          <w:p w14:paraId="3356E92B" w14:textId="77777777" w:rsidR="009077E2" w:rsidRPr="00E02362" w:rsidRDefault="00E95F38" w:rsidP="00DC0173">
            <w:pPr>
              <w:pStyle w:val="TableTextWhite"/>
              <w:rPr>
                <w:rFonts w:cs="Arial"/>
                <w:b/>
              </w:rPr>
            </w:pPr>
            <w:r w:rsidRPr="00E02362">
              <w:rPr>
                <w:rFonts w:cs="Arial"/>
                <w:b/>
              </w:rPr>
              <w:t>Agency Website</w:t>
            </w:r>
          </w:p>
        </w:tc>
        <w:tc>
          <w:tcPr>
            <w:tcW w:w="6561" w:type="dxa"/>
          </w:tcPr>
          <w:p w14:paraId="283BE3A6" w14:textId="77777777" w:rsidR="009077E2" w:rsidRPr="00E02362" w:rsidRDefault="00E95F38" w:rsidP="00A41FEC">
            <w:pPr>
              <w:pStyle w:val="TableTextWhite"/>
              <w:rPr>
                <w:rFonts w:cs="Arial"/>
              </w:rPr>
            </w:pPr>
            <w:r w:rsidRPr="00E02362">
              <w:rPr>
                <w:rFonts w:cs="Arial"/>
              </w:rPr>
              <w:t>www.</w:t>
            </w:r>
            <w:r w:rsidR="00A41FEC" w:rsidRPr="00E02362">
              <w:rPr>
                <w:rFonts w:cs="Arial"/>
              </w:rPr>
              <w:t>psc</w:t>
            </w:r>
            <w:r w:rsidRPr="00E02362">
              <w:rPr>
                <w:rFonts w:cs="Arial"/>
              </w:rPr>
              <w:t>.nsw.gov.au</w:t>
            </w:r>
          </w:p>
        </w:tc>
        <w:bookmarkStart w:id="1" w:name="Cluster"/>
        <w:bookmarkEnd w:id="1"/>
      </w:tr>
    </w:tbl>
    <w:p w14:paraId="3A6CBC38" w14:textId="77777777" w:rsidR="00A41FEC" w:rsidRPr="00E02362" w:rsidRDefault="00A41FEC" w:rsidP="00A41FEC">
      <w:pPr>
        <w:keepNext/>
        <w:spacing w:after="120" w:line="400" w:lineRule="atLeast"/>
        <w:outlineLvl w:val="0"/>
        <w:rPr>
          <w:rFonts w:eastAsiaTheme="minorHAnsi" w:cs="Arial"/>
          <w:b/>
          <w:bCs/>
          <w:kern w:val="32"/>
          <w:sz w:val="26"/>
          <w:szCs w:val="32"/>
          <w:lang w:val="en-AU"/>
        </w:rPr>
      </w:pPr>
      <w:r w:rsidRPr="00E02362">
        <w:rPr>
          <w:rFonts w:eastAsiaTheme="minorHAnsi" w:cs="Arial"/>
          <w:b/>
          <w:bCs/>
          <w:kern w:val="32"/>
          <w:sz w:val="26"/>
          <w:szCs w:val="32"/>
          <w:lang w:val="en-AU"/>
        </w:rPr>
        <w:t>Agency overview</w:t>
      </w:r>
    </w:p>
    <w:p w14:paraId="787D8B3B" w14:textId="160F8496" w:rsidR="00A41FEC" w:rsidRPr="00E02362" w:rsidRDefault="00A41FEC" w:rsidP="00A41FEC">
      <w:pPr>
        <w:spacing w:after="120" w:line="260" w:lineRule="atLeast"/>
        <w:rPr>
          <w:rFonts w:eastAsiaTheme="minorHAnsi" w:cs="Arial"/>
          <w:color w:val="282828"/>
          <w:szCs w:val="20"/>
          <w:lang w:val="en-AU" w:eastAsia="en-AU"/>
        </w:rPr>
      </w:pPr>
      <w:r w:rsidRPr="00E02362">
        <w:rPr>
          <w:rFonts w:eastAsiaTheme="minorHAnsi" w:cs="Arial"/>
          <w:color w:val="282828"/>
          <w:szCs w:val="20"/>
          <w:lang w:val="en-AU" w:eastAsia="en-AU"/>
        </w:rPr>
        <w:t>The Public Service Commission (PSC) is headed by an independent Public Service Commissioner and is a separate agency under the Government Sector Employment Act 2013 (GSE Act) that supports the Comm</w:t>
      </w:r>
      <w:r w:rsidR="00E05FD8">
        <w:rPr>
          <w:rFonts w:eastAsiaTheme="minorHAnsi" w:cs="Arial"/>
          <w:color w:val="282828"/>
          <w:szCs w:val="20"/>
          <w:lang w:val="en-AU" w:eastAsia="en-AU"/>
        </w:rPr>
        <w:t xml:space="preserve">issioner in the exercise of </w:t>
      </w:r>
      <w:r w:rsidRPr="00E02362">
        <w:rPr>
          <w:rFonts w:eastAsiaTheme="minorHAnsi" w:cs="Arial"/>
          <w:color w:val="282828"/>
          <w:szCs w:val="20"/>
          <w:lang w:val="en-AU" w:eastAsia="en-AU"/>
        </w:rPr>
        <w:t>her functions and powers.</w:t>
      </w:r>
    </w:p>
    <w:p w14:paraId="03533CF1" w14:textId="77777777" w:rsidR="00A41FEC" w:rsidRPr="00E02362" w:rsidRDefault="00A41FEC" w:rsidP="00A41FEC">
      <w:pPr>
        <w:spacing w:after="120" w:line="260" w:lineRule="atLeast"/>
        <w:rPr>
          <w:rFonts w:eastAsiaTheme="minorHAnsi" w:cs="Arial"/>
          <w:color w:val="282828"/>
          <w:szCs w:val="20"/>
          <w:lang w:val="en-AU" w:eastAsia="en-AU"/>
        </w:rPr>
      </w:pPr>
      <w:r w:rsidRPr="00E02362">
        <w:rPr>
          <w:rFonts w:eastAsiaTheme="minorHAnsi" w:cs="Arial"/>
          <w:color w:val="282828"/>
          <w:szCs w:val="20"/>
          <w:lang w:val="en-AU" w:eastAsia="en-AU"/>
        </w:rPr>
        <w:t>The PSC leads the design, development and implementation of the full range of workforce management strategies - including workforce capability, recruitment and assessment, performance management, and strategic workforce planning - to enhance the effectiveness and efficiency of the NSW public sector workforce.</w:t>
      </w:r>
    </w:p>
    <w:p w14:paraId="2B55893F" w14:textId="77777777" w:rsidR="00037FD5" w:rsidRPr="00E02362" w:rsidRDefault="00037FD5" w:rsidP="00A41FEC">
      <w:pPr>
        <w:spacing w:after="120" w:line="260" w:lineRule="atLeast"/>
        <w:rPr>
          <w:rFonts w:cs="Arial"/>
          <w:b/>
          <w:bCs/>
          <w:color w:val="282828"/>
          <w:szCs w:val="20"/>
          <w:lang w:val="en-AU" w:eastAsia="en-AU"/>
        </w:rPr>
      </w:pPr>
      <w:r w:rsidRPr="00E02362">
        <w:rPr>
          <w:rFonts w:cs="Arial"/>
          <w:b/>
          <w:bCs/>
          <w:color w:val="282828"/>
          <w:szCs w:val="20"/>
          <w:lang w:val="en-AU" w:eastAsia="en-AU"/>
        </w:rPr>
        <w:t>Primary purpose of the role</w:t>
      </w:r>
    </w:p>
    <w:p w14:paraId="56CA5F57" w14:textId="68FA6439" w:rsidR="004C4F74" w:rsidRPr="004C4F74" w:rsidRDefault="004C4F74" w:rsidP="004C4F74">
      <w:pPr>
        <w:spacing w:after="120" w:line="260" w:lineRule="atLeast"/>
        <w:rPr>
          <w:rFonts w:eastAsiaTheme="minorHAnsi" w:cs="Arial"/>
          <w:color w:val="282828"/>
          <w:szCs w:val="20"/>
          <w:lang w:val="en-AU" w:eastAsia="en-AU"/>
        </w:rPr>
      </w:pPr>
      <w:r w:rsidRPr="004C4F74">
        <w:rPr>
          <w:rFonts w:eastAsiaTheme="minorHAnsi" w:cs="Arial"/>
          <w:color w:val="282828"/>
          <w:szCs w:val="20"/>
          <w:lang w:val="en-AU" w:eastAsia="en-AU"/>
        </w:rPr>
        <w:t>The Financial Controller provides strategic le</w:t>
      </w:r>
      <w:proofErr w:type="spellStart"/>
      <w:r>
        <w:rPr>
          <w:rFonts w:eastAsiaTheme="minorHAnsi"/>
          <w:color w:val="282828"/>
          <w:szCs w:val="20"/>
          <w:lang w:eastAsia="en-AU"/>
        </w:rPr>
        <w:t>adership</w:t>
      </w:r>
      <w:proofErr w:type="spellEnd"/>
      <w:r>
        <w:rPr>
          <w:rFonts w:eastAsiaTheme="minorHAnsi"/>
          <w:color w:val="282828"/>
          <w:szCs w:val="20"/>
          <w:lang w:eastAsia="en-AU"/>
        </w:rPr>
        <w:t xml:space="preserve"> and specific technical, </w:t>
      </w:r>
      <w:r w:rsidRPr="004C4F74">
        <w:rPr>
          <w:rFonts w:eastAsiaTheme="minorHAnsi" w:cs="Arial"/>
          <w:color w:val="282828"/>
          <w:szCs w:val="20"/>
          <w:lang w:val="en-AU" w:eastAsia="en-AU"/>
        </w:rPr>
        <w:t xml:space="preserve">business advice and guidance on all areas of financial management, including expert financial analysis, performance reporting to </w:t>
      </w:r>
      <w:r w:rsidR="00A41FEC" w:rsidRPr="004C4F74">
        <w:rPr>
          <w:rFonts w:eastAsiaTheme="minorHAnsi" w:cs="Arial"/>
          <w:color w:val="282828"/>
          <w:szCs w:val="20"/>
          <w:lang w:val="en-AU" w:eastAsia="en-AU"/>
        </w:rPr>
        <w:t>th</w:t>
      </w:r>
      <w:r w:rsidR="00E02362" w:rsidRPr="004C4F74">
        <w:rPr>
          <w:rFonts w:eastAsiaTheme="minorHAnsi" w:cs="Arial"/>
          <w:color w:val="282828"/>
          <w:szCs w:val="20"/>
          <w:lang w:val="en-AU" w:eastAsia="en-AU"/>
        </w:rPr>
        <w:t>e CFO</w:t>
      </w:r>
      <w:r w:rsidRPr="004C4F74">
        <w:rPr>
          <w:rFonts w:eastAsiaTheme="minorHAnsi" w:cs="Arial"/>
          <w:color w:val="282828"/>
          <w:szCs w:val="20"/>
          <w:lang w:val="en-AU" w:eastAsia="en-AU"/>
        </w:rPr>
        <w:t xml:space="preserve"> and the PSC’s Senior Leadership Team. </w:t>
      </w:r>
      <w:r w:rsidRPr="004C4F74">
        <w:rPr>
          <w:rFonts w:eastAsiaTheme="minorHAnsi"/>
          <w:color w:val="282828"/>
          <w:szCs w:val="20"/>
          <w:lang w:eastAsia="en-AU"/>
        </w:rPr>
        <w:t xml:space="preserve">The position ensures that appropriate systems of internal control and risk management are in place and that all statutory and administrative financial and reporting requirements in relation to public finances are met. </w:t>
      </w:r>
      <w:r w:rsidRPr="00E02362">
        <w:rPr>
          <w:rFonts w:eastAsiaTheme="minorHAnsi" w:cs="Arial"/>
          <w:color w:val="282828"/>
          <w:szCs w:val="20"/>
          <w:lang w:val="en-AU" w:eastAsia="en-AU"/>
        </w:rPr>
        <w:t xml:space="preserve">The role manages a range of finance related activities for the PSC including Treasury, statutory and other reporting, overseeing general accounting and reconciliations, Treasury management, Cash management, compliance management and tax management. </w:t>
      </w:r>
      <w:r w:rsidR="00FA5F22">
        <w:rPr>
          <w:rFonts w:eastAsiaTheme="minorHAnsi" w:cs="Arial"/>
          <w:color w:val="282828"/>
          <w:szCs w:val="20"/>
          <w:lang w:val="en-AU" w:eastAsia="en-AU"/>
        </w:rPr>
        <w:t xml:space="preserve">The role provides leadership to the Finance team and fosters a </w:t>
      </w:r>
      <w:r w:rsidR="00FA5F22">
        <w:rPr>
          <w:rFonts w:eastAsiaTheme="minorHAnsi"/>
          <w:color w:val="282828"/>
          <w:szCs w:val="20"/>
          <w:lang w:eastAsia="en-AU"/>
        </w:rPr>
        <w:t xml:space="preserve">team environment while also playing </w:t>
      </w:r>
      <w:r w:rsidRPr="004C4F74">
        <w:rPr>
          <w:rFonts w:eastAsiaTheme="minorHAnsi"/>
          <w:color w:val="282828"/>
          <w:szCs w:val="20"/>
          <w:lang w:eastAsia="en-AU"/>
        </w:rPr>
        <w:t xml:space="preserve">a business partner relationship </w:t>
      </w:r>
      <w:r w:rsidR="00FA5F22">
        <w:rPr>
          <w:rFonts w:eastAsiaTheme="minorHAnsi"/>
          <w:color w:val="282828"/>
          <w:szCs w:val="20"/>
          <w:lang w:eastAsia="en-AU"/>
        </w:rPr>
        <w:t xml:space="preserve">role with the provision of </w:t>
      </w:r>
      <w:r w:rsidRPr="004C4F74">
        <w:rPr>
          <w:rFonts w:eastAsiaTheme="minorHAnsi"/>
          <w:color w:val="282828"/>
          <w:szCs w:val="20"/>
          <w:lang w:eastAsia="en-AU"/>
        </w:rPr>
        <w:t xml:space="preserve">sound advice on financial and accounting matters to assist </w:t>
      </w:r>
      <w:r>
        <w:rPr>
          <w:rFonts w:eastAsiaTheme="minorHAnsi"/>
          <w:color w:val="282828"/>
          <w:szCs w:val="20"/>
          <w:lang w:eastAsia="en-AU"/>
        </w:rPr>
        <w:t xml:space="preserve">PSC </w:t>
      </w:r>
      <w:r w:rsidRPr="004C4F74">
        <w:rPr>
          <w:rFonts w:eastAsiaTheme="minorHAnsi"/>
          <w:color w:val="282828"/>
          <w:szCs w:val="20"/>
          <w:lang w:eastAsia="en-AU"/>
        </w:rPr>
        <w:t xml:space="preserve">business </w:t>
      </w:r>
      <w:r>
        <w:rPr>
          <w:rFonts w:eastAsiaTheme="minorHAnsi"/>
          <w:color w:val="282828"/>
          <w:szCs w:val="20"/>
          <w:lang w:eastAsia="en-AU"/>
        </w:rPr>
        <w:t xml:space="preserve">lines </w:t>
      </w:r>
      <w:r w:rsidRPr="004C4F74">
        <w:rPr>
          <w:rFonts w:eastAsiaTheme="minorHAnsi"/>
          <w:color w:val="282828"/>
          <w:szCs w:val="20"/>
          <w:lang w:eastAsia="en-AU"/>
        </w:rPr>
        <w:t>to meet its financial and commercial business objectives.</w:t>
      </w:r>
    </w:p>
    <w:p w14:paraId="2396E63D" w14:textId="77777777" w:rsidR="00F339CD" w:rsidRPr="00E02362" w:rsidRDefault="00F339CD" w:rsidP="00614552">
      <w:pPr>
        <w:pStyle w:val="Heading1"/>
      </w:pPr>
      <w:r w:rsidRPr="00E02362">
        <w:t>Key accountabilities</w:t>
      </w:r>
    </w:p>
    <w:p w14:paraId="295E9B2A" w14:textId="63A1AA1B" w:rsidR="00FF5222" w:rsidRPr="00E02362" w:rsidRDefault="00FF5222" w:rsidP="00A42DFA">
      <w:pPr>
        <w:rPr>
          <w:rFonts w:cs="Arial"/>
        </w:rPr>
      </w:pPr>
      <w:r w:rsidRPr="00E02362">
        <w:rPr>
          <w:rFonts w:cs="Arial"/>
        </w:rPr>
        <w:t>Supporting the CFO/Director</w:t>
      </w:r>
      <w:r w:rsidR="00D13D2C">
        <w:rPr>
          <w:rFonts w:cs="Arial"/>
        </w:rPr>
        <w:t xml:space="preserve"> Corporate</w:t>
      </w:r>
      <w:r w:rsidRPr="00E02362">
        <w:rPr>
          <w:rFonts w:cs="Arial"/>
        </w:rPr>
        <w:t xml:space="preserve">, </w:t>
      </w:r>
      <w:r w:rsidR="00D13D2C">
        <w:rPr>
          <w:rFonts w:cs="Arial"/>
        </w:rPr>
        <w:t xml:space="preserve">and providing direction and leadership to </w:t>
      </w:r>
      <w:r w:rsidRPr="00E02362">
        <w:rPr>
          <w:rFonts w:cs="Arial"/>
        </w:rPr>
        <w:t xml:space="preserve">the </w:t>
      </w:r>
      <w:r w:rsidR="00D13D2C">
        <w:rPr>
          <w:rFonts w:cs="Arial"/>
        </w:rPr>
        <w:t>Finance team</w:t>
      </w:r>
      <w:r w:rsidRPr="00E02362">
        <w:rPr>
          <w:rFonts w:cs="Arial"/>
        </w:rPr>
        <w:t xml:space="preserve"> to deliver the following:</w:t>
      </w:r>
    </w:p>
    <w:p w14:paraId="22F90F85" w14:textId="225F6A0F" w:rsidR="0070582F" w:rsidRDefault="0070582F" w:rsidP="0070582F">
      <w:pPr>
        <w:pStyle w:val="Default"/>
        <w:numPr>
          <w:ilvl w:val="0"/>
          <w:numId w:val="3"/>
        </w:numPr>
        <w:rPr>
          <w:sz w:val="22"/>
          <w:szCs w:val="22"/>
        </w:rPr>
      </w:pPr>
      <w:r>
        <w:rPr>
          <w:sz w:val="22"/>
          <w:szCs w:val="22"/>
        </w:rPr>
        <w:t xml:space="preserve">Provide strategic advice to PSC business lines on a range of financial issues including budgeting, resource planning and utilisation, asset management and performance analysis. </w:t>
      </w:r>
    </w:p>
    <w:p w14:paraId="47D51970" w14:textId="41747826" w:rsidR="0070582F" w:rsidRDefault="0070582F" w:rsidP="0070582F">
      <w:pPr>
        <w:pStyle w:val="Default"/>
        <w:numPr>
          <w:ilvl w:val="0"/>
          <w:numId w:val="3"/>
        </w:numPr>
        <w:rPr>
          <w:sz w:val="22"/>
          <w:szCs w:val="22"/>
        </w:rPr>
      </w:pPr>
      <w:r>
        <w:rPr>
          <w:sz w:val="22"/>
          <w:szCs w:val="22"/>
        </w:rPr>
        <w:t xml:space="preserve">Champion the development of sound finance policies, procedures, service standards, business rules and work plans. </w:t>
      </w:r>
    </w:p>
    <w:p w14:paraId="2961A823" w14:textId="2EBCFC37" w:rsidR="0070582F" w:rsidRDefault="00D13D2C" w:rsidP="0070582F">
      <w:pPr>
        <w:pStyle w:val="Default"/>
        <w:numPr>
          <w:ilvl w:val="0"/>
          <w:numId w:val="3"/>
        </w:numPr>
        <w:rPr>
          <w:sz w:val="22"/>
          <w:szCs w:val="22"/>
        </w:rPr>
      </w:pPr>
      <w:r>
        <w:rPr>
          <w:sz w:val="22"/>
          <w:szCs w:val="22"/>
        </w:rPr>
        <w:t>Oversee the</w:t>
      </w:r>
      <w:r w:rsidR="0070582F">
        <w:rPr>
          <w:sz w:val="22"/>
          <w:szCs w:val="22"/>
        </w:rPr>
        <w:t xml:space="preserve"> </w:t>
      </w:r>
      <w:r>
        <w:rPr>
          <w:sz w:val="22"/>
          <w:szCs w:val="22"/>
        </w:rPr>
        <w:t>management</w:t>
      </w:r>
      <w:r w:rsidR="0070582F">
        <w:rPr>
          <w:sz w:val="22"/>
          <w:szCs w:val="22"/>
        </w:rPr>
        <w:t xml:space="preserve"> of PSC’s financial control framework and ensure compliance with statutory and audit requirements, finance policies and procedures and accounting standards. </w:t>
      </w:r>
    </w:p>
    <w:p w14:paraId="0D5027CD" w14:textId="77777777" w:rsidR="00B36C70" w:rsidRDefault="004D4A59" w:rsidP="00B36C70">
      <w:pPr>
        <w:pStyle w:val="Default"/>
        <w:numPr>
          <w:ilvl w:val="0"/>
          <w:numId w:val="3"/>
        </w:numPr>
        <w:rPr>
          <w:sz w:val="22"/>
          <w:szCs w:val="22"/>
        </w:rPr>
      </w:pPr>
      <w:r w:rsidRPr="00B36C70">
        <w:rPr>
          <w:sz w:val="22"/>
          <w:szCs w:val="22"/>
        </w:rPr>
        <w:t xml:space="preserve">Manage the </w:t>
      </w:r>
      <w:r w:rsidR="00862CB3" w:rsidRPr="00B36C70">
        <w:rPr>
          <w:sz w:val="22"/>
          <w:szCs w:val="22"/>
        </w:rPr>
        <w:t xml:space="preserve">PSC </w:t>
      </w:r>
      <w:r w:rsidRPr="00B36C70">
        <w:rPr>
          <w:sz w:val="22"/>
          <w:szCs w:val="22"/>
        </w:rPr>
        <w:t>operating and capital budgets, financial forecasts and forward estimates</w:t>
      </w:r>
      <w:r w:rsidR="00E76634" w:rsidRPr="00B36C70">
        <w:rPr>
          <w:sz w:val="22"/>
          <w:szCs w:val="22"/>
        </w:rPr>
        <w:t xml:space="preserve"> </w:t>
      </w:r>
      <w:r w:rsidR="00E73B66" w:rsidRPr="00B36C70">
        <w:rPr>
          <w:sz w:val="22"/>
          <w:szCs w:val="22"/>
        </w:rPr>
        <w:t>to</w:t>
      </w:r>
      <w:r w:rsidR="00835328" w:rsidRPr="00B36C70">
        <w:rPr>
          <w:sz w:val="22"/>
          <w:szCs w:val="22"/>
        </w:rPr>
        <w:t xml:space="preserve"> ensure compliance with Treasury requirements</w:t>
      </w:r>
      <w:r w:rsidR="00E73B66" w:rsidRPr="00B36C70">
        <w:rPr>
          <w:sz w:val="22"/>
          <w:szCs w:val="22"/>
        </w:rPr>
        <w:t>.</w:t>
      </w:r>
    </w:p>
    <w:p w14:paraId="023EA925" w14:textId="57139B4B" w:rsidR="00A42DFA" w:rsidRPr="00B36C70" w:rsidRDefault="00D13D2C" w:rsidP="00B36C70">
      <w:pPr>
        <w:pStyle w:val="Default"/>
        <w:numPr>
          <w:ilvl w:val="0"/>
          <w:numId w:val="3"/>
        </w:numPr>
        <w:rPr>
          <w:sz w:val="22"/>
          <w:szCs w:val="22"/>
        </w:rPr>
      </w:pPr>
      <w:r w:rsidRPr="00B36C70">
        <w:rPr>
          <w:sz w:val="22"/>
          <w:szCs w:val="22"/>
        </w:rPr>
        <w:lastRenderedPageBreak/>
        <w:t>Guide the development of</w:t>
      </w:r>
      <w:r w:rsidR="00E837AB" w:rsidRPr="00B36C70">
        <w:rPr>
          <w:sz w:val="22"/>
          <w:szCs w:val="22"/>
        </w:rPr>
        <w:t xml:space="preserve"> </w:t>
      </w:r>
      <w:r w:rsidR="00AC089A" w:rsidRPr="00B36C70">
        <w:rPr>
          <w:sz w:val="22"/>
          <w:szCs w:val="22"/>
        </w:rPr>
        <w:t xml:space="preserve">monthly operating statements and accompanying </w:t>
      </w:r>
      <w:r w:rsidR="0070582F" w:rsidRPr="00B36C70">
        <w:rPr>
          <w:sz w:val="22"/>
          <w:szCs w:val="22"/>
        </w:rPr>
        <w:t>analysis</w:t>
      </w:r>
      <w:r w:rsidR="00A00B81" w:rsidRPr="00B36C70">
        <w:rPr>
          <w:sz w:val="22"/>
          <w:szCs w:val="22"/>
        </w:rPr>
        <w:t xml:space="preserve"> and </w:t>
      </w:r>
      <w:r w:rsidR="00E837AB" w:rsidRPr="00B36C70">
        <w:rPr>
          <w:sz w:val="22"/>
          <w:szCs w:val="22"/>
        </w:rPr>
        <w:t xml:space="preserve">performance reporting to the </w:t>
      </w:r>
      <w:r w:rsidR="00A42DFA" w:rsidRPr="00B36C70">
        <w:rPr>
          <w:sz w:val="22"/>
          <w:szCs w:val="22"/>
        </w:rPr>
        <w:t xml:space="preserve">branches and cost centres within the PSC to inform decision making regarding the allocation of funds. </w:t>
      </w:r>
    </w:p>
    <w:p w14:paraId="1D4B89E5" w14:textId="77777777" w:rsidR="00D13D2C" w:rsidRPr="00B36C70" w:rsidRDefault="00D13D2C" w:rsidP="00B36C70">
      <w:pPr>
        <w:pStyle w:val="Default"/>
        <w:numPr>
          <w:ilvl w:val="0"/>
          <w:numId w:val="3"/>
        </w:numPr>
        <w:rPr>
          <w:sz w:val="22"/>
          <w:szCs w:val="22"/>
        </w:rPr>
      </w:pPr>
      <w:r w:rsidRPr="00B36C70">
        <w:rPr>
          <w:sz w:val="22"/>
          <w:szCs w:val="22"/>
        </w:rPr>
        <w:t>Provide high level critical analysis on financial results and business unit initiatives and projects and provide advice regarding allocation of funds and the commercial viability/ impact on net cost of services.</w:t>
      </w:r>
    </w:p>
    <w:p w14:paraId="285A356F" w14:textId="6AC51E89" w:rsidR="00F339CD" w:rsidRPr="00B36C70" w:rsidRDefault="00A42DFA" w:rsidP="00B36C70">
      <w:pPr>
        <w:pStyle w:val="Default"/>
        <w:numPr>
          <w:ilvl w:val="0"/>
          <w:numId w:val="3"/>
        </w:numPr>
        <w:rPr>
          <w:sz w:val="22"/>
          <w:szCs w:val="22"/>
        </w:rPr>
      </w:pPr>
      <w:r w:rsidRPr="00B36C70">
        <w:rPr>
          <w:sz w:val="22"/>
          <w:szCs w:val="22"/>
        </w:rPr>
        <w:t>Manage the PSC’s cash flow budget and forecasts and manage and review all Treasury reconciliations and returns to meet PSC obligations</w:t>
      </w:r>
      <w:r w:rsidR="00835328" w:rsidRPr="00B36C70">
        <w:rPr>
          <w:sz w:val="22"/>
          <w:szCs w:val="22"/>
        </w:rPr>
        <w:t xml:space="preserve">. </w:t>
      </w:r>
    </w:p>
    <w:p w14:paraId="24E9EB2D" w14:textId="5AF11302" w:rsidR="00A00B81" w:rsidRPr="00B36C70" w:rsidRDefault="00B36C70" w:rsidP="00B36C70">
      <w:pPr>
        <w:pStyle w:val="Default"/>
        <w:numPr>
          <w:ilvl w:val="0"/>
          <w:numId w:val="3"/>
        </w:numPr>
        <w:rPr>
          <w:sz w:val="22"/>
          <w:szCs w:val="22"/>
        </w:rPr>
      </w:pPr>
      <w:r w:rsidRPr="00B36C70">
        <w:rPr>
          <w:sz w:val="22"/>
          <w:szCs w:val="22"/>
        </w:rPr>
        <w:t xml:space="preserve">Actively manage </w:t>
      </w:r>
      <w:r w:rsidR="00D13D2C" w:rsidRPr="00B36C70">
        <w:rPr>
          <w:sz w:val="22"/>
          <w:szCs w:val="22"/>
        </w:rPr>
        <w:t xml:space="preserve">the relationship </w:t>
      </w:r>
      <w:r w:rsidR="00A00B81" w:rsidRPr="00B36C70">
        <w:rPr>
          <w:sz w:val="22"/>
          <w:szCs w:val="22"/>
        </w:rPr>
        <w:t>with the shared service provider to ensure all services are p</w:t>
      </w:r>
      <w:r w:rsidR="006A3BB5" w:rsidRPr="00B36C70">
        <w:rPr>
          <w:sz w:val="22"/>
          <w:szCs w:val="22"/>
        </w:rPr>
        <w:t xml:space="preserve">rovided on time and accurately </w:t>
      </w:r>
      <w:r w:rsidR="00A00B81" w:rsidRPr="00B36C70">
        <w:rPr>
          <w:sz w:val="22"/>
          <w:szCs w:val="22"/>
        </w:rPr>
        <w:t>in relation to accounts payable, accounts receivable, fixed asset and general ledger.</w:t>
      </w:r>
    </w:p>
    <w:p w14:paraId="5C7D8306" w14:textId="461BE972" w:rsidR="002D4D9A" w:rsidRPr="00B36C70" w:rsidRDefault="00A72256" w:rsidP="00B36C70">
      <w:pPr>
        <w:pStyle w:val="Default"/>
        <w:numPr>
          <w:ilvl w:val="0"/>
          <w:numId w:val="3"/>
        </w:numPr>
        <w:rPr>
          <w:sz w:val="22"/>
          <w:szCs w:val="22"/>
        </w:rPr>
      </w:pPr>
      <w:r>
        <w:rPr>
          <w:sz w:val="22"/>
          <w:szCs w:val="22"/>
        </w:rPr>
        <w:t xml:space="preserve">Quality assures </w:t>
      </w:r>
      <w:r w:rsidR="002D4D9A" w:rsidRPr="00B36C70">
        <w:rPr>
          <w:sz w:val="22"/>
          <w:szCs w:val="22"/>
        </w:rPr>
        <w:t>budget variance analysis and work</w:t>
      </w:r>
      <w:r>
        <w:rPr>
          <w:sz w:val="22"/>
          <w:szCs w:val="22"/>
        </w:rPr>
        <w:t>s</w:t>
      </w:r>
      <w:r w:rsidR="002D4D9A" w:rsidRPr="00B36C70">
        <w:rPr>
          <w:sz w:val="22"/>
          <w:szCs w:val="22"/>
        </w:rPr>
        <w:t xml:space="preserve"> with the business to develop variance action plans.</w:t>
      </w:r>
    </w:p>
    <w:p w14:paraId="561859B7" w14:textId="77777777" w:rsidR="002D4D9A" w:rsidRPr="00B36C70" w:rsidRDefault="00C47BD9" w:rsidP="00B36C70">
      <w:pPr>
        <w:pStyle w:val="Default"/>
        <w:numPr>
          <w:ilvl w:val="0"/>
          <w:numId w:val="3"/>
        </w:numPr>
        <w:rPr>
          <w:sz w:val="22"/>
          <w:szCs w:val="22"/>
        </w:rPr>
      </w:pPr>
      <w:r w:rsidRPr="00B36C70">
        <w:rPr>
          <w:sz w:val="22"/>
          <w:szCs w:val="22"/>
        </w:rPr>
        <w:t>Provide</w:t>
      </w:r>
      <w:r w:rsidR="002D4D9A" w:rsidRPr="00B36C70">
        <w:rPr>
          <w:sz w:val="22"/>
          <w:szCs w:val="22"/>
        </w:rPr>
        <w:t xml:space="preserve"> advice to management on the drivers affecting the financial and budgetary position of the relevant division, department or cost centre</w:t>
      </w:r>
      <w:r w:rsidRPr="00B36C70">
        <w:rPr>
          <w:sz w:val="22"/>
          <w:szCs w:val="22"/>
        </w:rPr>
        <w:t xml:space="preserve">, and support in setting and monitoring savings targets to ensure the </w:t>
      </w:r>
      <w:r w:rsidR="00E372DE" w:rsidRPr="00B36C70">
        <w:rPr>
          <w:sz w:val="22"/>
          <w:szCs w:val="22"/>
        </w:rPr>
        <w:t xml:space="preserve">PSC </w:t>
      </w:r>
      <w:r w:rsidRPr="00B36C70">
        <w:rPr>
          <w:sz w:val="22"/>
          <w:szCs w:val="22"/>
        </w:rPr>
        <w:t>savings targets are achieved.</w:t>
      </w:r>
    </w:p>
    <w:p w14:paraId="0864C481" w14:textId="6453D3CD" w:rsidR="004E751C" w:rsidRPr="00B36C70" w:rsidRDefault="00A72256" w:rsidP="00B36C70">
      <w:pPr>
        <w:pStyle w:val="Default"/>
        <w:numPr>
          <w:ilvl w:val="0"/>
          <w:numId w:val="3"/>
        </w:numPr>
        <w:rPr>
          <w:sz w:val="22"/>
          <w:szCs w:val="22"/>
        </w:rPr>
      </w:pPr>
      <w:r>
        <w:rPr>
          <w:sz w:val="22"/>
          <w:szCs w:val="22"/>
        </w:rPr>
        <w:t>Ensure financial advice s</w:t>
      </w:r>
      <w:r w:rsidR="004E751C" w:rsidRPr="00B36C70">
        <w:rPr>
          <w:sz w:val="22"/>
          <w:szCs w:val="22"/>
        </w:rPr>
        <w:t>upport</w:t>
      </w:r>
      <w:r>
        <w:rPr>
          <w:sz w:val="22"/>
          <w:szCs w:val="22"/>
        </w:rPr>
        <w:t>s</w:t>
      </w:r>
      <w:r w:rsidR="004E751C" w:rsidRPr="00B36C70">
        <w:rPr>
          <w:sz w:val="22"/>
          <w:szCs w:val="22"/>
        </w:rPr>
        <w:t xml:space="preserve"> the preparation of robust business</w:t>
      </w:r>
      <w:r w:rsidR="006A5DAD" w:rsidRPr="00B36C70">
        <w:rPr>
          <w:sz w:val="22"/>
          <w:szCs w:val="22"/>
        </w:rPr>
        <w:t xml:space="preserve"> cases</w:t>
      </w:r>
      <w:r w:rsidR="004E751C" w:rsidRPr="00B36C70">
        <w:rPr>
          <w:sz w:val="22"/>
          <w:szCs w:val="22"/>
        </w:rPr>
        <w:t xml:space="preserve"> and improvements in project accounting.</w:t>
      </w:r>
    </w:p>
    <w:p w14:paraId="4A57A22F" w14:textId="39B463D1" w:rsidR="004E751C" w:rsidRPr="00B36C70" w:rsidRDefault="004E751C" w:rsidP="00B36C70">
      <w:pPr>
        <w:pStyle w:val="Default"/>
        <w:numPr>
          <w:ilvl w:val="0"/>
          <w:numId w:val="3"/>
        </w:numPr>
        <w:rPr>
          <w:sz w:val="22"/>
          <w:szCs w:val="22"/>
        </w:rPr>
      </w:pPr>
      <w:r w:rsidRPr="00B36C70">
        <w:rPr>
          <w:sz w:val="22"/>
          <w:szCs w:val="22"/>
        </w:rPr>
        <w:t xml:space="preserve">Liaise with external stakeholders, </w:t>
      </w:r>
      <w:r w:rsidR="006A5DAD" w:rsidRPr="00B36C70">
        <w:rPr>
          <w:sz w:val="22"/>
          <w:szCs w:val="22"/>
        </w:rPr>
        <w:t>including NSW T</w:t>
      </w:r>
      <w:r w:rsidRPr="00B36C70">
        <w:rPr>
          <w:sz w:val="22"/>
          <w:szCs w:val="22"/>
        </w:rPr>
        <w:t xml:space="preserve">reasury and </w:t>
      </w:r>
      <w:r w:rsidR="006A5DAD" w:rsidRPr="00B36C70">
        <w:rPr>
          <w:sz w:val="22"/>
          <w:szCs w:val="22"/>
        </w:rPr>
        <w:t xml:space="preserve">the </w:t>
      </w:r>
      <w:r w:rsidRPr="00B36C70">
        <w:rPr>
          <w:sz w:val="22"/>
          <w:szCs w:val="22"/>
        </w:rPr>
        <w:t xml:space="preserve">Audit Office </w:t>
      </w:r>
      <w:r w:rsidR="006A5DAD" w:rsidRPr="00B36C70">
        <w:rPr>
          <w:sz w:val="22"/>
          <w:szCs w:val="22"/>
        </w:rPr>
        <w:t>on</w:t>
      </w:r>
      <w:r w:rsidRPr="00B36C70">
        <w:rPr>
          <w:sz w:val="22"/>
          <w:szCs w:val="22"/>
        </w:rPr>
        <w:t xml:space="preserve"> all relevant financial matters.</w:t>
      </w:r>
    </w:p>
    <w:p w14:paraId="38501ABA" w14:textId="0357198C" w:rsidR="00E44574" w:rsidRPr="00B36C70" w:rsidRDefault="00A72256" w:rsidP="00B36C70">
      <w:pPr>
        <w:pStyle w:val="Default"/>
        <w:numPr>
          <w:ilvl w:val="0"/>
          <w:numId w:val="3"/>
        </w:numPr>
        <w:rPr>
          <w:sz w:val="22"/>
          <w:szCs w:val="22"/>
        </w:rPr>
      </w:pPr>
      <w:r>
        <w:rPr>
          <w:sz w:val="22"/>
          <w:szCs w:val="22"/>
        </w:rPr>
        <w:t xml:space="preserve">Oversee the delivery of finance activities </w:t>
      </w:r>
      <w:r w:rsidR="00E44574" w:rsidRPr="00B36C70">
        <w:rPr>
          <w:sz w:val="22"/>
          <w:szCs w:val="22"/>
        </w:rPr>
        <w:t xml:space="preserve">and </w:t>
      </w:r>
      <w:r>
        <w:rPr>
          <w:sz w:val="22"/>
          <w:szCs w:val="22"/>
        </w:rPr>
        <w:t xml:space="preserve">align </w:t>
      </w:r>
      <w:r w:rsidR="00E44574" w:rsidRPr="00B36C70">
        <w:rPr>
          <w:sz w:val="22"/>
          <w:szCs w:val="22"/>
        </w:rPr>
        <w:t xml:space="preserve">the work of the </w:t>
      </w:r>
      <w:r w:rsidR="006A5DAD" w:rsidRPr="00B36C70">
        <w:rPr>
          <w:sz w:val="22"/>
          <w:szCs w:val="22"/>
        </w:rPr>
        <w:t>agency</w:t>
      </w:r>
      <w:r w:rsidR="00B36C70">
        <w:rPr>
          <w:sz w:val="22"/>
          <w:szCs w:val="22"/>
        </w:rPr>
        <w:t xml:space="preserve"> to ensure that the PSC </w:t>
      </w:r>
      <w:r w:rsidR="00E44574" w:rsidRPr="00B36C70">
        <w:rPr>
          <w:sz w:val="22"/>
          <w:szCs w:val="22"/>
        </w:rPr>
        <w:t xml:space="preserve">is well prepared </w:t>
      </w:r>
      <w:r w:rsidR="006A5DAD" w:rsidRPr="00B36C70">
        <w:rPr>
          <w:sz w:val="22"/>
          <w:szCs w:val="22"/>
        </w:rPr>
        <w:t>to meet its</w:t>
      </w:r>
      <w:r w:rsidR="00E44574" w:rsidRPr="00B36C70">
        <w:rPr>
          <w:sz w:val="22"/>
          <w:szCs w:val="22"/>
        </w:rPr>
        <w:t xml:space="preserve"> deadlines</w:t>
      </w:r>
      <w:r w:rsidR="006A5DAD" w:rsidRPr="00B36C70">
        <w:rPr>
          <w:sz w:val="22"/>
          <w:szCs w:val="22"/>
        </w:rPr>
        <w:t xml:space="preserve">. </w:t>
      </w:r>
    </w:p>
    <w:p w14:paraId="7F36A7D4" w14:textId="77777777" w:rsidR="00F339CD" w:rsidRPr="00B36C70" w:rsidRDefault="004D4A59" w:rsidP="00B36C70">
      <w:pPr>
        <w:pStyle w:val="Default"/>
        <w:numPr>
          <w:ilvl w:val="0"/>
          <w:numId w:val="3"/>
        </w:numPr>
        <w:rPr>
          <w:sz w:val="22"/>
          <w:szCs w:val="22"/>
        </w:rPr>
      </w:pPr>
      <w:r w:rsidRPr="00B36C70">
        <w:rPr>
          <w:sz w:val="22"/>
          <w:szCs w:val="22"/>
        </w:rPr>
        <w:t xml:space="preserve">Work with the </w:t>
      </w:r>
      <w:r w:rsidR="00B62005" w:rsidRPr="00B36C70">
        <w:rPr>
          <w:sz w:val="22"/>
          <w:szCs w:val="22"/>
        </w:rPr>
        <w:t>CFO</w:t>
      </w:r>
      <w:r w:rsidRPr="00B36C70">
        <w:rPr>
          <w:sz w:val="22"/>
          <w:szCs w:val="22"/>
        </w:rPr>
        <w:t xml:space="preserve"> to establish and maintain effective financial management controls across the </w:t>
      </w:r>
      <w:r w:rsidR="00E372DE" w:rsidRPr="00B36C70">
        <w:rPr>
          <w:sz w:val="22"/>
          <w:szCs w:val="22"/>
        </w:rPr>
        <w:t xml:space="preserve">PSC </w:t>
      </w:r>
      <w:r w:rsidR="00C47BD9" w:rsidRPr="00B36C70">
        <w:rPr>
          <w:sz w:val="22"/>
          <w:szCs w:val="22"/>
        </w:rPr>
        <w:t xml:space="preserve">and lead financial and business reviews to improve and strengthen internal business process </w:t>
      </w:r>
      <w:r w:rsidR="002B0B93" w:rsidRPr="00B36C70">
        <w:rPr>
          <w:sz w:val="22"/>
          <w:szCs w:val="22"/>
        </w:rPr>
        <w:t xml:space="preserve">and financial sustainability </w:t>
      </w:r>
      <w:r w:rsidR="001939DD" w:rsidRPr="00B36C70">
        <w:rPr>
          <w:sz w:val="22"/>
          <w:szCs w:val="22"/>
        </w:rPr>
        <w:t>controls</w:t>
      </w:r>
      <w:r w:rsidR="002B0B93" w:rsidRPr="00B36C70">
        <w:rPr>
          <w:sz w:val="22"/>
          <w:szCs w:val="22"/>
        </w:rPr>
        <w:t xml:space="preserve"> and solutions</w:t>
      </w:r>
      <w:r w:rsidR="00A00B81" w:rsidRPr="00B36C70">
        <w:rPr>
          <w:sz w:val="22"/>
          <w:szCs w:val="22"/>
        </w:rPr>
        <w:t xml:space="preserve"> and develop accounting policies and procedures.</w:t>
      </w:r>
    </w:p>
    <w:p w14:paraId="6ED174DC" w14:textId="77777777" w:rsidR="001D097C" w:rsidRPr="00E02362" w:rsidRDefault="001D097C" w:rsidP="00A00B81">
      <w:pPr>
        <w:pStyle w:val="Heading1"/>
        <w:rPr>
          <w:bCs w:val="0"/>
        </w:rPr>
      </w:pPr>
      <w:r w:rsidRPr="00E02362">
        <w:rPr>
          <w:bCs w:val="0"/>
        </w:rPr>
        <w:t>Key challenges</w:t>
      </w:r>
    </w:p>
    <w:p w14:paraId="1429100C" w14:textId="170AC81F" w:rsidR="0070582F" w:rsidRDefault="0070582F" w:rsidP="0070582F">
      <w:pPr>
        <w:pStyle w:val="Default"/>
        <w:numPr>
          <w:ilvl w:val="0"/>
          <w:numId w:val="3"/>
        </w:numPr>
        <w:rPr>
          <w:sz w:val="22"/>
          <w:szCs w:val="22"/>
        </w:rPr>
      </w:pPr>
      <w:r>
        <w:rPr>
          <w:sz w:val="22"/>
          <w:szCs w:val="22"/>
        </w:rPr>
        <w:t>Establishing a trusted advisor status through quality decision making, sound advice, leadership and a proactive “can do” approach</w:t>
      </w:r>
      <w:r w:rsidR="00B36C70">
        <w:rPr>
          <w:sz w:val="22"/>
          <w:szCs w:val="22"/>
        </w:rPr>
        <w:t>.</w:t>
      </w:r>
      <w:r>
        <w:rPr>
          <w:sz w:val="22"/>
          <w:szCs w:val="22"/>
        </w:rPr>
        <w:t xml:space="preserve"> </w:t>
      </w:r>
    </w:p>
    <w:p w14:paraId="06595948" w14:textId="13ABF86C" w:rsidR="0070582F" w:rsidRDefault="0070582F" w:rsidP="0070582F">
      <w:pPr>
        <w:pStyle w:val="Default"/>
        <w:numPr>
          <w:ilvl w:val="0"/>
          <w:numId w:val="3"/>
        </w:numPr>
        <w:rPr>
          <w:sz w:val="22"/>
          <w:szCs w:val="22"/>
        </w:rPr>
      </w:pPr>
      <w:r>
        <w:rPr>
          <w:sz w:val="22"/>
          <w:szCs w:val="22"/>
        </w:rPr>
        <w:t xml:space="preserve">Providing relevant, accurate and timely financial/technical information to enable others to make appropriate, </w:t>
      </w:r>
      <w:proofErr w:type="gramStart"/>
      <w:r>
        <w:rPr>
          <w:sz w:val="22"/>
          <w:szCs w:val="22"/>
        </w:rPr>
        <w:t>evidence based</w:t>
      </w:r>
      <w:proofErr w:type="gramEnd"/>
      <w:r>
        <w:rPr>
          <w:sz w:val="22"/>
          <w:szCs w:val="22"/>
        </w:rPr>
        <w:t xml:space="preserve"> decisions</w:t>
      </w:r>
      <w:r w:rsidR="00B36C70">
        <w:rPr>
          <w:sz w:val="22"/>
          <w:szCs w:val="22"/>
        </w:rPr>
        <w:t>.</w:t>
      </w:r>
      <w:r>
        <w:rPr>
          <w:sz w:val="22"/>
          <w:szCs w:val="22"/>
        </w:rPr>
        <w:t xml:space="preserve"> </w:t>
      </w:r>
    </w:p>
    <w:p w14:paraId="229DC9C0" w14:textId="77777777" w:rsidR="00A72256" w:rsidRPr="00A72256" w:rsidRDefault="0070582F" w:rsidP="00B36C70">
      <w:pPr>
        <w:pStyle w:val="Default"/>
        <w:numPr>
          <w:ilvl w:val="0"/>
          <w:numId w:val="3"/>
        </w:numPr>
        <w:rPr>
          <w:color w:val="282828"/>
          <w:sz w:val="21"/>
          <w:szCs w:val="21"/>
        </w:rPr>
      </w:pPr>
      <w:r w:rsidRPr="00A72256">
        <w:rPr>
          <w:sz w:val="22"/>
          <w:szCs w:val="22"/>
        </w:rPr>
        <w:t>Identifying systemic problems in order to change services, processes or practices to prevent similar dissatisfactions and complaints in the future</w:t>
      </w:r>
      <w:r w:rsidR="00B36C70" w:rsidRPr="00A72256">
        <w:rPr>
          <w:sz w:val="22"/>
          <w:szCs w:val="22"/>
        </w:rPr>
        <w:t>.</w:t>
      </w:r>
      <w:r w:rsidRPr="00A72256">
        <w:rPr>
          <w:sz w:val="22"/>
          <w:szCs w:val="22"/>
        </w:rPr>
        <w:t xml:space="preserve"> </w:t>
      </w:r>
    </w:p>
    <w:p w14:paraId="29BE9337" w14:textId="1A51905C" w:rsidR="00B36C70" w:rsidRPr="00A72256" w:rsidRDefault="0070582F" w:rsidP="00B36C70">
      <w:pPr>
        <w:pStyle w:val="Default"/>
        <w:numPr>
          <w:ilvl w:val="0"/>
          <w:numId w:val="3"/>
        </w:numPr>
        <w:rPr>
          <w:color w:val="282828"/>
          <w:sz w:val="21"/>
          <w:szCs w:val="21"/>
        </w:rPr>
      </w:pPr>
      <w:r w:rsidRPr="00A72256">
        <w:rPr>
          <w:sz w:val="22"/>
          <w:szCs w:val="22"/>
        </w:rPr>
        <w:t xml:space="preserve">Maintaining high levels of technical expertise and knowledge and contributing to the development of staff within PSC </w:t>
      </w:r>
      <w:r w:rsidR="00B36C70" w:rsidRPr="00A72256">
        <w:rPr>
          <w:sz w:val="22"/>
          <w:szCs w:val="22"/>
        </w:rPr>
        <w:t xml:space="preserve">while keeping abreast of current and emerging best practice, government policy and statutory requirements. </w:t>
      </w:r>
    </w:p>
    <w:p w14:paraId="313C7454" w14:textId="786A598E" w:rsidR="0070582F" w:rsidRDefault="0070582F" w:rsidP="0070582F">
      <w:pPr>
        <w:pStyle w:val="Default"/>
        <w:numPr>
          <w:ilvl w:val="0"/>
          <w:numId w:val="3"/>
        </w:numPr>
        <w:rPr>
          <w:sz w:val="22"/>
          <w:szCs w:val="22"/>
        </w:rPr>
      </w:pPr>
      <w:r>
        <w:rPr>
          <w:sz w:val="22"/>
          <w:szCs w:val="22"/>
        </w:rPr>
        <w:t>Modifying or adapting established financial accounting methods, systems and policies to relate precedent to new or emerging situations and circumstances</w:t>
      </w:r>
      <w:r w:rsidR="00B36C70">
        <w:rPr>
          <w:sz w:val="22"/>
          <w:szCs w:val="22"/>
        </w:rPr>
        <w:t>.</w:t>
      </w:r>
      <w:r>
        <w:rPr>
          <w:sz w:val="22"/>
          <w:szCs w:val="22"/>
        </w:rPr>
        <w:t xml:space="preserve"> </w:t>
      </w:r>
    </w:p>
    <w:p w14:paraId="774796E6" w14:textId="7D426D5C" w:rsidR="0070582F" w:rsidRDefault="0070582F" w:rsidP="0070582F">
      <w:pPr>
        <w:pStyle w:val="Default"/>
        <w:numPr>
          <w:ilvl w:val="0"/>
          <w:numId w:val="3"/>
        </w:numPr>
        <w:rPr>
          <w:sz w:val="22"/>
          <w:szCs w:val="22"/>
        </w:rPr>
      </w:pPr>
      <w:r>
        <w:rPr>
          <w:sz w:val="22"/>
          <w:szCs w:val="22"/>
        </w:rPr>
        <w:t xml:space="preserve">Understanding the </w:t>
      </w:r>
      <w:proofErr w:type="gramStart"/>
      <w:r>
        <w:rPr>
          <w:sz w:val="22"/>
          <w:szCs w:val="22"/>
        </w:rPr>
        <w:t>longer term</w:t>
      </w:r>
      <w:proofErr w:type="gramEnd"/>
      <w:r>
        <w:rPr>
          <w:sz w:val="22"/>
          <w:szCs w:val="22"/>
        </w:rPr>
        <w:t xml:space="preserve"> implications and possible effects of providing advice about any particular matter with community, comme</w:t>
      </w:r>
      <w:r w:rsidR="00B36C70">
        <w:rPr>
          <w:sz w:val="22"/>
          <w:szCs w:val="22"/>
        </w:rPr>
        <w:t>rcial or political consequences.</w:t>
      </w:r>
    </w:p>
    <w:p w14:paraId="5551DEBA" w14:textId="77777777" w:rsidR="0070582F" w:rsidRPr="00E02362" w:rsidRDefault="0070582F" w:rsidP="0070582F">
      <w:pPr>
        <w:pStyle w:val="ListBullet"/>
        <w:numPr>
          <w:ilvl w:val="0"/>
          <w:numId w:val="0"/>
        </w:numPr>
        <w:ind w:left="720"/>
        <w:rPr>
          <w:rFonts w:ascii="Arial" w:hAnsi="Arial" w:cs="Arial"/>
          <w:color w:val="282828"/>
          <w:sz w:val="21"/>
          <w:szCs w:val="21"/>
        </w:rPr>
      </w:pPr>
    </w:p>
    <w:p w14:paraId="78DCE319" w14:textId="77777777" w:rsidR="00F339CD" w:rsidRPr="00E02362" w:rsidRDefault="00EC5C1D" w:rsidP="00CC76F2">
      <w:pPr>
        <w:tabs>
          <w:tab w:val="left" w:pos="2925"/>
        </w:tabs>
        <w:spacing w:line="240" w:lineRule="auto"/>
        <w:rPr>
          <w:rFonts w:cs="Arial"/>
          <w:b/>
          <w:sz w:val="28"/>
          <w:lang w:val="en-AU"/>
        </w:rPr>
      </w:pPr>
      <w:r w:rsidRPr="00E0236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E02362" w14:paraId="262FBB88"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4D013755" w14:textId="77777777" w:rsidR="00BB532F" w:rsidRPr="00E02362" w:rsidRDefault="00BB532F" w:rsidP="00FC7622">
            <w:pPr>
              <w:pStyle w:val="TableTextWhite0"/>
              <w:rPr>
                <w:rFonts w:cs="Arial"/>
              </w:rPr>
            </w:pPr>
            <w:r w:rsidRPr="00E02362">
              <w:rPr>
                <w:rFonts w:cs="Arial"/>
              </w:rPr>
              <w:t>Who</w:t>
            </w:r>
          </w:p>
        </w:tc>
        <w:tc>
          <w:tcPr>
            <w:tcW w:w="6986" w:type="dxa"/>
          </w:tcPr>
          <w:p w14:paraId="42B49E75" w14:textId="77777777" w:rsidR="00BB532F" w:rsidRPr="00E02362" w:rsidRDefault="00022223" w:rsidP="00022223">
            <w:pPr>
              <w:pStyle w:val="TableTextWhite0"/>
              <w:rPr>
                <w:rFonts w:cs="Arial"/>
              </w:rPr>
            </w:pPr>
            <w:r w:rsidRPr="00E02362">
              <w:rPr>
                <w:rFonts w:cs="Arial"/>
              </w:rPr>
              <w:t xml:space="preserve">       </w:t>
            </w:r>
            <w:r w:rsidR="00BB532F" w:rsidRPr="00E02362">
              <w:rPr>
                <w:rFonts w:cs="Arial"/>
              </w:rPr>
              <w:t>Why</w:t>
            </w:r>
          </w:p>
        </w:tc>
      </w:tr>
      <w:tr w:rsidR="00BB532F" w:rsidRPr="00E02362" w14:paraId="762F52A5" w14:textId="77777777" w:rsidTr="00CE105E">
        <w:tc>
          <w:tcPr>
            <w:tcW w:w="3601" w:type="dxa"/>
            <w:shd w:val="clear" w:color="auto" w:fill="BCBEC0"/>
          </w:tcPr>
          <w:p w14:paraId="103A1FC2" w14:textId="77777777" w:rsidR="00BB532F" w:rsidRPr="00E02362" w:rsidRDefault="00BB532F" w:rsidP="00FC7622">
            <w:pPr>
              <w:pStyle w:val="TableText"/>
              <w:keepNext/>
              <w:rPr>
                <w:rFonts w:cs="Arial"/>
                <w:b/>
              </w:rPr>
            </w:pPr>
            <w:r w:rsidRPr="00E02362">
              <w:rPr>
                <w:rFonts w:cs="Arial"/>
                <w:b/>
              </w:rPr>
              <w:t>Internal</w:t>
            </w:r>
          </w:p>
        </w:tc>
        <w:tc>
          <w:tcPr>
            <w:tcW w:w="6986" w:type="dxa"/>
            <w:shd w:val="clear" w:color="auto" w:fill="BCBEC0"/>
          </w:tcPr>
          <w:p w14:paraId="20E116AB" w14:textId="77777777" w:rsidR="00BB532F" w:rsidRPr="00E02362" w:rsidRDefault="00BB532F" w:rsidP="00FC7622">
            <w:pPr>
              <w:pStyle w:val="TableText"/>
              <w:keepNext/>
              <w:rPr>
                <w:rFonts w:cs="Arial"/>
                <w:b/>
              </w:rPr>
            </w:pPr>
          </w:p>
        </w:tc>
      </w:tr>
      <w:tr w:rsidR="00BB532F" w:rsidRPr="00E02362" w14:paraId="4BB24415" w14:textId="77777777" w:rsidTr="00CE105E">
        <w:tc>
          <w:tcPr>
            <w:tcW w:w="3601" w:type="dxa"/>
            <w:tcBorders>
              <w:top w:val="single" w:sz="8" w:space="0" w:color="auto"/>
              <w:bottom w:val="single" w:sz="8" w:space="0" w:color="BCBEC0"/>
            </w:tcBorders>
          </w:tcPr>
          <w:p w14:paraId="10826A72" w14:textId="77777777" w:rsidR="00BB532F" w:rsidRPr="00E02362" w:rsidRDefault="00B62005" w:rsidP="00B62005">
            <w:pPr>
              <w:pStyle w:val="TableText"/>
              <w:rPr>
                <w:rFonts w:cs="Arial"/>
              </w:rPr>
            </w:pPr>
            <w:r w:rsidRPr="00E02362">
              <w:rPr>
                <w:rFonts w:cs="Arial"/>
              </w:rPr>
              <w:t>Director Corporate/</w:t>
            </w:r>
            <w:r w:rsidR="006B144B" w:rsidRPr="00E02362">
              <w:rPr>
                <w:rFonts w:cs="Arial"/>
              </w:rPr>
              <w:t>Chief Financial Officer</w:t>
            </w:r>
          </w:p>
        </w:tc>
        <w:tc>
          <w:tcPr>
            <w:tcW w:w="6986" w:type="dxa"/>
            <w:tcBorders>
              <w:top w:val="single" w:sz="8" w:space="0" w:color="auto"/>
              <w:bottom w:val="single" w:sz="8" w:space="0" w:color="BCBEC0"/>
            </w:tcBorders>
          </w:tcPr>
          <w:p w14:paraId="763A5D78" w14:textId="77777777" w:rsidR="00BB532F" w:rsidRPr="00E02362" w:rsidRDefault="001336E8" w:rsidP="00022223">
            <w:pPr>
              <w:pStyle w:val="TableText"/>
              <w:numPr>
                <w:ilvl w:val="0"/>
                <w:numId w:val="3"/>
              </w:numPr>
              <w:rPr>
                <w:rFonts w:cs="Arial"/>
              </w:rPr>
            </w:pPr>
            <w:r w:rsidRPr="00E02362">
              <w:rPr>
                <w:rFonts w:cs="Arial"/>
              </w:rPr>
              <w:t>Liaise to receive instructions and understand work priorities.</w:t>
            </w:r>
          </w:p>
          <w:p w14:paraId="3820BE6E" w14:textId="77777777" w:rsidR="00BB532F" w:rsidRPr="00E02362" w:rsidRDefault="001336E8" w:rsidP="00022223">
            <w:pPr>
              <w:pStyle w:val="TableText"/>
              <w:numPr>
                <w:ilvl w:val="0"/>
                <w:numId w:val="3"/>
              </w:numPr>
              <w:rPr>
                <w:rFonts w:cs="Arial"/>
              </w:rPr>
            </w:pPr>
            <w:r w:rsidRPr="00E02362">
              <w:rPr>
                <w:rFonts w:cs="Arial"/>
              </w:rPr>
              <w:t xml:space="preserve">Keep informed of and provide advice and recommendations on </w:t>
            </w:r>
            <w:r w:rsidR="002B0B93" w:rsidRPr="00E02362">
              <w:rPr>
                <w:rFonts w:cs="Arial"/>
              </w:rPr>
              <w:t xml:space="preserve">complex, </w:t>
            </w:r>
            <w:r w:rsidRPr="00E02362">
              <w:rPr>
                <w:rFonts w:cs="Arial"/>
              </w:rPr>
              <w:t>new or emerging issues.</w:t>
            </w:r>
          </w:p>
          <w:p w14:paraId="5B3642EC" w14:textId="77777777" w:rsidR="00BB532F" w:rsidRPr="00E02362" w:rsidRDefault="001336E8" w:rsidP="00395A02">
            <w:pPr>
              <w:pStyle w:val="TableText"/>
              <w:numPr>
                <w:ilvl w:val="0"/>
                <w:numId w:val="3"/>
              </w:numPr>
              <w:rPr>
                <w:rFonts w:cs="Arial"/>
              </w:rPr>
            </w:pPr>
            <w:r w:rsidRPr="00E02362">
              <w:rPr>
                <w:rFonts w:cs="Arial"/>
              </w:rPr>
              <w:t xml:space="preserve">Contribute to </w:t>
            </w:r>
            <w:r w:rsidR="001939DD" w:rsidRPr="00E02362">
              <w:rPr>
                <w:rFonts w:cs="Arial"/>
              </w:rPr>
              <w:t xml:space="preserve">branch </w:t>
            </w:r>
            <w:r w:rsidRPr="00E02362">
              <w:rPr>
                <w:rFonts w:cs="Arial"/>
              </w:rPr>
              <w:t>work program development</w:t>
            </w:r>
            <w:r w:rsidR="00395A02" w:rsidRPr="00E02362">
              <w:rPr>
                <w:rFonts w:cs="Arial"/>
              </w:rPr>
              <w:t>, business process improvement and team business outcomes.</w:t>
            </w:r>
          </w:p>
        </w:tc>
      </w:tr>
      <w:tr w:rsidR="00BB532F" w:rsidRPr="00E02362" w14:paraId="7EEB757D" w14:textId="77777777" w:rsidTr="00CE105E">
        <w:tc>
          <w:tcPr>
            <w:tcW w:w="3601" w:type="dxa"/>
            <w:tcBorders>
              <w:top w:val="single" w:sz="8" w:space="0" w:color="auto"/>
              <w:bottom w:val="single" w:sz="8" w:space="0" w:color="BCBEC0"/>
            </w:tcBorders>
          </w:tcPr>
          <w:p w14:paraId="10EAA622" w14:textId="77777777" w:rsidR="00BB532F" w:rsidRPr="00E02362" w:rsidRDefault="00B62005" w:rsidP="00B62005">
            <w:pPr>
              <w:pStyle w:val="TableText"/>
              <w:rPr>
                <w:rFonts w:cs="Arial"/>
              </w:rPr>
            </w:pPr>
            <w:r w:rsidRPr="00E02362">
              <w:rPr>
                <w:rFonts w:cs="Arial"/>
              </w:rPr>
              <w:t>PSC</w:t>
            </w:r>
            <w:r w:rsidR="001336E8" w:rsidRPr="00E02362">
              <w:rPr>
                <w:rFonts w:cs="Arial"/>
              </w:rPr>
              <w:t xml:space="preserve"> Executives and </w:t>
            </w:r>
            <w:r w:rsidRPr="00E02362">
              <w:rPr>
                <w:rFonts w:cs="Arial"/>
              </w:rPr>
              <w:t>Senior</w:t>
            </w:r>
            <w:r w:rsidR="00A41FEC" w:rsidRPr="00E02362">
              <w:rPr>
                <w:rFonts w:cs="Arial"/>
              </w:rPr>
              <w:t xml:space="preserve"> Manager</w:t>
            </w:r>
            <w:r w:rsidR="001336E8" w:rsidRPr="00E02362">
              <w:rPr>
                <w:rFonts w:cs="Arial"/>
              </w:rPr>
              <w:t>s</w:t>
            </w:r>
          </w:p>
        </w:tc>
        <w:tc>
          <w:tcPr>
            <w:tcW w:w="6986" w:type="dxa"/>
            <w:tcBorders>
              <w:top w:val="single" w:sz="8" w:space="0" w:color="auto"/>
              <w:bottom w:val="single" w:sz="8" w:space="0" w:color="BCBEC0"/>
            </w:tcBorders>
          </w:tcPr>
          <w:p w14:paraId="14F42B4A" w14:textId="77777777" w:rsidR="00BB532F" w:rsidRPr="00E02362" w:rsidRDefault="001336E8" w:rsidP="00022223">
            <w:pPr>
              <w:pStyle w:val="TableText"/>
              <w:numPr>
                <w:ilvl w:val="0"/>
                <w:numId w:val="3"/>
              </w:numPr>
              <w:rPr>
                <w:rFonts w:cs="Arial"/>
              </w:rPr>
            </w:pPr>
            <w:r w:rsidRPr="00E02362">
              <w:rPr>
                <w:rFonts w:cs="Arial"/>
              </w:rPr>
              <w:t>Develop and maintain effec</w:t>
            </w:r>
            <w:r w:rsidR="004D101E" w:rsidRPr="00E02362">
              <w:rPr>
                <w:rFonts w:cs="Arial"/>
              </w:rPr>
              <w:t>tive collaborative relationships</w:t>
            </w:r>
            <w:r w:rsidRPr="00E02362">
              <w:rPr>
                <w:rFonts w:cs="Arial"/>
              </w:rPr>
              <w:t>.</w:t>
            </w:r>
          </w:p>
          <w:p w14:paraId="762D6D8D" w14:textId="77777777" w:rsidR="00BB532F" w:rsidRPr="00E02362" w:rsidRDefault="001336E8" w:rsidP="00022223">
            <w:pPr>
              <w:pStyle w:val="TableText"/>
              <w:numPr>
                <w:ilvl w:val="0"/>
                <w:numId w:val="3"/>
              </w:numPr>
              <w:rPr>
                <w:rFonts w:cs="Arial"/>
              </w:rPr>
            </w:pPr>
            <w:r w:rsidRPr="00E02362">
              <w:rPr>
                <w:rFonts w:cs="Arial"/>
              </w:rPr>
              <w:t>Provide high level strategic advice and support on business area financial management and sustainability.</w:t>
            </w:r>
          </w:p>
          <w:p w14:paraId="47D0B8DA" w14:textId="77777777" w:rsidR="002B0B93" w:rsidRPr="00E02362" w:rsidRDefault="002B0B93" w:rsidP="00022223">
            <w:pPr>
              <w:pStyle w:val="TableText"/>
              <w:numPr>
                <w:ilvl w:val="0"/>
                <w:numId w:val="3"/>
              </w:numPr>
              <w:rPr>
                <w:rFonts w:cs="Arial"/>
              </w:rPr>
            </w:pPr>
            <w:r w:rsidRPr="00E02362">
              <w:rPr>
                <w:rFonts w:cs="Arial"/>
              </w:rPr>
              <w:lastRenderedPageBreak/>
              <w:t>Engage to influence adoption of agreed strategies and solutions.</w:t>
            </w:r>
          </w:p>
          <w:p w14:paraId="2D505C23" w14:textId="77777777" w:rsidR="00C47BD9" w:rsidRPr="00E02362" w:rsidRDefault="00C47BD9" w:rsidP="00022223">
            <w:pPr>
              <w:pStyle w:val="TableText"/>
              <w:numPr>
                <w:ilvl w:val="0"/>
                <w:numId w:val="3"/>
              </w:numPr>
              <w:rPr>
                <w:rFonts w:cs="Arial"/>
              </w:rPr>
            </w:pPr>
            <w:r w:rsidRPr="00E02362">
              <w:rPr>
                <w:rFonts w:cs="Arial"/>
              </w:rPr>
              <w:t>Provide training and support to ensure appropriate financial management controls.</w:t>
            </w:r>
          </w:p>
        </w:tc>
      </w:tr>
      <w:tr w:rsidR="00BB532F" w:rsidRPr="00E02362" w14:paraId="55A2526F" w14:textId="77777777" w:rsidTr="00CE105E">
        <w:tc>
          <w:tcPr>
            <w:tcW w:w="3601" w:type="dxa"/>
            <w:tcBorders>
              <w:top w:val="single" w:sz="8" w:space="0" w:color="auto"/>
              <w:bottom w:val="single" w:sz="8" w:space="0" w:color="BCBEC0"/>
            </w:tcBorders>
          </w:tcPr>
          <w:p w14:paraId="2A074741" w14:textId="77777777" w:rsidR="00BB532F" w:rsidRPr="00E02362" w:rsidRDefault="001336E8" w:rsidP="002B1F76">
            <w:pPr>
              <w:pStyle w:val="TableText"/>
              <w:rPr>
                <w:rFonts w:cs="Arial"/>
              </w:rPr>
            </w:pPr>
            <w:r w:rsidRPr="00E02362">
              <w:rPr>
                <w:rFonts w:cs="Arial"/>
              </w:rPr>
              <w:lastRenderedPageBreak/>
              <w:t>Team members</w:t>
            </w:r>
          </w:p>
        </w:tc>
        <w:tc>
          <w:tcPr>
            <w:tcW w:w="6986" w:type="dxa"/>
            <w:tcBorders>
              <w:top w:val="single" w:sz="8" w:space="0" w:color="auto"/>
              <w:bottom w:val="single" w:sz="8" w:space="0" w:color="BCBEC0"/>
            </w:tcBorders>
          </w:tcPr>
          <w:p w14:paraId="7445526A" w14:textId="78BCCADF" w:rsidR="00812F79" w:rsidRPr="00E02362" w:rsidRDefault="00812F79" w:rsidP="00022223">
            <w:pPr>
              <w:pStyle w:val="TableText"/>
              <w:numPr>
                <w:ilvl w:val="0"/>
                <w:numId w:val="3"/>
              </w:numPr>
              <w:rPr>
                <w:rFonts w:cs="Arial"/>
              </w:rPr>
            </w:pPr>
            <w:r w:rsidRPr="00E02362">
              <w:rPr>
                <w:rFonts w:cs="Arial"/>
              </w:rPr>
              <w:t>Provide leadership, guidance, professional advice and support to manage peak workloads and resolve complex or demanding service requests</w:t>
            </w:r>
            <w:r w:rsidR="00B36C70">
              <w:rPr>
                <w:rFonts w:cs="Arial"/>
              </w:rPr>
              <w:t>.</w:t>
            </w:r>
            <w:r w:rsidRPr="00E02362">
              <w:rPr>
                <w:rFonts w:cs="Arial"/>
              </w:rPr>
              <w:t xml:space="preserve"> </w:t>
            </w:r>
          </w:p>
          <w:p w14:paraId="2277A97E" w14:textId="77777777" w:rsidR="00812F79" w:rsidRPr="00E02362" w:rsidRDefault="00395A02" w:rsidP="00812F79">
            <w:pPr>
              <w:pStyle w:val="TableText"/>
              <w:numPr>
                <w:ilvl w:val="0"/>
                <w:numId w:val="3"/>
              </w:numPr>
              <w:rPr>
                <w:rFonts w:cs="Arial"/>
              </w:rPr>
            </w:pPr>
            <w:r w:rsidRPr="00E02362">
              <w:rPr>
                <w:rFonts w:cs="Arial"/>
              </w:rPr>
              <w:t>Work collaboratively and support team to achieve business outcomes.</w:t>
            </w:r>
          </w:p>
          <w:p w14:paraId="63ADF959" w14:textId="77777777" w:rsidR="00812F79" w:rsidRPr="00E02362" w:rsidRDefault="00812F79" w:rsidP="00812F79">
            <w:pPr>
              <w:pStyle w:val="TableText"/>
              <w:numPr>
                <w:ilvl w:val="0"/>
                <w:numId w:val="6"/>
              </w:numPr>
              <w:rPr>
                <w:rFonts w:cs="Arial"/>
              </w:rPr>
            </w:pPr>
            <w:r w:rsidRPr="00E02362">
              <w:rPr>
                <w:rFonts w:cs="Arial"/>
              </w:rPr>
              <w:t>Provide constructive performance feedback and develop team skills.</w:t>
            </w:r>
          </w:p>
          <w:p w14:paraId="2443BC7A" w14:textId="77777777" w:rsidR="00812F79" w:rsidRPr="00E02362" w:rsidRDefault="00812F79" w:rsidP="00812F79">
            <w:pPr>
              <w:pStyle w:val="TableText"/>
              <w:numPr>
                <w:ilvl w:val="0"/>
                <w:numId w:val="6"/>
              </w:numPr>
              <w:rPr>
                <w:rFonts w:cs="Arial"/>
              </w:rPr>
            </w:pPr>
            <w:r w:rsidRPr="00E02362">
              <w:rPr>
                <w:rFonts w:cs="Arial"/>
              </w:rPr>
              <w:t>Encourage participation in meetings and contribution of ideas to improve branch / team, program, service delivery and work performance and outcomes.</w:t>
            </w:r>
          </w:p>
        </w:tc>
      </w:tr>
      <w:tr w:rsidR="00BB532F" w:rsidRPr="00E02362" w14:paraId="5BE87F60" w14:textId="77777777" w:rsidTr="00CE105E">
        <w:tc>
          <w:tcPr>
            <w:tcW w:w="3601" w:type="dxa"/>
            <w:shd w:val="clear" w:color="auto" w:fill="BCBEC0"/>
          </w:tcPr>
          <w:p w14:paraId="4F415C6B" w14:textId="77777777" w:rsidR="00BB532F" w:rsidRPr="00E02362" w:rsidRDefault="00BB532F" w:rsidP="00FC7622">
            <w:pPr>
              <w:pStyle w:val="TableText"/>
              <w:keepNext/>
              <w:rPr>
                <w:rFonts w:cs="Arial"/>
                <w:b/>
              </w:rPr>
            </w:pPr>
            <w:r w:rsidRPr="00E02362">
              <w:rPr>
                <w:rFonts w:cs="Arial"/>
                <w:b/>
              </w:rPr>
              <w:t>External</w:t>
            </w:r>
          </w:p>
        </w:tc>
        <w:tc>
          <w:tcPr>
            <w:tcW w:w="6986" w:type="dxa"/>
            <w:shd w:val="clear" w:color="auto" w:fill="BCBEC0"/>
          </w:tcPr>
          <w:p w14:paraId="19834486" w14:textId="77777777" w:rsidR="00BB532F" w:rsidRPr="00E02362" w:rsidRDefault="00BB532F" w:rsidP="00FC7622">
            <w:pPr>
              <w:pStyle w:val="TableText"/>
              <w:keepNext/>
              <w:rPr>
                <w:rFonts w:cs="Arial"/>
                <w:b/>
              </w:rPr>
            </w:pPr>
          </w:p>
        </w:tc>
      </w:tr>
      <w:tr w:rsidR="00BB532F" w:rsidRPr="00E02362" w14:paraId="0580611B" w14:textId="77777777" w:rsidTr="00CE105E">
        <w:tc>
          <w:tcPr>
            <w:tcW w:w="3601" w:type="dxa"/>
            <w:tcBorders>
              <w:top w:val="single" w:sz="8" w:space="0" w:color="auto"/>
              <w:bottom w:val="single" w:sz="8" w:space="0" w:color="BCBEC0"/>
            </w:tcBorders>
          </w:tcPr>
          <w:p w14:paraId="016B76A5" w14:textId="77777777" w:rsidR="00BB532F" w:rsidRPr="00E02362" w:rsidRDefault="001336E8" w:rsidP="00B62005">
            <w:pPr>
              <w:pStyle w:val="TableText"/>
              <w:rPr>
                <w:rFonts w:cs="Arial"/>
              </w:rPr>
            </w:pPr>
            <w:r w:rsidRPr="00E02362">
              <w:rPr>
                <w:rFonts w:cs="Arial"/>
              </w:rPr>
              <w:t xml:space="preserve">Shared services </w:t>
            </w:r>
            <w:r w:rsidR="00B62005" w:rsidRPr="00E02362">
              <w:rPr>
                <w:rFonts w:cs="Arial"/>
              </w:rPr>
              <w:t>provider</w:t>
            </w:r>
          </w:p>
        </w:tc>
        <w:tc>
          <w:tcPr>
            <w:tcW w:w="6986" w:type="dxa"/>
            <w:tcBorders>
              <w:top w:val="single" w:sz="8" w:space="0" w:color="auto"/>
              <w:bottom w:val="single" w:sz="8" w:space="0" w:color="BCBEC0"/>
            </w:tcBorders>
          </w:tcPr>
          <w:p w14:paraId="12B35995" w14:textId="6BFD8AA5" w:rsidR="00BB532F" w:rsidRPr="00E02362" w:rsidRDefault="00B36C70" w:rsidP="00B36C70">
            <w:pPr>
              <w:pStyle w:val="TableText"/>
              <w:numPr>
                <w:ilvl w:val="0"/>
                <w:numId w:val="3"/>
              </w:numPr>
              <w:rPr>
                <w:rFonts w:eastAsia="Arial" w:cs="Arial"/>
              </w:rPr>
            </w:pPr>
            <w:r>
              <w:rPr>
                <w:rFonts w:eastAsia="Arial" w:cs="Arial"/>
              </w:rPr>
              <w:t>Actively m</w:t>
            </w:r>
            <w:r w:rsidR="00B62005" w:rsidRPr="00E02362">
              <w:rPr>
                <w:rFonts w:eastAsia="Arial" w:cs="Arial"/>
              </w:rPr>
              <w:t xml:space="preserve">anage </w:t>
            </w:r>
            <w:r>
              <w:rPr>
                <w:rFonts w:eastAsia="Arial" w:cs="Arial"/>
              </w:rPr>
              <w:t xml:space="preserve">the </w:t>
            </w:r>
            <w:r w:rsidR="00B62005" w:rsidRPr="00E02362">
              <w:rPr>
                <w:rFonts w:eastAsia="Arial" w:cs="Arial"/>
              </w:rPr>
              <w:t>relationship with shared service provider to ensure financial information is maintained in accordance with the Service Partnership Agreement with a continued focus on improvements in accuracy and timeliness</w:t>
            </w:r>
            <w:r>
              <w:rPr>
                <w:rFonts w:eastAsia="Arial" w:cs="Arial"/>
              </w:rPr>
              <w:t>.</w:t>
            </w:r>
          </w:p>
        </w:tc>
      </w:tr>
      <w:tr w:rsidR="00BB532F" w:rsidRPr="00E02362" w14:paraId="7436D777" w14:textId="77777777" w:rsidTr="00CE105E">
        <w:tc>
          <w:tcPr>
            <w:tcW w:w="3601" w:type="dxa"/>
            <w:tcBorders>
              <w:top w:val="single" w:sz="8" w:space="0" w:color="auto"/>
              <w:bottom w:val="single" w:sz="8" w:space="0" w:color="BCBEC0"/>
            </w:tcBorders>
          </w:tcPr>
          <w:p w14:paraId="2919FBB9" w14:textId="77777777" w:rsidR="00BB532F" w:rsidRPr="00E02362" w:rsidRDefault="001336E8" w:rsidP="002B1F76">
            <w:pPr>
              <w:pStyle w:val="TableText"/>
              <w:rPr>
                <w:rFonts w:cs="Arial"/>
              </w:rPr>
            </w:pPr>
            <w:r w:rsidRPr="00E02362">
              <w:rPr>
                <w:rFonts w:cs="Arial"/>
              </w:rPr>
              <w:t>NSW Audit Office, NSW Treasury and other agencies</w:t>
            </w:r>
          </w:p>
        </w:tc>
        <w:tc>
          <w:tcPr>
            <w:tcW w:w="6986" w:type="dxa"/>
            <w:tcBorders>
              <w:top w:val="single" w:sz="8" w:space="0" w:color="auto"/>
              <w:bottom w:val="single" w:sz="8" w:space="0" w:color="BCBEC0"/>
            </w:tcBorders>
          </w:tcPr>
          <w:p w14:paraId="64DABF29" w14:textId="77777777" w:rsidR="00BB532F" w:rsidRPr="00E02362" w:rsidRDefault="001336E8" w:rsidP="00022223">
            <w:pPr>
              <w:pStyle w:val="TableText"/>
              <w:numPr>
                <w:ilvl w:val="0"/>
                <w:numId w:val="3"/>
              </w:numPr>
              <w:rPr>
                <w:rFonts w:cs="Arial"/>
              </w:rPr>
            </w:pPr>
            <w:r w:rsidRPr="00E02362">
              <w:rPr>
                <w:rFonts w:cs="Arial"/>
              </w:rPr>
              <w:t>Develop and maintain effective working relationships.</w:t>
            </w:r>
          </w:p>
          <w:p w14:paraId="36E46D03" w14:textId="77777777" w:rsidR="00BB532F" w:rsidRPr="00E02362" w:rsidRDefault="001336E8" w:rsidP="00022223">
            <w:pPr>
              <w:pStyle w:val="TableText"/>
              <w:numPr>
                <w:ilvl w:val="0"/>
                <w:numId w:val="3"/>
              </w:numPr>
              <w:rPr>
                <w:rFonts w:cs="Arial"/>
              </w:rPr>
            </w:pPr>
            <w:r w:rsidRPr="00E02362">
              <w:rPr>
                <w:rFonts w:cs="Arial"/>
              </w:rPr>
              <w:t>Consult and liaise on preparation of responses to information and report requests.</w:t>
            </w:r>
          </w:p>
        </w:tc>
      </w:tr>
    </w:tbl>
    <w:p w14:paraId="76F4E617" w14:textId="77777777" w:rsidR="00603D53" w:rsidRPr="00E02362" w:rsidRDefault="00603D53" w:rsidP="00395A02">
      <w:pPr>
        <w:pStyle w:val="Heading1"/>
        <w:spacing w:before="120"/>
        <w:rPr>
          <w:sz w:val="28"/>
        </w:rPr>
      </w:pPr>
      <w:r w:rsidRPr="00E02362">
        <w:t>Role dimensions</w:t>
      </w:r>
    </w:p>
    <w:p w14:paraId="2C2BF5EB" w14:textId="77777777" w:rsidR="00603D53" w:rsidRPr="00E02362" w:rsidRDefault="00603D53" w:rsidP="00614552">
      <w:pPr>
        <w:pStyle w:val="Heading2"/>
      </w:pPr>
      <w:r w:rsidRPr="00E02362">
        <w:t>Decision making</w:t>
      </w:r>
    </w:p>
    <w:p w14:paraId="2D861210" w14:textId="5CEAF4AA" w:rsidR="00395A02" w:rsidRPr="00E02362" w:rsidRDefault="00603D53">
      <w:pPr>
        <w:rPr>
          <w:rFonts w:cs="Arial"/>
          <w:szCs w:val="26"/>
          <w:lang w:val="en-AU"/>
        </w:rPr>
      </w:pPr>
      <w:r w:rsidRPr="00E02362">
        <w:rPr>
          <w:rFonts w:cs="Arial"/>
          <w:szCs w:val="26"/>
          <w:lang w:val="en-AU"/>
        </w:rPr>
        <w:t xml:space="preserve">The </w:t>
      </w:r>
      <w:r w:rsidR="00FC7622" w:rsidRPr="00E02362">
        <w:rPr>
          <w:rFonts w:cs="Arial"/>
          <w:szCs w:val="26"/>
          <w:lang w:val="en-AU"/>
        </w:rPr>
        <w:t>Financial Controller</w:t>
      </w:r>
      <w:r w:rsidRPr="00E02362">
        <w:rPr>
          <w:rFonts w:cs="Arial"/>
          <w:szCs w:val="26"/>
          <w:lang w:val="en-AU"/>
        </w:rPr>
        <w:t xml:space="preserve">: </w:t>
      </w:r>
    </w:p>
    <w:p w14:paraId="0B6FB38D" w14:textId="77777777" w:rsidR="00395A02" w:rsidRPr="00E02362" w:rsidRDefault="00603D53" w:rsidP="00395A02">
      <w:pPr>
        <w:pStyle w:val="ListParagraph"/>
        <w:numPr>
          <w:ilvl w:val="0"/>
          <w:numId w:val="4"/>
        </w:numPr>
        <w:rPr>
          <w:rFonts w:cs="Arial"/>
          <w:szCs w:val="26"/>
          <w:lang w:val="en-AU"/>
        </w:rPr>
      </w:pPr>
      <w:r w:rsidRPr="00E02362">
        <w:rPr>
          <w:rFonts w:cs="Arial"/>
          <w:szCs w:val="26"/>
          <w:lang w:val="en-AU"/>
        </w:rPr>
        <w:t>has responsibility for setting work priorities within the overall agreed work program</w:t>
      </w:r>
    </w:p>
    <w:p w14:paraId="5747E37D" w14:textId="77777777" w:rsidR="007C177A" w:rsidRPr="00E02362" w:rsidRDefault="007C177A" w:rsidP="00395A02">
      <w:pPr>
        <w:pStyle w:val="ListParagraph"/>
        <w:numPr>
          <w:ilvl w:val="0"/>
          <w:numId w:val="4"/>
        </w:numPr>
        <w:rPr>
          <w:rFonts w:cs="Arial"/>
          <w:szCs w:val="26"/>
          <w:lang w:val="en-AU"/>
        </w:rPr>
      </w:pPr>
      <w:r w:rsidRPr="00E02362">
        <w:rPr>
          <w:rFonts w:cs="Arial"/>
          <w:szCs w:val="26"/>
          <w:lang w:val="en-AU"/>
        </w:rPr>
        <w:t>has discretion to make the necessary decisions to manage key role accountabilities</w:t>
      </w:r>
    </w:p>
    <w:p w14:paraId="7BEF263F" w14:textId="77777777" w:rsidR="00603D53" w:rsidRPr="00E02362" w:rsidRDefault="00603D53" w:rsidP="00395A02">
      <w:pPr>
        <w:pStyle w:val="ListParagraph"/>
        <w:numPr>
          <w:ilvl w:val="0"/>
          <w:numId w:val="4"/>
        </w:numPr>
        <w:rPr>
          <w:rFonts w:cs="Arial"/>
          <w:szCs w:val="26"/>
          <w:lang w:val="en-AU"/>
        </w:rPr>
      </w:pPr>
      <w:r w:rsidRPr="00E02362">
        <w:rPr>
          <w:rFonts w:cs="Arial"/>
          <w:szCs w:val="26"/>
          <w:lang w:val="en-AU"/>
        </w:rPr>
        <w:t>is required to comply and make decisions and re</w:t>
      </w:r>
      <w:r w:rsidR="00395A02" w:rsidRPr="00E02362">
        <w:rPr>
          <w:rFonts w:cs="Arial"/>
          <w:szCs w:val="26"/>
          <w:lang w:val="en-AU"/>
        </w:rPr>
        <w:t>commendations within applicable sector and</w:t>
      </w:r>
      <w:r w:rsidRPr="00E02362">
        <w:rPr>
          <w:rFonts w:cs="Arial"/>
          <w:szCs w:val="26"/>
          <w:lang w:val="en-AU"/>
        </w:rPr>
        <w:t xml:space="preserve"> Department </w:t>
      </w:r>
      <w:r w:rsidR="00395A02" w:rsidRPr="00E02362">
        <w:rPr>
          <w:rFonts w:cs="Arial"/>
          <w:szCs w:val="26"/>
          <w:lang w:val="en-AU"/>
        </w:rPr>
        <w:t>legislation, financial policy, frameworks and procedures, Treasurer Directions, financial delegations</w:t>
      </w:r>
      <w:r w:rsidR="002B0B93" w:rsidRPr="00E02362">
        <w:rPr>
          <w:rFonts w:cs="Arial"/>
          <w:szCs w:val="26"/>
          <w:lang w:val="en-AU"/>
        </w:rPr>
        <w:t xml:space="preserve">, </w:t>
      </w:r>
      <w:r w:rsidR="00395A02" w:rsidRPr="00E02362">
        <w:rPr>
          <w:rFonts w:cs="Arial"/>
          <w:szCs w:val="26"/>
          <w:lang w:val="en-AU"/>
        </w:rPr>
        <w:t>professional practice standards</w:t>
      </w:r>
      <w:r w:rsidR="002B0B93" w:rsidRPr="00E02362">
        <w:rPr>
          <w:rFonts w:cs="Arial"/>
          <w:szCs w:val="26"/>
          <w:lang w:val="en-AU"/>
        </w:rPr>
        <w:t xml:space="preserve"> and set budget, resourcing and funding parameters</w:t>
      </w:r>
    </w:p>
    <w:p w14:paraId="209B380C" w14:textId="7DBFB6E2" w:rsidR="00812F79" w:rsidRPr="00E02362" w:rsidRDefault="00812F79" w:rsidP="00395A02">
      <w:pPr>
        <w:pStyle w:val="ListParagraph"/>
        <w:numPr>
          <w:ilvl w:val="0"/>
          <w:numId w:val="4"/>
        </w:numPr>
        <w:rPr>
          <w:rFonts w:cs="Arial"/>
          <w:szCs w:val="26"/>
          <w:lang w:val="en-AU"/>
        </w:rPr>
      </w:pPr>
      <w:r w:rsidRPr="00E02362">
        <w:rPr>
          <w:rFonts w:cs="Arial"/>
          <w:szCs w:val="26"/>
          <w:lang w:val="en-AU"/>
        </w:rPr>
        <w:t>is accountable and responsible for the effective management and use of human and financial resources within set budget and resource parameters</w:t>
      </w:r>
      <w:r w:rsidR="00B36C70">
        <w:rPr>
          <w:rFonts w:cs="Arial"/>
          <w:szCs w:val="26"/>
          <w:lang w:val="en-AU"/>
        </w:rPr>
        <w:t>.</w:t>
      </w:r>
    </w:p>
    <w:p w14:paraId="7DC1F341" w14:textId="77777777" w:rsidR="00603D53" w:rsidRPr="00E02362" w:rsidRDefault="00603D53" w:rsidP="00614552">
      <w:pPr>
        <w:pStyle w:val="Heading2"/>
      </w:pPr>
      <w:r w:rsidRPr="00E02362">
        <w:t>Reporting line</w:t>
      </w:r>
    </w:p>
    <w:p w14:paraId="149E0F15" w14:textId="7B306CD5" w:rsidR="00603D53" w:rsidRPr="00E02362" w:rsidRDefault="00603D53">
      <w:pPr>
        <w:rPr>
          <w:rFonts w:cs="Arial"/>
          <w:szCs w:val="26"/>
          <w:lang w:val="en-AU"/>
        </w:rPr>
      </w:pPr>
      <w:r w:rsidRPr="00E02362">
        <w:rPr>
          <w:rFonts w:cs="Arial"/>
          <w:szCs w:val="26"/>
          <w:lang w:val="en-AU"/>
        </w:rPr>
        <w:t xml:space="preserve">The </w:t>
      </w:r>
      <w:r w:rsidR="00FC7622" w:rsidRPr="00E02362">
        <w:rPr>
          <w:rFonts w:cs="Arial"/>
          <w:szCs w:val="26"/>
          <w:lang w:val="en-AU"/>
        </w:rPr>
        <w:t xml:space="preserve">Financial Controller </w:t>
      </w:r>
      <w:r w:rsidRPr="00E02362">
        <w:rPr>
          <w:rFonts w:cs="Arial"/>
          <w:szCs w:val="26"/>
          <w:lang w:val="en-AU"/>
        </w:rPr>
        <w:t xml:space="preserve">reports to the </w:t>
      </w:r>
      <w:r w:rsidR="006B144B" w:rsidRPr="00E02362">
        <w:rPr>
          <w:rFonts w:cs="Arial"/>
          <w:szCs w:val="26"/>
          <w:lang w:val="en-AU"/>
        </w:rPr>
        <w:t>Chief Financial Of</w:t>
      </w:r>
      <w:r w:rsidR="000A7DD4" w:rsidRPr="00E02362">
        <w:rPr>
          <w:rFonts w:cs="Arial"/>
          <w:szCs w:val="26"/>
          <w:lang w:val="en-AU"/>
        </w:rPr>
        <w:t>f</w:t>
      </w:r>
      <w:r w:rsidR="006B144B" w:rsidRPr="00E02362">
        <w:rPr>
          <w:rFonts w:cs="Arial"/>
          <w:szCs w:val="26"/>
          <w:lang w:val="en-AU"/>
        </w:rPr>
        <w:t>icer</w:t>
      </w:r>
      <w:r w:rsidR="00B36C70">
        <w:rPr>
          <w:rFonts w:cs="Arial"/>
          <w:szCs w:val="26"/>
          <w:lang w:val="en-AU"/>
        </w:rPr>
        <w:t>/Director Corporate</w:t>
      </w:r>
    </w:p>
    <w:p w14:paraId="0EB565E2" w14:textId="77777777" w:rsidR="00603D53" w:rsidRPr="00E02362" w:rsidRDefault="00603D53" w:rsidP="00614552">
      <w:pPr>
        <w:pStyle w:val="Heading2"/>
      </w:pPr>
      <w:r w:rsidRPr="00E02362">
        <w:t>Direct reports</w:t>
      </w:r>
    </w:p>
    <w:p w14:paraId="60124CFE" w14:textId="14643A04" w:rsidR="00603D53" w:rsidRPr="00E02362" w:rsidRDefault="00FC7622">
      <w:pPr>
        <w:rPr>
          <w:rFonts w:cs="Arial"/>
          <w:szCs w:val="26"/>
          <w:lang w:val="en-AU"/>
        </w:rPr>
      </w:pPr>
      <w:r w:rsidRPr="00E02362">
        <w:rPr>
          <w:rFonts w:cs="Arial"/>
          <w:szCs w:val="26"/>
          <w:lang w:val="en-AU"/>
        </w:rPr>
        <w:t>Senior Finance Accountant and Senior Management Accountant</w:t>
      </w:r>
    </w:p>
    <w:p w14:paraId="39208776" w14:textId="77777777" w:rsidR="00603D53" w:rsidRPr="00E02362" w:rsidRDefault="00603D53" w:rsidP="00614552">
      <w:pPr>
        <w:pStyle w:val="Heading2"/>
      </w:pPr>
      <w:r w:rsidRPr="00E02362">
        <w:t>Budget/Expenditure</w:t>
      </w:r>
    </w:p>
    <w:p w14:paraId="2FF995E1" w14:textId="77777777" w:rsidR="00603D53" w:rsidRPr="00E02362" w:rsidRDefault="00603D53">
      <w:pPr>
        <w:rPr>
          <w:rFonts w:cs="Arial"/>
          <w:szCs w:val="26"/>
          <w:lang w:val="en-AU"/>
        </w:rPr>
      </w:pPr>
      <w:r w:rsidRPr="00E02362">
        <w:rPr>
          <w:rFonts w:cs="Arial"/>
          <w:szCs w:val="26"/>
          <w:lang w:val="en-AU"/>
        </w:rPr>
        <w:t>TBC</w:t>
      </w:r>
    </w:p>
    <w:p w14:paraId="5802C466" w14:textId="77777777" w:rsidR="00776FA1" w:rsidRDefault="00776FA1">
      <w:pPr>
        <w:rPr>
          <w:rStyle w:val="Heading1Char"/>
        </w:rPr>
      </w:pPr>
      <w:r>
        <w:rPr>
          <w:rStyle w:val="Heading1Char"/>
        </w:rPr>
        <w:br w:type="page"/>
      </w:r>
    </w:p>
    <w:p w14:paraId="14F7B4AE" w14:textId="3C95C065" w:rsidR="00205A8A" w:rsidRPr="00E02362" w:rsidRDefault="00205A8A" w:rsidP="00205A8A">
      <w:pPr>
        <w:tabs>
          <w:tab w:val="left" w:pos="2925"/>
        </w:tabs>
        <w:rPr>
          <w:rStyle w:val="Heading1Char"/>
        </w:rPr>
      </w:pPr>
      <w:r w:rsidRPr="00E02362">
        <w:rPr>
          <w:rStyle w:val="Heading1Char"/>
        </w:rPr>
        <w:lastRenderedPageBreak/>
        <w:t>Essential requirements</w:t>
      </w:r>
    </w:p>
    <w:p w14:paraId="7DDB25D0" w14:textId="77777777" w:rsidR="00205A8A" w:rsidRPr="00E02362" w:rsidRDefault="00205A8A" w:rsidP="00205A8A">
      <w:pPr>
        <w:tabs>
          <w:tab w:val="left" w:pos="2925"/>
        </w:tabs>
        <w:rPr>
          <w:rFonts w:cs="Arial"/>
          <w:lang w:val="en-AU"/>
        </w:rPr>
      </w:pPr>
      <w:r w:rsidRPr="00E02362">
        <w:rPr>
          <w:rFonts w:cs="Arial"/>
          <w:lang w:val="en-AU"/>
        </w:rPr>
        <w:t>Relevant tertiary qualification and eligibility for membership of a recognised professional accounting body such as CPA Australia or Institute of Chartered Accountants in Australia</w:t>
      </w:r>
    </w:p>
    <w:p w14:paraId="5B469C04" w14:textId="6541E4EE" w:rsidR="00205A8A" w:rsidRPr="00E02362" w:rsidRDefault="00205A8A" w:rsidP="00205A8A">
      <w:pPr>
        <w:tabs>
          <w:tab w:val="left" w:pos="2925"/>
        </w:tabs>
        <w:rPr>
          <w:rFonts w:cs="Arial"/>
          <w:lang w:val="en-AU"/>
        </w:rPr>
      </w:pPr>
      <w:r w:rsidRPr="00E02362">
        <w:rPr>
          <w:rFonts w:cs="Arial"/>
          <w:lang w:val="en-AU"/>
        </w:rPr>
        <w:t xml:space="preserve">Knowledge of the application of the </w:t>
      </w:r>
      <w:r w:rsidR="00776FA1" w:rsidRPr="00776FA1">
        <w:rPr>
          <w:rFonts w:cs="Arial"/>
          <w:i/>
          <w:lang w:val="en-AU"/>
        </w:rPr>
        <w:t>Government Finance Act 2018</w:t>
      </w:r>
      <w:r w:rsidRPr="00E02362">
        <w:rPr>
          <w:rFonts w:cs="Arial"/>
          <w:lang w:val="en-AU"/>
        </w:rPr>
        <w:t>, Treasurer's Directions and Australian Accounting Standards, with a broad understanding of relevant Government policies</w:t>
      </w:r>
      <w:r w:rsidR="007C177A" w:rsidRPr="00E02362">
        <w:rPr>
          <w:rFonts w:cs="Arial"/>
          <w:lang w:val="en-AU"/>
        </w:rPr>
        <w:t xml:space="preserve"> </w:t>
      </w:r>
    </w:p>
    <w:p w14:paraId="3EDC1E3E" w14:textId="77777777" w:rsidR="00205A8A" w:rsidRPr="00E02362" w:rsidRDefault="00205A8A" w:rsidP="00205A8A">
      <w:pPr>
        <w:tabs>
          <w:tab w:val="left" w:pos="2925"/>
        </w:tabs>
        <w:rPr>
          <w:rFonts w:cs="Arial"/>
          <w:lang w:val="en-AU"/>
        </w:rPr>
      </w:pPr>
      <w:r w:rsidRPr="00E02362">
        <w:rPr>
          <w:rFonts w:cs="Arial"/>
          <w:lang w:val="en-AU"/>
        </w:rPr>
        <w:t>Knowledge of and demonstrated experience in financial management and accounting principles and practices</w:t>
      </w:r>
    </w:p>
    <w:p w14:paraId="545B1C00" w14:textId="77777777" w:rsidR="00776FA1" w:rsidRDefault="00776FA1" w:rsidP="00994DCE">
      <w:pPr>
        <w:pStyle w:val="Heading1"/>
      </w:pPr>
    </w:p>
    <w:p w14:paraId="1D8113BB" w14:textId="67236809" w:rsidR="00994DCE" w:rsidRPr="00E02362" w:rsidRDefault="00994DCE" w:rsidP="00994DCE">
      <w:pPr>
        <w:pStyle w:val="Heading1"/>
      </w:pPr>
      <w:r w:rsidRPr="00E02362">
        <w:t>Capabilities for the role</w:t>
      </w:r>
    </w:p>
    <w:p w14:paraId="7BDEB34A" w14:textId="77777777" w:rsidR="00994DCE" w:rsidRPr="00E02362" w:rsidRDefault="00994DCE" w:rsidP="00994DCE">
      <w:pPr>
        <w:rPr>
          <w:rStyle w:val="Hyperlink"/>
          <w:rFonts w:cs="Arial"/>
          <w:sz w:val="22"/>
          <w:lang w:val="en-AU"/>
        </w:rPr>
      </w:pPr>
      <w:r w:rsidRPr="00E02362">
        <w:rPr>
          <w:rFonts w:cs="Arial"/>
          <w:lang w:val="en-AU"/>
        </w:rPr>
        <w:t xml:space="preserve">The NSW Public Sector Capability Framework applies to all NSW public sector employees. The Capability Framework is available at </w:t>
      </w:r>
      <w:hyperlink r:id="rId9" w:history="1">
        <w:r w:rsidRPr="00E02362">
          <w:rPr>
            <w:rStyle w:val="Hyperlink"/>
            <w:rFonts w:cs="Arial"/>
            <w:sz w:val="22"/>
            <w:lang w:val="en-AU"/>
          </w:rPr>
          <w:t>www.psc.nsw.gov.au/capabilityframework</w:t>
        </w:r>
      </w:hyperlink>
      <w:r w:rsidR="00C01F18" w:rsidRPr="00E02362">
        <w:rPr>
          <w:rStyle w:val="Hyperlink"/>
          <w:rFonts w:cs="Arial"/>
          <w:sz w:val="22"/>
          <w:lang w:val="en-AU"/>
        </w:rPr>
        <w:t>.</w:t>
      </w:r>
    </w:p>
    <w:p w14:paraId="29910D3A" w14:textId="77777777" w:rsidR="00C01F18" w:rsidRPr="00E02362" w:rsidRDefault="00C01F18" w:rsidP="00C01F18">
      <w:pPr>
        <w:rPr>
          <w:rFonts w:cs="Arial"/>
          <w:lang w:val="en-AU"/>
        </w:rPr>
      </w:pPr>
      <w:bookmarkStart w:id="2" w:name="SFIA_Text"/>
      <w:r w:rsidRPr="00E02362">
        <w:rPr>
          <w:rFonts w:cs="Arial"/>
          <w:lang w:val="en-AU"/>
        </w:rPr>
        <w:t>This role also utilises an occupation specific capability set.</w:t>
      </w:r>
    </w:p>
    <w:bookmarkEnd w:id="2"/>
    <w:p w14:paraId="3CB540EA" w14:textId="77777777" w:rsidR="00994DCE" w:rsidRPr="00E02362" w:rsidRDefault="00994DCE" w:rsidP="00994DCE">
      <w:pPr>
        <w:pStyle w:val="Heading2"/>
      </w:pPr>
      <w:r w:rsidRPr="00E02362">
        <w:t>Capability summary</w:t>
      </w:r>
    </w:p>
    <w:p w14:paraId="1088187E" w14:textId="77777777" w:rsidR="00340ADC" w:rsidRPr="00E02362" w:rsidRDefault="00994DCE">
      <w:pPr>
        <w:rPr>
          <w:rFonts w:cs="Arial"/>
          <w:lang w:val="en-AU"/>
        </w:rPr>
      </w:pPr>
      <w:r w:rsidRPr="00E02362">
        <w:rPr>
          <w:rFonts w:cs="Arial"/>
          <w:lang w:val="en-AU"/>
        </w:rPr>
        <w:t>Below is the full list of capabilities and the level required for this role. The capabilities</w:t>
      </w:r>
      <w:r w:rsidR="00395A02" w:rsidRPr="00E02362">
        <w:rPr>
          <w:rFonts w:cs="Arial"/>
          <w:lang w:val="en-AU"/>
        </w:rPr>
        <w:t xml:space="preserve"> listed </w:t>
      </w:r>
      <w:r w:rsidRPr="00E02362">
        <w:rPr>
          <w:rFonts w:cs="Arial"/>
          <w:lang w:val="en-AU"/>
        </w:rPr>
        <w:t>in bold are the focus capabilities for this role. Refer to the next section for further information about the focus capabilities.</w:t>
      </w:r>
    </w:p>
    <w:tbl>
      <w:tblPr>
        <w:tblStyle w:val="PSCPurple"/>
        <w:tblW w:w="0" w:type="auto"/>
        <w:tblBorders>
          <w:top w:val="single" w:sz="8" w:space="0" w:color="BCBEC0"/>
          <w:bottom w:val="single" w:sz="12" w:space="0" w:color="auto"/>
        </w:tblBorders>
        <w:tblLook w:val="04A0" w:firstRow="1" w:lastRow="0" w:firstColumn="1" w:lastColumn="0" w:noHBand="0" w:noVBand="1"/>
        <w:tblCaption w:val="PSC_CapabilityFrameworkTable"/>
      </w:tblPr>
      <w:tblGrid>
        <w:gridCol w:w="2037"/>
        <w:gridCol w:w="5424"/>
        <w:gridCol w:w="3339"/>
      </w:tblGrid>
      <w:tr w:rsidR="00FD3076" w:rsidRPr="00E02362" w14:paraId="03E40F0B" w14:textId="77777777" w:rsidTr="00C01F18">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205830" w14:textId="77777777" w:rsidR="00FD3076" w:rsidRPr="00E02362" w:rsidRDefault="00FD3076" w:rsidP="00776FA1">
            <w:pPr>
              <w:pStyle w:val="TableTextWhite0"/>
              <w:rPr>
                <w:rFonts w:cs="Arial"/>
              </w:rPr>
            </w:pPr>
            <w:r w:rsidRPr="00E02362">
              <w:rPr>
                <w:rFonts w:cs="Arial"/>
              </w:rPr>
              <w:t>NSW Public Sector Capability Framework</w:t>
            </w:r>
          </w:p>
        </w:tc>
      </w:tr>
      <w:tr w:rsidR="00FD3076" w:rsidRPr="00E02362" w14:paraId="4FD0A198" w14:textId="77777777" w:rsidTr="00C01F18">
        <w:trPr>
          <w:cnfStyle w:val="100000000000" w:firstRow="1" w:lastRow="0" w:firstColumn="0" w:lastColumn="0" w:oddVBand="0" w:evenVBand="0" w:oddHBand="0" w:evenHBand="0" w:firstRowFirstColumn="0" w:firstRowLastColumn="0" w:lastRowFirstColumn="0" w:lastRowLastColumn="0"/>
          <w:tblHeader/>
        </w:trPr>
        <w:tc>
          <w:tcPr>
            <w:tcW w:w="203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vAlign w:val="center"/>
          </w:tcPr>
          <w:p w14:paraId="5F21D829" w14:textId="77777777" w:rsidR="00FD3076" w:rsidRPr="00E02362" w:rsidRDefault="00FD3076" w:rsidP="00776FA1">
            <w:pPr>
              <w:pStyle w:val="TableText"/>
              <w:rPr>
                <w:rFonts w:cs="Arial"/>
                <w:b/>
                <w:sz w:val="24"/>
                <w:szCs w:val="24"/>
              </w:rPr>
            </w:pPr>
            <w:r w:rsidRPr="00E02362">
              <w:rPr>
                <w:rFonts w:cs="Arial"/>
                <w:b/>
              </w:rPr>
              <w:t>Capability Group</w:t>
            </w:r>
          </w:p>
        </w:tc>
        <w:tc>
          <w:tcPr>
            <w:tcW w:w="5424"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306E7B75" w14:textId="77777777" w:rsidR="00FD3076" w:rsidRPr="00E02362" w:rsidRDefault="00FD3076" w:rsidP="00776FA1">
            <w:pPr>
              <w:pStyle w:val="TableText"/>
              <w:rPr>
                <w:rFonts w:cs="Arial"/>
                <w:b/>
                <w:sz w:val="24"/>
                <w:szCs w:val="24"/>
              </w:rPr>
            </w:pPr>
            <w:r w:rsidRPr="00E02362">
              <w:rPr>
                <w:rFonts w:cs="Arial"/>
                <w:b/>
              </w:rPr>
              <w:t>Capability Name</w:t>
            </w:r>
          </w:p>
        </w:tc>
        <w:tc>
          <w:tcPr>
            <w:tcW w:w="3339"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BCBEC0"/>
          </w:tcPr>
          <w:p w14:paraId="1982F3D3" w14:textId="77777777" w:rsidR="00FD3076" w:rsidRPr="00E02362" w:rsidRDefault="00FD3076" w:rsidP="00776FA1">
            <w:pPr>
              <w:pStyle w:val="TableText"/>
              <w:rPr>
                <w:rFonts w:cs="Arial"/>
                <w:b/>
                <w:sz w:val="24"/>
                <w:szCs w:val="24"/>
              </w:rPr>
            </w:pPr>
            <w:r w:rsidRPr="00E02362">
              <w:rPr>
                <w:rFonts w:cs="Arial"/>
                <w:b/>
              </w:rPr>
              <w:t>Level</w:t>
            </w:r>
          </w:p>
        </w:tc>
      </w:tr>
      <w:tr w:rsidR="00373737" w:rsidRPr="00E02362" w14:paraId="70DCAA55" w14:textId="77777777" w:rsidTr="00C01F18">
        <w:tc>
          <w:tcPr>
            <w:tcW w:w="2037" w:type="dxa"/>
            <w:vMerge w:val="restart"/>
            <w:tcBorders>
              <w:top w:val="gems" w:sz="8" w:space="0" w:color="BCBEC0"/>
              <w:bottom w:val="single" w:sz="8" w:space="0" w:color="BCBEC0"/>
            </w:tcBorders>
            <w:vAlign w:val="center"/>
          </w:tcPr>
          <w:p w14:paraId="11D42A0D" w14:textId="77777777" w:rsidR="00373737" w:rsidRPr="00E02362" w:rsidRDefault="00373737" w:rsidP="00776FA1">
            <w:pPr>
              <w:rPr>
                <w:rFonts w:cs="Arial"/>
              </w:rPr>
            </w:pPr>
            <w:r w:rsidRPr="00E02362">
              <w:rPr>
                <w:rFonts w:cs="Arial"/>
                <w:noProof/>
                <w:lang w:eastAsia="en-AU"/>
              </w:rPr>
              <w:drawing>
                <wp:inline distT="0" distB="0" distL="0" distR="0" wp14:anchorId="27774433" wp14:editId="25802FD2">
                  <wp:extent cx="881037" cy="881037"/>
                  <wp:effectExtent l="0" t="0" r="0" b="0"/>
                  <wp:docPr id="1"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personal-attributes-icon.jpg"/>
                          <pic:cNvPicPr/>
                        </pic:nvPicPr>
                        <pic:blipFill>
                          <a:blip r:embed="rId10" cstate="print">
                            <a:extLst/>
                          </a:blip>
                          <a:stretch>
                            <a:fillRect/>
                          </a:stretch>
                        </pic:blipFill>
                        <pic:spPr>
                          <a:xfrm>
                            <a:off x="0" y="0"/>
                            <a:ext cx="881037" cy="881037"/>
                          </a:xfrm>
                          <a:prstGeom prst="rect">
                            <a:avLst/>
                          </a:prstGeom>
                        </pic:spPr>
                      </pic:pic>
                    </a:graphicData>
                  </a:graphic>
                </wp:inline>
              </w:drawing>
            </w:r>
          </w:p>
        </w:tc>
        <w:tc>
          <w:tcPr>
            <w:tcW w:w="5424" w:type="dxa"/>
            <w:tcBorders>
              <w:top w:val="gems" w:sz="8" w:space="0" w:color="BCBEC0"/>
              <w:bottom w:val="single" w:sz="8" w:space="0" w:color="BCBEC0"/>
            </w:tcBorders>
          </w:tcPr>
          <w:p w14:paraId="135DE26F" w14:textId="77777777" w:rsidR="00373737" w:rsidRPr="00E02362" w:rsidRDefault="006B723B" w:rsidP="00776FA1">
            <w:pPr>
              <w:pStyle w:val="TableText"/>
              <w:rPr>
                <w:rFonts w:cs="Arial"/>
                <w:sz w:val="24"/>
                <w:szCs w:val="24"/>
              </w:rPr>
            </w:pPr>
            <w:r w:rsidRPr="00E02362">
              <w:rPr>
                <w:rFonts w:cs="Arial"/>
              </w:rPr>
              <w:t>Display Resilience and Courage</w:t>
            </w:r>
          </w:p>
        </w:tc>
        <w:tc>
          <w:tcPr>
            <w:tcW w:w="3339" w:type="dxa"/>
            <w:tcBorders>
              <w:top w:val="gems" w:sz="8" w:space="0" w:color="BCBEC0"/>
              <w:bottom w:val="single" w:sz="8" w:space="0" w:color="BCBEC0"/>
            </w:tcBorders>
          </w:tcPr>
          <w:p w14:paraId="13C46829" w14:textId="77777777" w:rsidR="00373737" w:rsidRPr="00E02362" w:rsidRDefault="00A31A8F" w:rsidP="00776FA1">
            <w:pPr>
              <w:pStyle w:val="TableText"/>
              <w:rPr>
                <w:rFonts w:cs="Arial"/>
              </w:rPr>
            </w:pPr>
            <w:r w:rsidRPr="00E02362">
              <w:rPr>
                <w:rFonts w:cs="Arial"/>
              </w:rPr>
              <w:t xml:space="preserve">Adept </w:t>
            </w:r>
          </w:p>
        </w:tc>
      </w:tr>
      <w:tr w:rsidR="00373737" w:rsidRPr="00E02362" w14:paraId="0C2FC33A" w14:textId="77777777" w:rsidTr="00C01F18">
        <w:tc>
          <w:tcPr>
            <w:tcW w:w="2037" w:type="dxa"/>
            <w:vMerge/>
            <w:tcBorders>
              <w:bottom w:val="single" w:sz="4" w:space="0" w:color="BCBEC0"/>
            </w:tcBorders>
          </w:tcPr>
          <w:p w14:paraId="5C7F7CFB" w14:textId="77777777" w:rsidR="00373737" w:rsidRPr="00E02362" w:rsidRDefault="00373737" w:rsidP="00776FA1">
            <w:pPr>
              <w:rPr>
                <w:rFonts w:cs="Arial"/>
              </w:rPr>
            </w:pPr>
          </w:p>
        </w:tc>
        <w:tc>
          <w:tcPr>
            <w:tcW w:w="5424" w:type="dxa"/>
            <w:tcBorders>
              <w:bottom w:val="single" w:sz="4" w:space="0" w:color="BCBEC0"/>
            </w:tcBorders>
          </w:tcPr>
          <w:p w14:paraId="21EA9E00" w14:textId="77777777" w:rsidR="00373737" w:rsidRPr="00E02362" w:rsidRDefault="0001016C" w:rsidP="00776FA1">
            <w:pPr>
              <w:pStyle w:val="TableText"/>
              <w:rPr>
                <w:rFonts w:cs="Arial"/>
                <w:b/>
                <w:sz w:val="24"/>
                <w:szCs w:val="24"/>
              </w:rPr>
            </w:pPr>
            <w:r w:rsidRPr="00E02362">
              <w:rPr>
                <w:rFonts w:cs="Arial"/>
                <w:b/>
              </w:rPr>
              <w:t>Act with Integrity</w:t>
            </w:r>
          </w:p>
        </w:tc>
        <w:tc>
          <w:tcPr>
            <w:tcW w:w="3339" w:type="dxa"/>
            <w:tcBorders>
              <w:bottom w:val="single" w:sz="4" w:space="0" w:color="BCBEC0"/>
            </w:tcBorders>
          </w:tcPr>
          <w:p w14:paraId="40BC204B" w14:textId="77777777" w:rsidR="00373737" w:rsidRPr="00E02362" w:rsidRDefault="00F52A5B" w:rsidP="00776FA1">
            <w:pPr>
              <w:pStyle w:val="TableText"/>
              <w:rPr>
                <w:rFonts w:cs="Arial"/>
                <w:b/>
              </w:rPr>
            </w:pPr>
            <w:r w:rsidRPr="00E02362">
              <w:rPr>
                <w:rFonts w:cs="Arial"/>
                <w:b/>
              </w:rPr>
              <w:t xml:space="preserve">Advanced </w:t>
            </w:r>
          </w:p>
        </w:tc>
      </w:tr>
      <w:tr w:rsidR="00373737" w:rsidRPr="00E02362" w14:paraId="757AEB95" w14:textId="77777777" w:rsidTr="00C01F18">
        <w:tc>
          <w:tcPr>
            <w:tcW w:w="2037" w:type="dxa"/>
            <w:vMerge/>
            <w:tcBorders>
              <w:top w:val="single" w:sz="8" w:space="0" w:color="BCBEC0"/>
            </w:tcBorders>
          </w:tcPr>
          <w:p w14:paraId="1F6143B7" w14:textId="77777777" w:rsidR="00373737" w:rsidRPr="00E02362" w:rsidRDefault="00373737" w:rsidP="00776FA1">
            <w:pPr>
              <w:rPr>
                <w:rFonts w:cs="Arial"/>
              </w:rPr>
            </w:pPr>
          </w:p>
        </w:tc>
        <w:tc>
          <w:tcPr>
            <w:tcW w:w="5424" w:type="dxa"/>
            <w:tcBorders>
              <w:top w:val="single" w:sz="8" w:space="0" w:color="BCBEC0"/>
            </w:tcBorders>
          </w:tcPr>
          <w:p w14:paraId="716F8D6F" w14:textId="77777777" w:rsidR="00373737" w:rsidRPr="00E02362" w:rsidRDefault="006B723B" w:rsidP="00776FA1">
            <w:pPr>
              <w:pStyle w:val="TableText"/>
              <w:rPr>
                <w:rFonts w:cs="Arial"/>
                <w:sz w:val="24"/>
                <w:szCs w:val="24"/>
              </w:rPr>
            </w:pPr>
            <w:r w:rsidRPr="00E02362">
              <w:rPr>
                <w:rFonts w:cs="Arial"/>
              </w:rPr>
              <w:t>Manage Self</w:t>
            </w:r>
          </w:p>
        </w:tc>
        <w:tc>
          <w:tcPr>
            <w:tcW w:w="3339" w:type="dxa"/>
            <w:tcBorders>
              <w:top w:val="single" w:sz="8" w:space="0" w:color="BCBEC0"/>
            </w:tcBorders>
          </w:tcPr>
          <w:p w14:paraId="5F91BFE0" w14:textId="77777777" w:rsidR="00373737" w:rsidRPr="00E02362" w:rsidRDefault="00424926" w:rsidP="00776FA1">
            <w:pPr>
              <w:pStyle w:val="TableText"/>
              <w:rPr>
                <w:rFonts w:cs="Arial"/>
              </w:rPr>
            </w:pPr>
            <w:r w:rsidRPr="00E02362">
              <w:rPr>
                <w:rFonts w:cs="Arial"/>
              </w:rPr>
              <w:t>Adept</w:t>
            </w:r>
            <w:r w:rsidR="00664241" w:rsidRPr="00E02362">
              <w:rPr>
                <w:rFonts w:cs="Arial"/>
              </w:rPr>
              <w:t xml:space="preserve"> </w:t>
            </w:r>
          </w:p>
        </w:tc>
      </w:tr>
      <w:tr w:rsidR="00373737" w:rsidRPr="00E02362" w14:paraId="7FC56706" w14:textId="77777777" w:rsidTr="00C01F18">
        <w:tc>
          <w:tcPr>
            <w:tcW w:w="2037" w:type="dxa"/>
            <w:vMerge/>
            <w:tcBorders>
              <w:top w:val="single" w:sz="8" w:space="0" w:color="BCBEC0"/>
            </w:tcBorders>
          </w:tcPr>
          <w:p w14:paraId="07ACB2F6" w14:textId="77777777" w:rsidR="00373737" w:rsidRPr="00E02362" w:rsidRDefault="00373737" w:rsidP="00776FA1">
            <w:pPr>
              <w:rPr>
                <w:rFonts w:cs="Arial"/>
              </w:rPr>
            </w:pPr>
          </w:p>
        </w:tc>
        <w:tc>
          <w:tcPr>
            <w:tcW w:w="5424" w:type="dxa"/>
            <w:tcBorders>
              <w:top w:val="single" w:sz="8" w:space="0" w:color="BCBEC0"/>
            </w:tcBorders>
          </w:tcPr>
          <w:p w14:paraId="075A365A" w14:textId="77777777" w:rsidR="00373737" w:rsidRPr="00E02362" w:rsidRDefault="006B723B" w:rsidP="00776FA1">
            <w:pPr>
              <w:pStyle w:val="TableText"/>
              <w:rPr>
                <w:rFonts w:cs="Arial"/>
                <w:sz w:val="24"/>
                <w:szCs w:val="24"/>
              </w:rPr>
            </w:pPr>
            <w:r w:rsidRPr="00E02362">
              <w:rPr>
                <w:rFonts w:cs="Arial"/>
              </w:rPr>
              <w:t>Value Diversity</w:t>
            </w:r>
          </w:p>
        </w:tc>
        <w:tc>
          <w:tcPr>
            <w:tcW w:w="3339" w:type="dxa"/>
            <w:tcBorders>
              <w:top w:val="single" w:sz="8" w:space="0" w:color="BCBEC0"/>
            </w:tcBorders>
          </w:tcPr>
          <w:p w14:paraId="2AE3C9E7" w14:textId="77777777" w:rsidR="00373737" w:rsidRPr="00E02362" w:rsidRDefault="00F52A5B" w:rsidP="00776FA1">
            <w:pPr>
              <w:pStyle w:val="TableText"/>
              <w:rPr>
                <w:rFonts w:cs="Arial"/>
              </w:rPr>
            </w:pPr>
            <w:r w:rsidRPr="00E02362">
              <w:rPr>
                <w:rFonts w:cs="Arial"/>
              </w:rPr>
              <w:t xml:space="preserve">Adept </w:t>
            </w:r>
            <w:r w:rsidR="00247611" w:rsidRPr="00E02362">
              <w:rPr>
                <w:rFonts w:cs="Arial"/>
              </w:rPr>
              <w:t xml:space="preserve"> </w:t>
            </w:r>
          </w:p>
        </w:tc>
      </w:tr>
      <w:tr w:rsidR="00373737" w:rsidRPr="00E02362" w14:paraId="0CCD3E13" w14:textId="77777777" w:rsidTr="00C01F18">
        <w:tc>
          <w:tcPr>
            <w:tcW w:w="2037" w:type="dxa"/>
            <w:vMerge w:val="restart"/>
            <w:tcBorders>
              <w:top w:val="single" w:sz="12" w:space="0" w:color="auto"/>
              <w:bottom w:val="single" w:sz="8" w:space="0" w:color="BCBEC0"/>
            </w:tcBorders>
            <w:vAlign w:val="center"/>
          </w:tcPr>
          <w:p w14:paraId="530E55A7" w14:textId="77777777" w:rsidR="00373737" w:rsidRPr="00E02362" w:rsidRDefault="00373737" w:rsidP="00776FA1">
            <w:pPr>
              <w:rPr>
                <w:rFonts w:cs="Arial"/>
              </w:rPr>
            </w:pPr>
            <w:r w:rsidRPr="00E02362">
              <w:rPr>
                <w:rFonts w:cs="Arial"/>
                <w:noProof/>
                <w:lang w:eastAsia="en-AU"/>
              </w:rPr>
              <w:drawing>
                <wp:inline distT="0" distB="0" distL="0" distR="0" wp14:anchorId="41B75638" wp14:editId="31736E66">
                  <wp:extent cx="881037" cy="881037"/>
                  <wp:effectExtent l="0" t="0" r="0" b="0"/>
                  <wp:docPr id="2"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lationships-icon.jpg"/>
                          <pic:cNvPicPr/>
                        </pic:nvPicPr>
                        <pic:blipFill>
                          <a:blip r:embed="rId11"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67F8C6E6" w14:textId="77777777" w:rsidR="00373737" w:rsidRPr="00E02362" w:rsidRDefault="006B723B" w:rsidP="00776FA1">
            <w:pPr>
              <w:pStyle w:val="TableText"/>
              <w:rPr>
                <w:rFonts w:cs="Arial"/>
                <w:sz w:val="24"/>
                <w:szCs w:val="24"/>
              </w:rPr>
            </w:pPr>
            <w:r w:rsidRPr="00E02362">
              <w:rPr>
                <w:rFonts w:cs="Arial"/>
              </w:rPr>
              <w:t>Communicate Effectively</w:t>
            </w:r>
          </w:p>
        </w:tc>
        <w:tc>
          <w:tcPr>
            <w:tcW w:w="3339" w:type="dxa"/>
            <w:tcBorders>
              <w:top w:val="single" w:sz="12" w:space="0" w:color="auto"/>
              <w:bottom w:val="single" w:sz="8" w:space="0" w:color="BCBEC0"/>
            </w:tcBorders>
          </w:tcPr>
          <w:p w14:paraId="4DF36096" w14:textId="77777777" w:rsidR="00373737" w:rsidRPr="00E02362" w:rsidRDefault="001C7793" w:rsidP="00776FA1">
            <w:pPr>
              <w:pStyle w:val="TableText"/>
              <w:rPr>
                <w:rFonts w:cs="Arial"/>
              </w:rPr>
            </w:pPr>
            <w:r w:rsidRPr="00E02362">
              <w:rPr>
                <w:rFonts w:cs="Arial"/>
              </w:rPr>
              <w:t xml:space="preserve">Adept  </w:t>
            </w:r>
          </w:p>
        </w:tc>
      </w:tr>
      <w:tr w:rsidR="00373737" w:rsidRPr="00E02362" w14:paraId="2EB79910" w14:textId="77777777" w:rsidTr="00C01F18">
        <w:tc>
          <w:tcPr>
            <w:tcW w:w="2037" w:type="dxa"/>
            <w:vMerge/>
            <w:tcBorders>
              <w:top w:val="single" w:sz="8" w:space="0" w:color="BCBEC0"/>
            </w:tcBorders>
          </w:tcPr>
          <w:p w14:paraId="38D321BD" w14:textId="77777777" w:rsidR="00373737" w:rsidRPr="00E02362" w:rsidRDefault="00373737" w:rsidP="00776FA1">
            <w:pPr>
              <w:rPr>
                <w:rFonts w:cs="Arial"/>
              </w:rPr>
            </w:pPr>
          </w:p>
        </w:tc>
        <w:tc>
          <w:tcPr>
            <w:tcW w:w="5424" w:type="dxa"/>
            <w:tcBorders>
              <w:top w:val="single" w:sz="8" w:space="0" w:color="BCBEC0"/>
            </w:tcBorders>
          </w:tcPr>
          <w:p w14:paraId="16C22A67" w14:textId="77777777" w:rsidR="00373737" w:rsidRPr="00E02362" w:rsidRDefault="006B723B" w:rsidP="00776FA1">
            <w:pPr>
              <w:pStyle w:val="TableText"/>
              <w:rPr>
                <w:rFonts w:cs="Arial"/>
                <w:sz w:val="24"/>
                <w:szCs w:val="24"/>
              </w:rPr>
            </w:pPr>
            <w:r w:rsidRPr="00E02362">
              <w:rPr>
                <w:rFonts w:cs="Arial"/>
              </w:rPr>
              <w:t>Commit to Customer Service</w:t>
            </w:r>
          </w:p>
        </w:tc>
        <w:tc>
          <w:tcPr>
            <w:tcW w:w="3339" w:type="dxa"/>
            <w:tcBorders>
              <w:top w:val="single" w:sz="8" w:space="0" w:color="BCBEC0"/>
            </w:tcBorders>
          </w:tcPr>
          <w:p w14:paraId="31E1639F" w14:textId="77777777" w:rsidR="00373737" w:rsidRPr="00E02362" w:rsidRDefault="00A00B81" w:rsidP="00776FA1">
            <w:pPr>
              <w:pStyle w:val="TableText"/>
              <w:rPr>
                <w:rFonts w:cs="Arial"/>
              </w:rPr>
            </w:pPr>
            <w:r w:rsidRPr="00E02362">
              <w:rPr>
                <w:rFonts w:cs="Arial"/>
              </w:rPr>
              <w:t>Adept</w:t>
            </w:r>
            <w:r w:rsidR="002A02C7" w:rsidRPr="00E02362">
              <w:rPr>
                <w:rFonts w:cs="Arial"/>
              </w:rPr>
              <w:t xml:space="preserve"> </w:t>
            </w:r>
          </w:p>
        </w:tc>
      </w:tr>
      <w:tr w:rsidR="00373737" w:rsidRPr="00E02362" w14:paraId="7AFA1799" w14:textId="77777777" w:rsidTr="00C01F18">
        <w:tc>
          <w:tcPr>
            <w:tcW w:w="2037" w:type="dxa"/>
            <w:vMerge/>
            <w:tcBorders>
              <w:bottom w:val="single" w:sz="4" w:space="0" w:color="BCBEC0"/>
            </w:tcBorders>
          </w:tcPr>
          <w:p w14:paraId="5477CD88" w14:textId="77777777" w:rsidR="00373737" w:rsidRPr="00E02362" w:rsidRDefault="00373737" w:rsidP="00776FA1">
            <w:pPr>
              <w:rPr>
                <w:rFonts w:cs="Arial"/>
              </w:rPr>
            </w:pPr>
          </w:p>
        </w:tc>
        <w:tc>
          <w:tcPr>
            <w:tcW w:w="5424" w:type="dxa"/>
            <w:tcBorders>
              <w:bottom w:val="single" w:sz="4" w:space="0" w:color="BCBEC0"/>
            </w:tcBorders>
          </w:tcPr>
          <w:p w14:paraId="1314C8A1" w14:textId="77777777" w:rsidR="00373737" w:rsidRPr="00E02362" w:rsidRDefault="0001016C" w:rsidP="00776FA1">
            <w:pPr>
              <w:pStyle w:val="TableText"/>
              <w:rPr>
                <w:rFonts w:cs="Arial"/>
                <w:b/>
                <w:sz w:val="24"/>
                <w:szCs w:val="24"/>
              </w:rPr>
            </w:pPr>
            <w:r w:rsidRPr="00E02362">
              <w:rPr>
                <w:rFonts w:cs="Arial"/>
                <w:b/>
              </w:rPr>
              <w:t>Work Collaboratively</w:t>
            </w:r>
          </w:p>
        </w:tc>
        <w:tc>
          <w:tcPr>
            <w:tcW w:w="3339" w:type="dxa"/>
            <w:tcBorders>
              <w:bottom w:val="single" w:sz="4" w:space="0" w:color="BCBEC0"/>
            </w:tcBorders>
          </w:tcPr>
          <w:p w14:paraId="1F618362" w14:textId="77777777" w:rsidR="00373737" w:rsidRPr="00E02362" w:rsidRDefault="001C7793" w:rsidP="00776FA1">
            <w:pPr>
              <w:pStyle w:val="TableText"/>
              <w:rPr>
                <w:rFonts w:cs="Arial"/>
                <w:b/>
              </w:rPr>
            </w:pPr>
            <w:r w:rsidRPr="00E02362">
              <w:rPr>
                <w:rFonts w:cs="Arial"/>
                <w:b/>
              </w:rPr>
              <w:t xml:space="preserve">Adept </w:t>
            </w:r>
          </w:p>
        </w:tc>
      </w:tr>
      <w:tr w:rsidR="00373737" w:rsidRPr="00E02362" w14:paraId="7A12FC68" w14:textId="77777777" w:rsidTr="00C01F18">
        <w:tc>
          <w:tcPr>
            <w:tcW w:w="2037" w:type="dxa"/>
            <w:vMerge/>
            <w:tcBorders>
              <w:bottom w:val="single" w:sz="4" w:space="0" w:color="BCBEC0"/>
            </w:tcBorders>
          </w:tcPr>
          <w:p w14:paraId="67682FFB" w14:textId="77777777" w:rsidR="00373737" w:rsidRPr="00E02362" w:rsidRDefault="00373737" w:rsidP="00776FA1">
            <w:pPr>
              <w:rPr>
                <w:rFonts w:cs="Arial"/>
              </w:rPr>
            </w:pPr>
          </w:p>
        </w:tc>
        <w:tc>
          <w:tcPr>
            <w:tcW w:w="5424" w:type="dxa"/>
            <w:tcBorders>
              <w:bottom w:val="single" w:sz="4" w:space="0" w:color="BCBEC0"/>
            </w:tcBorders>
          </w:tcPr>
          <w:p w14:paraId="2305A380" w14:textId="77777777" w:rsidR="00373737" w:rsidRPr="00E02362" w:rsidRDefault="0001016C" w:rsidP="00776FA1">
            <w:pPr>
              <w:pStyle w:val="TableText"/>
              <w:rPr>
                <w:rFonts w:cs="Arial"/>
                <w:sz w:val="24"/>
                <w:szCs w:val="24"/>
              </w:rPr>
            </w:pPr>
            <w:r w:rsidRPr="00E02362">
              <w:rPr>
                <w:rFonts w:cs="Arial"/>
              </w:rPr>
              <w:t>Influence and Negotiate</w:t>
            </w:r>
          </w:p>
        </w:tc>
        <w:tc>
          <w:tcPr>
            <w:tcW w:w="3339" w:type="dxa"/>
            <w:tcBorders>
              <w:bottom w:val="single" w:sz="4" w:space="0" w:color="BCBEC0"/>
            </w:tcBorders>
          </w:tcPr>
          <w:p w14:paraId="2A5E2DE2" w14:textId="77777777" w:rsidR="00373737" w:rsidRPr="00E02362" w:rsidRDefault="00A31A8F" w:rsidP="00776FA1">
            <w:pPr>
              <w:pStyle w:val="TableText"/>
              <w:rPr>
                <w:rFonts w:cs="Arial"/>
              </w:rPr>
            </w:pPr>
            <w:r w:rsidRPr="00E02362">
              <w:rPr>
                <w:rFonts w:cs="Arial"/>
              </w:rPr>
              <w:t>Intermediate</w:t>
            </w:r>
          </w:p>
        </w:tc>
      </w:tr>
      <w:tr w:rsidR="00373737" w:rsidRPr="00E02362" w14:paraId="0C2F975A" w14:textId="77777777" w:rsidTr="00C01F18">
        <w:tc>
          <w:tcPr>
            <w:tcW w:w="2037" w:type="dxa"/>
            <w:vMerge w:val="restart"/>
            <w:tcBorders>
              <w:top w:val="single" w:sz="12" w:space="0" w:color="auto"/>
              <w:bottom w:val="single" w:sz="8" w:space="0" w:color="BCBEC0"/>
            </w:tcBorders>
            <w:vAlign w:val="center"/>
          </w:tcPr>
          <w:p w14:paraId="456A22A8" w14:textId="77777777" w:rsidR="00373737" w:rsidRPr="00E02362" w:rsidRDefault="00373737" w:rsidP="00776FA1">
            <w:pPr>
              <w:rPr>
                <w:rFonts w:cs="Arial"/>
              </w:rPr>
            </w:pPr>
            <w:r w:rsidRPr="00E02362">
              <w:rPr>
                <w:rFonts w:cs="Arial"/>
                <w:noProof/>
                <w:lang w:eastAsia="en-AU"/>
              </w:rPr>
              <w:drawing>
                <wp:inline distT="0" distB="0" distL="0" distR="0" wp14:anchorId="345F008B" wp14:editId="3BA4A4E5">
                  <wp:extent cx="881037" cy="881037"/>
                  <wp:effectExtent l="0" t="0" r="0" b="0"/>
                  <wp:docPr id="3"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results-icon.jpg"/>
                          <pic:cNvPicPr/>
                        </pic:nvPicPr>
                        <pic:blipFill>
                          <a:blip r:embed="rId12"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13C0710F" w14:textId="77777777" w:rsidR="00373737" w:rsidRPr="00E02362" w:rsidRDefault="006B723B" w:rsidP="00776FA1">
            <w:pPr>
              <w:pStyle w:val="TableText"/>
              <w:rPr>
                <w:rFonts w:cs="Arial"/>
                <w:b/>
                <w:sz w:val="24"/>
                <w:szCs w:val="24"/>
              </w:rPr>
            </w:pPr>
            <w:r w:rsidRPr="00E02362">
              <w:rPr>
                <w:rFonts w:cs="Arial"/>
                <w:b/>
              </w:rPr>
              <w:t>Deliver Results</w:t>
            </w:r>
          </w:p>
        </w:tc>
        <w:tc>
          <w:tcPr>
            <w:tcW w:w="3339" w:type="dxa"/>
            <w:tcBorders>
              <w:top w:val="single" w:sz="12" w:space="0" w:color="auto"/>
              <w:bottom w:val="single" w:sz="8" w:space="0" w:color="BCBEC0"/>
            </w:tcBorders>
          </w:tcPr>
          <w:p w14:paraId="58BE00BF" w14:textId="77777777" w:rsidR="00373737" w:rsidRPr="00E02362" w:rsidRDefault="007B5109" w:rsidP="00776FA1">
            <w:pPr>
              <w:pStyle w:val="TableText"/>
              <w:rPr>
                <w:rFonts w:cs="Arial"/>
                <w:b/>
              </w:rPr>
            </w:pPr>
            <w:r w:rsidRPr="00E02362">
              <w:rPr>
                <w:rFonts w:cs="Arial"/>
                <w:b/>
              </w:rPr>
              <w:t>Adept</w:t>
            </w:r>
          </w:p>
        </w:tc>
      </w:tr>
      <w:tr w:rsidR="00373737" w:rsidRPr="00E02362" w14:paraId="49AECF63" w14:textId="77777777" w:rsidTr="00C01F18">
        <w:tc>
          <w:tcPr>
            <w:tcW w:w="2037" w:type="dxa"/>
            <w:vMerge/>
            <w:tcBorders>
              <w:bottom w:val="single" w:sz="4" w:space="0" w:color="BCBEC0"/>
            </w:tcBorders>
          </w:tcPr>
          <w:p w14:paraId="18CE03C2" w14:textId="77777777" w:rsidR="00373737" w:rsidRPr="00E02362" w:rsidRDefault="00373737" w:rsidP="00776FA1">
            <w:pPr>
              <w:rPr>
                <w:rFonts w:cs="Arial"/>
              </w:rPr>
            </w:pPr>
          </w:p>
        </w:tc>
        <w:tc>
          <w:tcPr>
            <w:tcW w:w="5424" w:type="dxa"/>
            <w:tcBorders>
              <w:bottom w:val="single" w:sz="4" w:space="0" w:color="BCBEC0"/>
            </w:tcBorders>
          </w:tcPr>
          <w:p w14:paraId="3272D576" w14:textId="77777777" w:rsidR="00373737" w:rsidRPr="00E02362" w:rsidRDefault="0001016C" w:rsidP="00776FA1">
            <w:pPr>
              <w:pStyle w:val="TableText"/>
              <w:rPr>
                <w:rFonts w:cs="Arial"/>
                <w:sz w:val="24"/>
                <w:szCs w:val="24"/>
              </w:rPr>
            </w:pPr>
            <w:r w:rsidRPr="00E02362">
              <w:rPr>
                <w:rFonts w:cs="Arial"/>
              </w:rPr>
              <w:t>Plan and Prioritise</w:t>
            </w:r>
          </w:p>
        </w:tc>
        <w:tc>
          <w:tcPr>
            <w:tcW w:w="3339" w:type="dxa"/>
            <w:tcBorders>
              <w:bottom w:val="single" w:sz="4" w:space="0" w:color="BCBEC0"/>
            </w:tcBorders>
          </w:tcPr>
          <w:p w14:paraId="7A73DB3E" w14:textId="77777777" w:rsidR="00373737" w:rsidRPr="00E02362" w:rsidRDefault="00F50CFF" w:rsidP="00776FA1">
            <w:pPr>
              <w:pStyle w:val="TableText"/>
              <w:rPr>
                <w:rFonts w:cs="Arial"/>
              </w:rPr>
            </w:pPr>
            <w:r w:rsidRPr="00E02362">
              <w:rPr>
                <w:rFonts w:cs="Arial"/>
              </w:rPr>
              <w:t>Adept</w:t>
            </w:r>
          </w:p>
        </w:tc>
      </w:tr>
      <w:tr w:rsidR="00373737" w:rsidRPr="00E02362" w14:paraId="16861CD5" w14:textId="77777777" w:rsidTr="00C01F18">
        <w:tc>
          <w:tcPr>
            <w:tcW w:w="2037" w:type="dxa"/>
            <w:vMerge/>
            <w:tcBorders>
              <w:top w:val="single" w:sz="8" w:space="0" w:color="BCBEC0"/>
            </w:tcBorders>
          </w:tcPr>
          <w:p w14:paraId="5256D82A" w14:textId="77777777" w:rsidR="00373737" w:rsidRPr="00E02362" w:rsidRDefault="00373737" w:rsidP="00776FA1">
            <w:pPr>
              <w:rPr>
                <w:rFonts w:cs="Arial"/>
              </w:rPr>
            </w:pPr>
          </w:p>
        </w:tc>
        <w:tc>
          <w:tcPr>
            <w:tcW w:w="5424" w:type="dxa"/>
            <w:tcBorders>
              <w:top w:val="single" w:sz="8" w:space="0" w:color="BCBEC0"/>
            </w:tcBorders>
          </w:tcPr>
          <w:p w14:paraId="68AF9CDF" w14:textId="77777777" w:rsidR="00373737" w:rsidRPr="00E02362" w:rsidRDefault="006B723B" w:rsidP="00776FA1">
            <w:pPr>
              <w:pStyle w:val="TableText"/>
              <w:rPr>
                <w:rFonts w:cs="Arial"/>
                <w:sz w:val="24"/>
                <w:szCs w:val="24"/>
              </w:rPr>
            </w:pPr>
            <w:r w:rsidRPr="00E02362">
              <w:rPr>
                <w:rFonts w:cs="Arial"/>
              </w:rPr>
              <w:t>Think and Solve Problems</w:t>
            </w:r>
          </w:p>
        </w:tc>
        <w:tc>
          <w:tcPr>
            <w:tcW w:w="3339" w:type="dxa"/>
            <w:tcBorders>
              <w:top w:val="single" w:sz="8" w:space="0" w:color="BCBEC0"/>
            </w:tcBorders>
          </w:tcPr>
          <w:p w14:paraId="3421FA25" w14:textId="77777777" w:rsidR="00373737" w:rsidRPr="00E02362" w:rsidRDefault="001C7793" w:rsidP="00776FA1">
            <w:pPr>
              <w:pStyle w:val="TableText"/>
              <w:rPr>
                <w:rFonts w:cs="Arial"/>
              </w:rPr>
            </w:pPr>
            <w:r w:rsidRPr="00E02362">
              <w:rPr>
                <w:rFonts w:cs="Arial"/>
              </w:rPr>
              <w:t xml:space="preserve">Adept </w:t>
            </w:r>
          </w:p>
        </w:tc>
      </w:tr>
      <w:tr w:rsidR="00373737" w:rsidRPr="00E02362" w14:paraId="2D5C6F3A" w14:textId="77777777" w:rsidTr="00C01F18">
        <w:tc>
          <w:tcPr>
            <w:tcW w:w="2037" w:type="dxa"/>
            <w:vMerge/>
            <w:tcBorders>
              <w:top w:val="single" w:sz="8" w:space="0" w:color="BCBEC0"/>
            </w:tcBorders>
          </w:tcPr>
          <w:p w14:paraId="320CE47B" w14:textId="77777777" w:rsidR="00373737" w:rsidRPr="00E02362" w:rsidRDefault="00373737" w:rsidP="00776FA1">
            <w:pPr>
              <w:rPr>
                <w:rFonts w:cs="Arial"/>
              </w:rPr>
            </w:pPr>
          </w:p>
        </w:tc>
        <w:tc>
          <w:tcPr>
            <w:tcW w:w="5424" w:type="dxa"/>
            <w:tcBorders>
              <w:top w:val="single" w:sz="8" w:space="0" w:color="BCBEC0"/>
            </w:tcBorders>
          </w:tcPr>
          <w:p w14:paraId="33A61901" w14:textId="77777777" w:rsidR="00373737" w:rsidRPr="00E02362" w:rsidRDefault="006B723B" w:rsidP="00776FA1">
            <w:pPr>
              <w:pStyle w:val="TableText"/>
              <w:rPr>
                <w:rFonts w:cs="Arial"/>
                <w:b/>
                <w:sz w:val="24"/>
                <w:szCs w:val="24"/>
              </w:rPr>
            </w:pPr>
            <w:r w:rsidRPr="00E02362">
              <w:rPr>
                <w:rFonts w:cs="Arial"/>
                <w:b/>
              </w:rPr>
              <w:t>Demonstrate Accountability</w:t>
            </w:r>
          </w:p>
        </w:tc>
        <w:tc>
          <w:tcPr>
            <w:tcW w:w="3339" w:type="dxa"/>
            <w:tcBorders>
              <w:top w:val="single" w:sz="8" w:space="0" w:color="BCBEC0"/>
            </w:tcBorders>
          </w:tcPr>
          <w:p w14:paraId="0619F86F" w14:textId="77777777" w:rsidR="00373737" w:rsidRPr="00E02362" w:rsidRDefault="007B5109" w:rsidP="00776FA1">
            <w:pPr>
              <w:pStyle w:val="TableText"/>
              <w:rPr>
                <w:rFonts w:cs="Arial"/>
                <w:b/>
              </w:rPr>
            </w:pPr>
            <w:r w:rsidRPr="00E02362">
              <w:rPr>
                <w:rFonts w:cs="Arial"/>
                <w:b/>
              </w:rPr>
              <w:t xml:space="preserve">Adept </w:t>
            </w:r>
            <w:r w:rsidR="00664241" w:rsidRPr="00E02362">
              <w:rPr>
                <w:rFonts w:cs="Arial"/>
                <w:b/>
              </w:rPr>
              <w:t xml:space="preserve"> </w:t>
            </w:r>
          </w:p>
        </w:tc>
      </w:tr>
      <w:tr w:rsidR="00373737" w:rsidRPr="00E02362" w14:paraId="2F076A13" w14:textId="77777777" w:rsidTr="00C01F18">
        <w:tc>
          <w:tcPr>
            <w:tcW w:w="2037" w:type="dxa"/>
            <w:vMerge w:val="restart"/>
            <w:tcBorders>
              <w:top w:val="single" w:sz="12" w:space="0" w:color="auto"/>
              <w:bottom w:val="single" w:sz="8" w:space="0" w:color="BCBEC0"/>
            </w:tcBorders>
            <w:vAlign w:val="center"/>
          </w:tcPr>
          <w:p w14:paraId="4E23C0B0" w14:textId="77777777" w:rsidR="00373737" w:rsidRPr="00E02362" w:rsidRDefault="00373737" w:rsidP="00776FA1">
            <w:pPr>
              <w:rPr>
                <w:rFonts w:cs="Arial"/>
              </w:rPr>
            </w:pPr>
            <w:r w:rsidRPr="00E02362">
              <w:rPr>
                <w:rFonts w:cs="Arial"/>
                <w:noProof/>
                <w:lang w:eastAsia="en-AU"/>
              </w:rPr>
              <w:drawing>
                <wp:inline distT="0" distB="0" distL="0" distR="0" wp14:anchorId="3656BB36" wp14:editId="3858CE2D">
                  <wp:extent cx="881037" cy="881037"/>
                  <wp:effectExtent l="0" t="0" r="0" b="0"/>
                  <wp:docPr id="4"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Imgbusiness-enablers-icon.jpg"/>
                          <pic:cNvPicPr/>
                        </pic:nvPicPr>
                        <pic:blipFill>
                          <a:blip r:embed="rId13" cstate="print">
                            <a:extLst/>
                          </a:blip>
                          <a:stretch>
                            <a:fillRect/>
                          </a:stretch>
                        </pic:blipFill>
                        <pic:spPr>
                          <a:xfrm>
                            <a:off x="0" y="0"/>
                            <a:ext cx="881037" cy="881037"/>
                          </a:xfrm>
                          <a:prstGeom prst="rect">
                            <a:avLst/>
                          </a:prstGeom>
                        </pic:spPr>
                      </pic:pic>
                    </a:graphicData>
                  </a:graphic>
                </wp:inline>
              </w:drawing>
            </w:r>
          </w:p>
        </w:tc>
        <w:tc>
          <w:tcPr>
            <w:tcW w:w="5424" w:type="dxa"/>
            <w:tcBorders>
              <w:top w:val="single" w:sz="12" w:space="0" w:color="auto"/>
              <w:bottom w:val="single" w:sz="8" w:space="0" w:color="BCBEC0"/>
            </w:tcBorders>
          </w:tcPr>
          <w:p w14:paraId="4CA3F7C1" w14:textId="77777777" w:rsidR="00373737" w:rsidRPr="00E02362" w:rsidRDefault="006B723B" w:rsidP="00776FA1">
            <w:pPr>
              <w:pStyle w:val="TableText"/>
              <w:rPr>
                <w:rFonts w:cs="Arial"/>
                <w:b/>
                <w:sz w:val="24"/>
                <w:szCs w:val="24"/>
              </w:rPr>
            </w:pPr>
            <w:r w:rsidRPr="00E02362">
              <w:rPr>
                <w:rFonts w:cs="Arial"/>
                <w:b/>
              </w:rPr>
              <w:t>Finance</w:t>
            </w:r>
          </w:p>
        </w:tc>
        <w:tc>
          <w:tcPr>
            <w:tcW w:w="3339" w:type="dxa"/>
            <w:tcBorders>
              <w:top w:val="single" w:sz="12" w:space="0" w:color="auto"/>
              <w:bottom w:val="single" w:sz="8" w:space="0" w:color="BCBEC0"/>
            </w:tcBorders>
          </w:tcPr>
          <w:p w14:paraId="49647C75" w14:textId="77777777" w:rsidR="00373737" w:rsidRPr="00E02362" w:rsidRDefault="006B723B" w:rsidP="00776FA1">
            <w:pPr>
              <w:pStyle w:val="TableText"/>
              <w:rPr>
                <w:rFonts w:cs="Arial"/>
                <w:b/>
              </w:rPr>
            </w:pPr>
            <w:r w:rsidRPr="00E02362">
              <w:rPr>
                <w:rFonts w:cs="Arial"/>
                <w:b/>
              </w:rPr>
              <w:t>Advanced</w:t>
            </w:r>
          </w:p>
        </w:tc>
      </w:tr>
      <w:tr w:rsidR="00373737" w:rsidRPr="00E02362" w14:paraId="3FFAD882" w14:textId="77777777" w:rsidTr="00C01F18">
        <w:tc>
          <w:tcPr>
            <w:tcW w:w="2037" w:type="dxa"/>
            <w:vMerge/>
            <w:tcBorders>
              <w:top w:val="single" w:sz="8" w:space="0" w:color="BCBEC0"/>
            </w:tcBorders>
          </w:tcPr>
          <w:p w14:paraId="4A7D1F03" w14:textId="77777777" w:rsidR="00373737" w:rsidRPr="00E02362" w:rsidRDefault="00373737" w:rsidP="00776FA1">
            <w:pPr>
              <w:rPr>
                <w:rFonts w:cs="Arial"/>
              </w:rPr>
            </w:pPr>
          </w:p>
        </w:tc>
        <w:tc>
          <w:tcPr>
            <w:tcW w:w="5424" w:type="dxa"/>
            <w:tcBorders>
              <w:top w:val="single" w:sz="8" w:space="0" w:color="BCBEC0"/>
            </w:tcBorders>
          </w:tcPr>
          <w:p w14:paraId="3D1B9433" w14:textId="77777777" w:rsidR="00373737" w:rsidRPr="00E02362" w:rsidRDefault="006B723B" w:rsidP="00776FA1">
            <w:pPr>
              <w:pStyle w:val="TableText"/>
              <w:rPr>
                <w:rFonts w:cs="Arial"/>
                <w:sz w:val="24"/>
                <w:szCs w:val="24"/>
              </w:rPr>
            </w:pPr>
            <w:r w:rsidRPr="00E02362">
              <w:rPr>
                <w:rFonts w:cs="Arial"/>
              </w:rPr>
              <w:t>Technology</w:t>
            </w:r>
          </w:p>
        </w:tc>
        <w:tc>
          <w:tcPr>
            <w:tcW w:w="3339" w:type="dxa"/>
            <w:tcBorders>
              <w:top w:val="single" w:sz="8" w:space="0" w:color="BCBEC0"/>
            </w:tcBorders>
          </w:tcPr>
          <w:p w14:paraId="661147C2" w14:textId="77777777" w:rsidR="00373737" w:rsidRPr="00E02362" w:rsidRDefault="00424926" w:rsidP="00776FA1">
            <w:pPr>
              <w:pStyle w:val="TableText"/>
              <w:rPr>
                <w:rFonts w:cs="Arial"/>
              </w:rPr>
            </w:pPr>
            <w:r w:rsidRPr="00E02362">
              <w:rPr>
                <w:rFonts w:cs="Arial"/>
              </w:rPr>
              <w:t>Adept</w:t>
            </w:r>
          </w:p>
        </w:tc>
      </w:tr>
      <w:tr w:rsidR="00373737" w:rsidRPr="00E02362" w14:paraId="5EBA3F4A" w14:textId="77777777" w:rsidTr="00C01F18">
        <w:tc>
          <w:tcPr>
            <w:tcW w:w="2037" w:type="dxa"/>
            <w:vMerge/>
            <w:tcBorders>
              <w:top w:val="single" w:sz="8" w:space="0" w:color="BCBEC0"/>
            </w:tcBorders>
          </w:tcPr>
          <w:p w14:paraId="1550D6CF" w14:textId="77777777" w:rsidR="00373737" w:rsidRPr="00E02362" w:rsidRDefault="00373737" w:rsidP="00776FA1">
            <w:pPr>
              <w:rPr>
                <w:rFonts w:cs="Arial"/>
              </w:rPr>
            </w:pPr>
          </w:p>
        </w:tc>
        <w:tc>
          <w:tcPr>
            <w:tcW w:w="5424" w:type="dxa"/>
            <w:tcBorders>
              <w:top w:val="single" w:sz="8" w:space="0" w:color="BCBEC0"/>
            </w:tcBorders>
          </w:tcPr>
          <w:p w14:paraId="594D8609" w14:textId="77777777" w:rsidR="00373737" w:rsidRPr="00E02362" w:rsidRDefault="006B723B" w:rsidP="00776FA1">
            <w:pPr>
              <w:pStyle w:val="TableText"/>
              <w:rPr>
                <w:rFonts w:cs="Arial"/>
                <w:sz w:val="24"/>
                <w:szCs w:val="24"/>
              </w:rPr>
            </w:pPr>
            <w:r w:rsidRPr="00E02362">
              <w:rPr>
                <w:rFonts w:cs="Arial"/>
              </w:rPr>
              <w:t>Procurement and Contract Management</w:t>
            </w:r>
          </w:p>
        </w:tc>
        <w:tc>
          <w:tcPr>
            <w:tcW w:w="3339" w:type="dxa"/>
            <w:tcBorders>
              <w:top w:val="single" w:sz="8" w:space="0" w:color="BCBEC0"/>
            </w:tcBorders>
          </w:tcPr>
          <w:p w14:paraId="0E1BE203" w14:textId="77777777" w:rsidR="00373737" w:rsidRPr="00E02362" w:rsidRDefault="006B723B" w:rsidP="00776FA1">
            <w:pPr>
              <w:pStyle w:val="TableText"/>
              <w:rPr>
                <w:rFonts w:cs="Arial"/>
              </w:rPr>
            </w:pPr>
            <w:r w:rsidRPr="00E02362">
              <w:rPr>
                <w:rFonts w:cs="Arial"/>
              </w:rPr>
              <w:t>Intermediate</w:t>
            </w:r>
          </w:p>
        </w:tc>
      </w:tr>
      <w:tr w:rsidR="00373737" w:rsidRPr="00E02362" w14:paraId="684F0ECD" w14:textId="77777777" w:rsidTr="00C01F18">
        <w:tc>
          <w:tcPr>
            <w:tcW w:w="2037" w:type="dxa"/>
            <w:vMerge/>
            <w:tcBorders>
              <w:top w:val="single" w:sz="8" w:space="0" w:color="BCBEC0"/>
            </w:tcBorders>
          </w:tcPr>
          <w:p w14:paraId="2A1AEE8C" w14:textId="77777777" w:rsidR="00373737" w:rsidRPr="00E02362" w:rsidRDefault="00373737" w:rsidP="00776FA1">
            <w:pPr>
              <w:rPr>
                <w:rFonts w:cs="Arial"/>
              </w:rPr>
            </w:pPr>
          </w:p>
        </w:tc>
        <w:tc>
          <w:tcPr>
            <w:tcW w:w="5424" w:type="dxa"/>
            <w:tcBorders>
              <w:top w:val="single" w:sz="8" w:space="0" w:color="BCBEC0"/>
            </w:tcBorders>
          </w:tcPr>
          <w:p w14:paraId="663E4394" w14:textId="77777777" w:rsidR="00373737" w:rsidRPr="00E02362" w:rsidRDefault="006B723B" w:rsidP="00776FA1">
            <w:pPr>
              <w:pStyle w:val="TableText"/>
              <w:rPr>
                <w:rFonts w:cs="Arial"/>
                <w:sz w:val="24"/>
                <w:szCs w:val="24"/>
              </w:rPr>
            </w:pPr>
            <w:r w:rsidRPr="00E02362">
              <w:rPr>
                <w:rFonts w:cs="Arial"/>
              </w:rPr>
              <w:t>Project Management</w:t>
            </w:r>
          </w:p>
        </w:tc>
        <w:tc>
          <w:tcPr>
            <w:tcW w:w="3339" w:type="dxa"/>
            <w:tcBorders>
              <w:top w:val="single" w:sz="8" w:space="0" w:color="BCBEC0"/>
            </w:tcBorders>
          </w:tcPr>
          <w:p w14:paraId="7DB372FB" w14:textId="77777777" w:rsidR="00373737" w:rsidRPr="00E02362" w:rsidRDefault="00424926" w:rsidP="00776FA1">
            <w:pPr>
              <w:pStyle w:val="TableText"/>
              <w:rPr>
                <w:rFonts w:cs="Arial"/>
              </w:rPr>
            </w:pPr>
            <w:r w:rsidRPr="00E02362">
              <w:rPr>
                <w:rFonts w:cs="Arial"/>
              </w:rPr>
              <w:t>Intermediate</w:t>
            </w:r>
          </w:p>
        </w:tc>
      </w:tr>
    </w:tbl>
    <w:p w14:paraId="4010FF6A" w14:textId="77777777" w:rsidR="00776FA1" w:rsidRDefault="00776FA1">
      <w:bookmarkStart w:id="3" w:name="Develop" w:colFirst="1" w:colLast="2"/>
      <w:bookmarkStart w:id="4" w:name="PeopleMan_NotManager"/>
      <w:r>
        <w:br w:type="page"/>
      </w:r>
    </w:p>
    <w:tbl>
      <w:tblPr>
        <w:tblStyle w:val="PSCPurple"/>
        <w:tblW w:w="0" w:type="auto"/>
        <w:tblLook w:val="04A0" w:firstRow="1" w:lastRow="0" w:firstColumn="1" w:lastColumn="0" w:noHBand="0" w:noVBand="1"/>
        <w:tblCaption w:val="PSC_CapabilityFrameworkTable"/>
      </w:tblPr>
      <w:tblGrid>
        <w:gridCol w:w="2037"/>
        <w:gridCol w:w="5424"/>
        <w:gridCol w:w="3339"/>
      </w:tblGrid>
      <w:tr w:rsidR="00C25454" w:rsidRPr="00E02362" w14:paraId="117E1576" w14:textId="77777777" w:rsidTr="00776FA1">
        <w:trPr>
          <w:cnfStyle w:val="100000000000" w:firstRow="1" w:lastRow="0" w:firstColumn="0" w:lastColumn="0" w:oddVBand="0" w:evenVBand="0" w:oddHBand="0" w:evenHBand="0" w:firstRowFirstColumn="0" w:firstRowLastColumn="0" w:lastRowFirstColumn="0" w:lastRowLastColumn="0"/>
        </w:trPr>
        <w:tc>
          <w:tcPr>
            <w:tcW w:w="2037" w:type="dxa"/>
            <w:vMerge w:val="restart"/>
            <w:shd w:val="clear" w:color="auto" w:fill="auto"/>
          </w:tcPr>
          <w:p w14:paraId="3BF7C5FC" w14:textId="754DADC9" w:rsidR="00C25454" w:rsidRPr="00E02362" w:rsidRDefault="00C25454" w:rsidP="00776FA1">
            <w:pPr>
              <w:rPr>
                <w:rFonts w:cs="Arial"/>
              </w:rPr>
            </w:pPr>
            <w:r w:rsidRPr="00E02362">
              <w:rPr>
                <w:rFonts w:cs="Arial"/>
                <w:noProof/>
                <w:lang w:eastAsia="en-AU"/>
              </w:rPr>
              <w:lastRenderedPageBreak/>
              <w:drawing>
                <wp:inline distT="0" distB="0" distL="0" distR="0" wp14:anchorId="41EA59BB" wp14:editId="56813C6A">
                  <wp:extent cx="881037" cy="8810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4">
                            <a:extLst>
                              <a:ext uri="{28A0092B-C50C-407E-A947-70E740481C1C}">
                                <a14:useLocalDpi xmlns:a14="http://schemas.microsoft.com/office/drawing/2010/main" val="0"/>
                              </a:ext>
                            </a:extLst>
                          </a:blip>
                          <a:stretch>
                            <a:fillRect/>
                          </a:stretch>
                        </pic:blipFill>
                        <pic:spPr>
                          <a:xfrm>
                            <a:off x="0" y="0"/>
                            <a:ext cx="881037" cy="881037"/>
                          </a:xfrm>
                          <a:prstGeom prst="rect">
                            <a:avLst/>
                          </a:prstGeom>
                        </pic:spPr>
                      </pic:pic>
                    </a:graphicData>
                  </a:graphic>
                </wp:inline>
              </w:drawing>
            </w:r>
          </w:p>
        </w:tc>
        <w:tc>
          <w:tcPr>
            <w:tcW w:w="5424" w:type="dxa"/>
            <w:shd w:val="clear" w:color="auto" w:fill="auto"/>
          </w:tcPr>
          <w:p w14:paraId="2B732386" w14:textId="77777777" w:rsidR="00C25454" w:rsidRPr="00E02362" w:rsidRDefault="00C25454" w:rsidP="00776FA1">
            <w:pPr>
              <w:pStyle w:val="TableText"/>
              <w:rPr>
                <w:rFonts w:cs="Arial"/>
                <w:b/>
                <w:sz w:val="24"/>
                <w:szCs w:val="24"/>
              </w:rPr>
            </w:pPr>
            <w:r w:rsidRPr="00E02362">
              <w:rPr>
                <w:rFonts w:cs="Arial"/>
                <w:b/>
              </w:rPr>
              <w:t>Manage and Develop People</w:t>
            </w:r>
          </w:p>
        </w:tc>
        <w:tc>
          <w:tcPr>
            <w:tcW w:w="3339" w:type="dxa"/>
            <w:shd w:val="clear" w:color="auto" w:fill="auto"/>
          </w:tcPr>
          <w:p w14:paraId="7B269063" w14:textId="77777777" w:rsidR="00C25454" w:rsidRPr="00E02362" w:rsidRDefault="00C25454" w:rsidP="00776FA1">
            <w:pPr>
              <w:pStyle w:val="TableText"/>
              <w:rPr>
                <w:rFonts w:cs="Arial"/>
                <w:b/>
              </w:rPr>
            </w:pPr>
            <w:bookmarkStart w:id="5" w:name="Develop_Level"/>
            <w:bookmarkEnd w:id="5"/>
            <w:r w:rsidRPr="00E02362">
              <w:rPr>
                <w:rFonts w:cs="Arial"/>
                <w:b/>
              </w:rPr>
              <w:t>Adept</w:t>
            </w:r>
          </w:p>
        </w:tc>
      </w:tr>
      <w:tr w:rsidR="00C25454" w:rsidRPr="00E02362" w14:paraId="46712998" w14:textId="77777777" w:rsidTr="00776FA1">
        <w:tc>
          <w:tcPr>
            <w:tcW w:w="2037" w:type="dxa"/>
            <w:vMerge/>
            <w:shd w:val="clear" w:color="auto" w:fill="auto"/>
          </w:tcPr>
          <w:p w14:paraId="2D0A0E22" w14:textId="77777777" w:rsidR="00C25454" w:rsidRPr="00E02362" w:rsidRDefault="00C25454" w:rsidP="00776FA1">
            <w:pPr>
              <w:rPr>
                <w:rFonts w:cs="Arial"/>
              </w:rPr>
            </w:pPr>
            <w:bookmarkStart w:id="6" w:name="Direct" w:colFirst="1" w:colLast="2"/>
            <w:bookmarkEnd w:id="3"/>
          </w:p>
        </w:tc>
        <w:tc>
          <w:tcPr>
            <w:tcW w:w="5424" w:type="dxa"/>
          </w:tcPr>
          <w:p w14:paraId="75CD0604" w14:textId="77777777" w:rsidR="00C25454" w:rsidRPr="00E02362" w:rsidRDefault="00C25454" w:rsidP="00776FA1">
            <w:pPr>
              <w:pStyle w:val="TableText"/>
              <w:rPr>
                <w:rFonts w:cs="Arial"/>
                <w:sz w:val="24"/>
                <w:szCs w:val="24"/>
              </w:rPr>
            </w:pPr>
            <w:r w:rsidRPr="00E02362">
              <w:rPr>
                <w:rFonts w:cs="Arial"/>
              </w:rPr>
              <w:t>Inspire Direction and Purpose</w:t>
            </w:r>
          </w:p>
        </w:tc>
        <w:tc>
          <w:tcPr>
            <w:tcW w:w="3339" w:type="dxa"/>
          </w:tcPr>
          <w:p w14:paraId="556CB539" w14:textId="77777777" w:rsidR="00C25454" w:rsidRPr="00E02362" w:rsidRDefault="00C25454" w:rsidP="00776FA1">
            <w:pPr>
              <w:pStyle w:val="TableText"/>
              <w:rPr>
                <w:rFonts w:cs="Arial"/>
              </w:rPr>
            </w:pPr>
            <w:bookmarkStart w:id="7" w:name="Direct_Level"/>
            <w:bookmarkEnd w:id="7"/>
            <w:r w:rsidRPr="00E02362">
              <w:rPr>
                <w:rFonts w:cs="Arial"/>
              </w:rPr>
              <w:t>Adept</w:t>
            </w:r>
          </w:p>
        </w:tc>
      </w:tr>
      <w:tr w:rsidR="00C25454" w:rsidRPr="00E02362" w14:paraId="263F97CB" w14:textId="77777777" w:rsidTr="00776FA1">
        <w:tc>
          <w:tcPr>
            <w:tcW w:w="2037" w:type="dxa"/>
            <w:vMerge/>
            <w:shd w:val="clear" w:color="auto" w:fill="auto"/>
          </w:tcPr>
          <w:p w14:paraId="7E55768B" w14:textId="77777777" w:rsidR="00C25454" w:rsidRPr="00E02362" w:rsidRDefault="00C25454" w:rsidP="00776FA1">
            <w:pPr>
              <w:rPr>
                <w:rFonts w:cs="Arial"/>
              </w:rPr>
            </w:pPr>
            <w:bookmarkStart w:id="8" w:name="Outcomes" w:colFirst="1" w:colLast="2"/>
            <w:bookmarkEnd w:id="6"/>
          </w:p>
        </w:tc>
        <w:tc>
          <w:tcPr>
            <w:tcW w:w="5424" w:type="dxa"/>
          </w:tcPr>
          <w:p w14:paraId="2FB1B9E5" w14:textId="77777777" w:rsidR="00C25454" w:rsidRPr="00E02362" w:rsidRDefault="00C25454" w:rsidP="00776FA1">
            <w:pPr>
              <w:pStyle w:val="TableText"/>
              <w:rPr>
                <w:rFonts w:cs="Arial"/>
                <w:sz w:val="24"/>
                <w:szCs w:val="24"/>
              </w:rPr>
            </w:pPr>
            <w:r w:rsidRPr="00E02362">
              <w:rPr>
                <w:rFonts w:cs="Arial"/>
                <w:bCs/>
              </w:rPr>
              <w:t>Optimise Business Outcomes</w:t>
            </w:r>
          </w:p>
        </w:tc>
        <w:tc>
          <w:tcPr>
            <w:tcW w:w="3339" w:type="dxa"/>
          </w:tcPr>
          <w:p w14:paraId="5035425C" w14:textId="77777777" w:rsidR="00C25454" w:rsidRPr="00E02362" w:rsidRDefault="001C7793" w:rsidP="00776FA1">
            <w:pPr>
              <w:pStyle w:val="TableText"/>
              <w:rPr>
                <w:rFonts w:cs="Arial"/>
              </w:rPr>
            </w:pPr>
            <w:bookmarkStart w:id="9" w:name="Outcomes_Level"/>
            <w:bookmarkEnd w:id="9"/>
            <w:r w:rsidRPr="00E02362">
              <w:rPr>
                <w:rFonts w:cs="Arial"/>
              </w:rPr>
              <w:t>Intermediate</w:t>
            </w:r>
          </w:p>
        </w:tc>
      </w:tr>
      <w:tr w:rsidR="00C25454" w:rsidRPr="00E02362" w14:paraId="208C3D76" w14:textId="77777777" w:rsidTr="00776FA1">
        <w:tc>
          <w:tcPr>
            <w:tcW w:w="2037" w:type="dxa"/>
            <w:vMerge/>
            <w:shd w:val="clear" w:color="auto" w:fill="auto"/>
          </w:tcPr>
          <w:p w14:paraId="70AF0E73" w14:textId="77777777" w:rsidR="00C25454" w:rsidRPr="00E02362" w:rsidRDefault="00C25454" w:rsidP="00776FA1">
            <w:pPr>
              <w:rPr>
                <w:rFonts w:cs="Arial"/>
              </w:rPr>
            </w:pPr>
            <w:bookmarkStart w:id="10" w:name="Reform" w:colFirst="1" w:colLast="2"/>
            <w:bookmarkEnd w:id="8"/>
          </w:p>
        </w:tc>
        <w:tc>
          <w:tcPr>
            <w:tcW w:w="5424" w:type="dxa"/>
          </w:tcPr>
          <w:p w14:paraId="06CA4B77" w14:textId="77777777" w:rsidR="00C25454" w:rsidRPr="00E02362" w:rsidRDefault="00C25454" w:rsidP="00776FA1">
            <w:pPr>
              <w:pStyle w:val="TableText"/>
              <w:rPr>
                <w:rFonts w:cs="Arial"/>
                <w:sz w:val="24"/>
                <w:szCs w:val="24"/>
              </w:rPr>
            </w:pPr>
            <w:r w:rsidRPr="00E02362">
              <w:rPr>
                <w:rFonts w:cs="Arial"/>
              </w:rPr>
              <w:t>Manage Reform and Change</w:t>
            </w:r>
          </w:p>
        </w:tc>
        <w:tc>
          <w:tcPr>
            <w:tcW w:w="3339" w:type="dxa"/>
          </w:tcPr>
          <w:p w14:paraId="19BDC71C" w14:textId="77777777" w:rsidR="00C25454" w:rsidRPr="00E02362" w:rsidRDefault="00424926" w:rsidP="00776FA1">
            <w:pPr>
              <w:pStyle w:val="TableText"/>
              <w:rPr>
                <w:rFonts w:cs="Arial"/>
              </w:rPr>
            </w:pPr>
            <w:bookmarkStart w:id="11" w:name="Reform_Level"/>
            <w:bookmarkEnd w:id="11"/>
            <w:r w:rsidRPr="00E02362">
              <w:rPr>
                <w:rFonts w:cs="Arial"/>
              </w:rPr>
              <w:t>Adept</w:t>
            </w:r>
          </w:p>
        </w:tc>
      </w:tr>
      <w:bookmarkEnd w:id="4"/>
      <w:bookmarkEnd w:id="10"/>
    </w:tbl>
    <w:p w14:paraId="3F1EABDD" w14:textId="77777777" w:rsidR="00C01F18" w:rsidRPr="00E02362" w:rsidRDefault="00C01F18" w:rsidP="00776FA1">
      <w:pPr>
        <w:rPr>
          <w:rFonts w:cs="Arial"/>
          <w:lang w:val="en-AU"/>
        </w:rPr>
      </w:pPr>
    </w:p>
    <w:tbl>
      <w:tblPr>
        <w:tblStyle w:val="PSCPurple"/>
        <w:tblW w:w="0" w:type="auto"/>
        <w:tblLook w:val="04A0" w:firstRow="1" w:lastRow="0" w:firstColumn="1" w:lastColumn="0" w:noHBand="0" w:noVBand="1"/>
      </w:tblPr>
      <w:tblGrid>
        <w:gridCol w:w="2184"/>
        <w:gridCol w:w="4846"/>
        <w:gridCol w:w="3515"/>
      </w:tblGrid>
      <w:tr w:rsidR="00C01F18" w:rsidRPr="00E02362" w14:paraId="13B77185" w14:textId="77777777" w:rsidTr="00FC7622">
        <w:trPr>
          <w:cnfStyle w:val="100000000000" w:firstRow="1" w:lastRow="0" w:firstColumn="0" w:lastColumn="0" w:oddVBand="0" w:evenVBand="0" w:oddHBand="0" w:evenHBand="0" w:firstRowFirstColumn="0" w:firstRowLastColumn="0" w:lastRowFirstColumn="0" w:lastRowLastColumn="0"/>
          <w:cantSplit/>
          <w:tblHeader/>
        </w:trPr>
        <w:tc>
          <w:tcPr>
            <w:tcW w:w="10545" w:type="dxa"/>
            <w:gridSpan w:val="3"/>
            <w:tcBorders>
              <w:top w:val="single" w:sz="8" w:space="0" w:color="BCBEC0"/>
              <w:bottom w:val="single" w:sz="8" w:space="0" w:color="BCBEC0"/>
            </w:tcBorders>
          </w:tcPr>
          <w:p w14:paraId="16B40884" w14:textId="77777777" w:rsidR="00C01F18" w:rsidRPr="00E02362" w:rsidRDefault="00C01F18" w:rsidP="00776FA1">
            <w:pPr>
              <w:pStyle w:val="TableTextWhite0"/>
              <w:rPr>
                <w:rFonts w:cs="Arial"/>
              </w:rPr>
            </w:pPr>
            <w:bookmarkStart w:id="12" w:name="SFIA_OccupTable"/>
            <w:r w:rsidRPr="00E02362">
              <w:rPr>
                <w:rFonts w:cs="Arial"/>
              </w:rPr>
              <w:t>Occupation / profession specific capabilities - Finance Professionals Capability Set</w:t>
            </w:r>
          </w:p>
        </w:tc>
      </w:tr>
      <w:tr w:rsidR="00C01F18" w:rsidRPr="00E02362" w14:paraId="54EEC6BE" w14:textId="77777777" w:rsidTr="00FC7622">
        <w:trPr>
          <w:cnfStyle w:val="100000000000" w:firstRow="1" w:lastRow="0" w:firstColumn="0" w:lastColumn="0" w:oddVBand="0" w:evenVBand="0" w:oddHBand="0" w:evenHBand="0" w:firstRowFirstColumn="0" w:firstRowLastColumn="0" w:lastRowFirstColumn="0" w:lastRowLastColumn="0"/>
          <w:cantSplit/>
          <w:tblHeader/>
        </w:trPr>
        <w:tc>
          <w:tcPr>
            <w:tcW w:w="2184" w:type="dxa"/>
            <w:tcBorders>
              <w:top w:val="single" w:sz="8" w:space="0" w:color="BCBEC0"/>
              <w:bottom w:val="single" w:sz="8" w:space="0" w:color="BCBEC0"/>
            </w:tcBorders>
            <w:shd w:val="clear" w:color="auto" w:fill="BCBEC0"/>
          </w:tcPr>
          <w:p w14:paraId="7F8AAC51" w14:textId="77777777" w:rsidR="00C01F18" w:rsidRPr="00E02362" w:rsidRDefault="00C01F18" w:rsidP="00776FA1">
            <w:pPr>
              <w:pStyle w:val="TableText"/>
              <w:rPr>
                <w:rFonts w:cs="Arial"/>
                <w:b/>
              </w:rPr>
            </w:pPr>
            <w:r w:rsidRPr="00E02362">
              <w:rPr>
                <w:rFonts w:cs="Arial"/>
                <w:b/>
              </w:rPr>
              <w:t>Capability Set</w:t>
            </w:r>
          </w:p>
        </w:tc>
        <w:tc>
          <w:tcPr>
            <w:tcW w:w="4846" w:type="dxa"/>
            <w:tcBorders>
              <w:top w:val="single" w:sz="8" w:space="0" w:color="BCBEC0"/>
              <w:bottom w:val="single" w:sz="8" w:space="0" w:color="BCBEC0"/>
            </w:tcBorders>
            <w:shd w:val="clear" w:color="auto" w:fill="BCBEC0"/>
          </w:tcPr>
          <w:p w14:paraId="060197B1" w14:textId="77777777" w:rsidR="00C01F18" w:rsidRPr="00E02362" w:rsidRDefault="00C01F18" w:rsidP="00776FA1">
            <w:pPr>
              <w:pStyle w:val="TableText"/>
              <w:rPr>
                <w:rFonts w:cs="Arial"/>
                <w:b/>
              </w:rPr>
            </w:pPr>
            <w:r w:rsidRPr="00E02362">
              <w:rPr>
                <w:rFonts w:cs="Arial"/>
                <w:b/>
              </w:rPr>
              <w:t>Capability Name</w:t>
            </w:r>
          </w:p>
        </w:tc>
        <w:tc>
          <w:tcPr>
            <w:tcW w:w="3515" w:type="dxa"/>
            <w:tcBorders>
              <w:top w:val="single" w:sz="8" w:space="0" w:color="BCBEC0"/>
              <w:bottom w:val="single" w:sz="8" w:space="0" w:color="BCBEC0"/>
            </w:tcBorders>
            <w:shd w:val="clear" w:color="auto" w:fill="BCBEC0"/>
          </w:tcPr>
          <w:p w14:paraId="062502F3" w14:textId="77777777" w:rsidR="00C01F18" w:rsidRPr="00E02362" w:rsidRDefault="00C01F18" w:rsidP="00776FA1">
            <w:pPr>
              <w:pStyle w:val="TableText"/>
              <w:rPr>
                <w:rFonts w:cs="Arial"/>
                <w:b/>
              </w:rPr>
            </w:pPr>
            <w:r w:rsidRPr="00E02362">
              <w:rPr>
                <w:rFonts w:cs="Arial"/>
                <w:b/>
              </w:rPr>
              <w:t>Level</w:t>
            </w:r>
          </w:p>
        </w:tc>
      </w:tr>
      <w:tr w:rsidR="00C01F18" w:rsidRPr="00E02362" w14:paraId="20222181" w14:textId="77777777" w:rsidTr="00FC7622">
        <w:trPr>
          <w:cantSplit/>
        </w:trPr>
        <w:tc>
          <w:tcPr>
            <w:tcW w:w="2184" w:type="dxa"/>
            <w:vMerge w:val="restart"/>
            <w:tcBorders>
              <w:top w:val="single" w:sz="8" w:space="0" w:color="BCBEC0"/>
            </w:tcBorders>
            <w:vAlign w:val="center"/>
          </w:tcPr>
          <w:p w14:paraId="674B5624" w14:textId="77777777" w:rsidR="00C01F18" w:rsidRPr="00E02362" w:rsidRDefault="00C01F18" w:rsidP="00776FA1">
            <w:pPr>
              <w:rPr>
                <w:rFonts w:cs="Arial"/>
              </w:rPr>
            </w:pPr>
            <w:r w:rsidRPr="00E02362">
              <w:rPr>
                <w:rFonts w:cs="Arial"/>
                <w:noProof/>
                <w:lang w:eastAsia="en-AU"/>
              </w:rPr>
              <w:drawing>
                <wp:inline distT="0" distB="0" distL="0" distR="0" wp14:anchorId="36F79469" wp14:editId="53055B2E">
                  <wp:extent cx="882000" cy="87120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Specific.jpg"/>
                          <pic:cNvPicPr/>
                        </pic:nvPicPr>
                        <pic:blipFill>
                          <a:blip r:embed="rId15">
                            <a:extLst>
                              <a:ext uri="{28A0092B-C50C-407E-A947-70E740481C1C}">
                                <a14:useLocalDpi xmlns:a14="http://schemas.microsoft.com/office/drawing/2010/main" val="0"/>
                              </a:ext>
                            </a:extLst>
                          </a:blip>
                          <a:stretch>
                            <a:fillRect/>
                          </a:stretch>
                        </pic:blipFill>
                        <pic:spPr>
                          <a:xfrm>
                            <a:off x="0" y="0"/>
                            <a:ext cx="882000" cy="871200"/>
                          </a:xfrm>
                          <a:prstGeom prst="rect">
                            <a:avLst/>
                          </a:prstGeom>
                        </pic:spPr>
                      </pic:pic>
                    </a:graphicData>
                  </a:graphic>
                </wp:inline>
              </w:drawing>
            </w:r>
          </w:p>
        </w:tc>
        <w:tc>
          <w:tcPr>
            <w:tcW w:w="4846" w:type="dxa"/>
            <w:tcBorders>
              <w:top w:val="single" w:sz="8" w:space="0" w:color="BCBEC0"/>
            </w:tcBorders>
          </w:tcPr>
          <w:p w14:paraId="50348B3A" w14:textId="77777777" w:rsidR="00C01F18" w:rsidRPr="00E02362" w:rsidRDefault="00C01F18" w:rsidP="00776FA1">
            <w:pPr>
              <w:pStyle w:val="TableText"/>
              <w:rPr>
                <w:rFonts w:cs="Arial"/>
              </w:rPr>
            </w:pPr>
            <w:r w:rsidRPr="00E02362">
              <w:rPr>
                <w:rFonts w:cs="Arial"/>
              </w:rPr>
              <w:t>Financial Strategy, Governance and Risk Management</w:t>
            </w:r>
          </w:p>
        </w:tc>
        <w:tc>
          <w:tcPr>
            <w:tcW w:w="3515" w:type="dxa"/>
            <w:tcBorders>
              <w:top w:val="single" w:sz="8" w:space="0" w:color="BCBEC0"/>
            </w:tcBorders>
          </w:tcPr>
          <w:p w14:paraId="0ACE1C58" w14:textId="77777777" w:rsidR="00C01F18" w:rsidRPr="00E02362" w:rsidRDefault="00C01F18" w:rsidP="00776FA1">
            <w:pPr>
              <w:pStyle w:val="TableText"/>
              <w:rPr>
                <w:rFonts w:cs="Arial"/>
              </w:rPr>
            </w:pPr>
            <w:r w:rsidRPr="00E02362">
              <w:rPr>
                <w:rFonts w:cs="Arial"/>
              </w:rPr>
              <w:t>3</w:t>
            </w:r>
          </w:p>
        </w:tc>
      </w:tr>
      <w:tr w:rsidR="00C01F18" w:rsidRPr="00E02362" w14:paraId="250488B3" w14:textId="77777777" w:rsidTr="00FC7622">
        <w:trPr>
          <w:cantSplit/>
        </w:trPr>
        <w:tc>
          <w:tcPr>
            <w:tcW w:w="2184" w:type="dxa"/>
            <w:vMerge/>
          </w:tcPr>
          <w:p w14:paraId="586C1AEB" w14:textId="77777777" w:rsidR="00C01F18" w:rsidRPr="00E02362" w:rsidRDefault="00C01F18" w:rsidP="00776FA1">
            <w:pPr>
              <w:rPr>
                <w:rFonts w:cs="Arial"/>
              </w:rPr>
            </w:pPr>
          </w:p>
        </w:tc>
        <w:tc>
          <w:tcPr>
            <w:tcW w:w="4846" w:type="dxa"/>
          </w:tcPr>
          <w:p w14:paraId="46518708" w14:textId="77777777" w:rsidR="00C01F18" w:rsidRPr="00E02362" w:rsidRDefault="00C01F18" w:rsidP="00776FA1">
            <w:pPr>
              <w:pStyle w:val="TableText"/>
              <w:rPr>
                <w:rFonts w:cs="Arial"/>
              </w:rPr>
            </w:pPr>
            <w:r w:rsidRPr="00E02362">
              <w:rPr>
                <w:rFonts w:cs="Arial"/>
              </w:rPr>
              <w:t>Financial Accounting and Statutory Reporting</w:t>
            </w:r>
          </w:p>
        </w:tc>
        <w:tc>
          <w:tcPr>
            <w:tcW w:w="3515" w:type="dxa"/>
          </w:tcPr>
          <w:p w14:paraId="40B619B2" w14:textId="77777777" w:rsidR="00C01F18" w:rsidRPr="00E02362" w:rsidRDefault="00C01F18" w:rsidP="00776FA1">
            <w:pPr>
              <w:pStyle w:val="TableText"/>
              <w:rPr>
                <w:rFonts w:cs="Arial"/>
              </w:rPr>
            </w:pPr>
            <w:r w:rsidRPr="00E02362">
              <w:rPr>
                <w:rFonts w:cs="Arial"/>
              </w:rPr>
              <w:t>3</w:t>
            </w:r>
          </w:p>
        </w:tc>
      </w:tr>
      <w:tr w:rsidR="00C01F18" w:rsidRPr="00E02362" w14:paraId="7C950065" w14:textId="77777777" w:rsidTr="00FC7622">
        <w:trPr>
          <w:cantSplit/>
        </w:trPr>
        <w:tc>
          <w:tcPr>
            <w:tcW w:w="2184" w:type="dxa"/>
            <w:vMerge/>
          </w:tcPr>
          <w:p w14:paraId="39FCF5FF" w14:textId="77777777" w:rsidR="00C01F18" w:rsidRPr="00E02362" w:rsidRDefault="00C01F18" w:rsidP="00776FA1">
            <w:pPr>
              <w:rPr>
                <w:rFonts w:cs="Arial"/>
              </w:rPr>
            </w:pPr>
          </w:p>
        </w:tc>
        <w:tc>
          <w:tcPr>
            <w:tcW w:w="4846" w:type="dxa"/>
          </w:tcPr>
          <w:p w14:paraId="38760F9A" w14:textId="77777777" w:rsidR="00C01F18" w:rsidRPr="00E02362" w:rsidRDefault="00C01F18" w:rsidP="00776FA1">
            <w:pPr>
              <w:pStyle w:val="TableText"/>
              <w:rPr>
                <w:rFonts w:cs="Arial"/>
                <w:b/>
              </w:rPr>
            </w:pPr>
            <w:r w:rsidRPr="00E02362">
              <w:rPr>
                <w:rFonts w:cs="Arial"/>
                <w:b/>
              </w:rPr>
              <w:t>Management Accounting</w:t>
            </w:r>
          </w:p>
        </w:tc>
        <w:tc>
          <w:tcPr>
            <w:tcW w:w="3515" w:type="dxa"/>
          </w:tcPr>
          <w:p w14:paraId="24416A3A" w14:textId="77777777" w:rsidR="00C01F18" w:rsidRPr="00E02362" w:rsidRDefault="00C01F18" w:rsidP="00776FA1">
            <w:pPr>
              <w:pStyle w:val="TableText"/>
              <w:rPr>
                <w:rFonts w:cs="Arial"/>
                <w:b/>
              </w:rPr>
            </w:pPr>
            <w:r w:rsidRPr="00E02362">
              <w:rPr>
                <w:rFonts w:cs="Arial"/>
                <w:b/>
              </w:rPr>
              <w:t>4</w:t>
            </w:r>
          </w:p>
        </w:tc>
      </w:tr>
      <w:tr w:rsidR="00C01F18" w:rsidRPr="00E02362" w14:paraId="53326322" w14:textId="77777777" w:rsidTr="00FC7622">
        <w:trPr>
          <w:cantSplit/>
        </w:trPr>
        <w:tc>
          <w:tcPr>
            <w:tcW w:w="2184" w:type="dxa"/>
            <w:vMerge/>
          </w:tcPr>
          <w:p w14:paraId="7B3D0DE9" w14:textId="77777777" w:rsidR="00C01F18" w:rsidRPr="00E02362" w:rsidRDefault="00C01F18" w:rsidP="00776FA1">
            <w:pPr>
              <w:rPr>
                <w:rFonts w:cs="Arial"/>
              </w:rPr>
            </w:pPr>
          </w:p>
        </w:tc>
        <w:tc>
          <w:tcPr>
            <w:tcW w:w="4846" w:type="dxa"/>
          </w:tcPr>
          <w:p w14:paraId="704BA126" w14:textId="77777777" w:rsidR="00C01F18" w:rsidRPr="00E02362" w:rsidRDefault="00C01F18" w:rsidP="00776FA1">
            <w:pPr>
              <w:pStyle w:val="TableText"/>
              <w:rPr>
                <w:rFonts w:cs="Arial"/>
              </w:rPr>
            </w:pPr>
            <w:r w:rsidRPr="00E02362">
              <w:rPr>
                <w:rFonts w:cs="Arial"/>
              </w:rPr>
              <w:t>Audit and Assurance</w:t>
            </w:r>
          </w:p>
        </w:tc>
        <w:tc>
          <w:tcPr>
            <w:tcW w:w="3515" w:type="dxa"/>
          </w:tcPr>
          <w:p w14:paraId="2072123D" w14:textId="77777777" w:rsidR="00C01F18" w:rsidRPr="00E02362" w:rsidRDefault="00C01F18" w:rsidP="00776FA1">
            <w:pPr>
              <w:pStyle w:val="TableText"/>
              <w:rPr>
                <w:rFonts w:cs="Arial"/>
              </w:rPr>
            </w:pPr>
            <w:r w:rsidRPr="00E02362">
              <w:rPr>
                <w:rFonts w:cs="Arial"/>
              </w:rPr>
              <w:t>Not applicable</w:t>
            </w:r>
          </w:p>
        </w:tc>
      </w:tr>
      <w:bookmarkEnd w:id="12"/>
      <w:tr w:rsidR="00C01F18" w:rsidRPr="00E02362" w14:paraId="242F6D27" w14:textId="77777777" w:rsidTr="00FC7622">
        <w:tc>
          <w:tcPr>
            <w:tcW w:w="2184" w:type="dxa"/>
            <w:vMerge w:val="restart"/>
          </w:tcPr>
          <w:p w14:paraId="4F11F94D" w14:textId="77777777" w:rsidR="00C01F18" w:rsidRPr="00E02362" w:rsidRDefault="00C01F18" w:rsidP="00776FA1">
            <w:pPr>
              <w:rPr>
                <w:rFonts w:cs="Arial"/>
              </w:rPr>
            </w:pPr>
            <w:r w:rsidRPr="00E02362">
              <w:rPr>
                <w:rFonts w:cs="Arial"/>
                <w:noProof/>
                <w:lang w:eastAsia="en-AU"/>
              </w:rPr>
              <w:drawing>
                <wp:inline distT="0" distB="0" distL="0" distR="0" wp14:anchorId="0F87E827" wp14:editId="6BE1DDFB">
                  <wp:extent cx="882000" cy="871200"/>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Specific.jpg"/>
                          <pic:cNvPicPr/>
                        </pic:nvPicPr>
                        <pic:blipFill>
                          <a:blip r:embed="rId15">
                            <a:extLst>
                              <a:ext uri="{28A0092B-C50C-407E-A947-70E740481C1C}">
                                <a14:useLocalDpi xmlns:a14="http://schemas.microsoft.com/office/drawing/2010/main" val="0"/>
                              </a:ext>
                            </a:extLst>
                          </a:blip>
                          <a:stretch>
                            <a:fillRect/>
                          </a:stretch>
                        </pic:blipFill>
                        <pic:spPr>
                          <a:xfrm>
                            <a:off x="0" y="0"/>
                            <a:ext cx="882000" cy="871200"/>
                          </a:xfrm>
                          <a:prstGeom prst="rect">
                            <a:avLst/>
                          </a:prstGeom>
                        </pic:spPr>
                      </pic:pic>
                    </a:graphicData>
                  </a:graphic>
                </wp:inline>
              </w:drawing>
            </w:r>
          </w:p>
        </w:tc>
        <w:tc>
          <w:tcPr>
            <w:tcW w:w="4846" w:type="dxa"/>
          </w:tcPr>
          <w:p w14:paraId="7F95D2AA" w14:textId="77777777" w:rsidR="00C01F18" w:rsidRPr="00E02362" w:rsidRDefault="00C01F18" w:rsidP="00776FA1">
            <w:pPr>
              <w:pStyle w:val="TableText"/>
              <w:rPr>
                <w:rFonts w:cs="Arial"/>
              </w:rPr>
            </w:pPr>
            <w:r w:rsidRPr="00E02362">
              <w:rPr>
                <w:rFonts w:cs="Arial"/>
              </w:rPr>
              <w:t>Taxation</w:t>
            </w:r>
          </w:p>
        </w:tc>
        <w:tc>
          <w:tcPr>
            <w:tcW w:w="3515" w:type="dxa"/>
          </w:tcPr>
          <w:p w14:paraId="31BFBFD7" w14:textId="77777777" w:rsidR="00C01F18" w:rsidRPr="00E02362" w:rsidRDefault="00C01F18" w:rsidP="00776FA1">
            <w:pPr>
              <w:pStyle w:val="TableText"/>
              <w:rPr>
                <w:rFonts w:cs="Arial"/>
              </w:rPr>
            </w:pPr>
            <w:r w:rsidRPr="00E02362">
              <w:rPr>
                <w:rFonts w:cs="Arial"/>
              </w:rPr>
              <w:t>1</w:t>
            </w:r>
          </w:p>
        </w:tc>
      </w:tr>
      <w:tr w:rsidR="00C01F18" w:rsidRPr="00E02362" w14:paraId="5908A7E4" w14:textId="77777777" w:rsidTr="00FC7622">
        <w:tc>
          <w:tcPr>
            <w:tcW w:w="2184" w:type="dxa"/>
            <w:vMerge/>
          </w:tcPr>
          <w:p w14:paraId="4A7B4709" w14:textId="77777777" w:rsidR="00C01F18" w:rsidRPr="00E02362" w:rsidRDefault="00C01F18" w:rsidP="00776FA1">
            <w:pPr>
              <w:rPr>
                <w:rFonts w:cs="Arial"/>
              </w:rPr>
            </w:pPr>
          </w:p>
        </w:tc>
        <w:tc>
          <w:tcPr>
            <w:tcW w:w="4846" w:type="dxa"/>
          </w:tcPr>
          <w:p w14:paraId="76610440" w14:textId="77777777" w:rsidR="00C01F18" w:rsidRPr="00E02362" w:rsidRDefault="00C01F18" w:rsidP="00776FA1">
            <w:pPr>
              <w:pStyle w:val="TableText"/>
              <w:rPr>
                <w:rFonts w:cs="Arial"/>
              </w:rPr>
            </w:pPr>
            <w:r w:rsidRPr="00E02362">
              <w:rPr>
                <w:rFonts w:cs="Arial"/>
              </w:rPr>
              <w:t>Finance Operations and Systems</w:t>
            </w:r>
          </w:p>
        </w:tc>
        <w:tc>
          <w:tcPr>
            <w:tcW w:w="3515" w:type="dxa"/>
          </w:tcPr>
          <w:p w14:paraId="02ECFF3E" w14:textId="77777777" w:rsidR="00C01F18" w:rsidRPr="00E02362" w:rsidRDefault="00C01F18" w:rsidP="00776FA1">
            <w:pPr>
              <w:pStyle w:val="TableText"/>
              <w:rPr>
                <w:rFonts w:cs="Arial"/>
              </w:rPr>
            </w:pPr>
            <w:r w:rsidRPr="00E02362">
              <w:rPr>
                <w:rFonts w:cs="Arial"/>
              </w:rPr>
              <w:t>3</w:t>
            </w:r>
          </w:p>
        </w:tc>
      </w:tr>
      <w:tr w:rsidR="00C01F18" w:rsidRPr="00E02362" w14:paraId="09652215" w14:textId="77777777" w:rsidTr="00FC7622">
        <w:tc>
          <w:tcPr>
            <w:tcW w:w="2184" w:type="dxa"/>
            <w:vMerge/>
          </w:tcPr>
          <w:p w14:paraId="3C1DC2C7" w14:textId="77777777" w:rsidR="00C01F18" w:rsidRPr="00E02362" w:rsidRDefault="00C01F18" w:rsidP="00776FA1">
            <w:pPr>
              <w:rPr>
                <w:rFonts w:cs="Arial"/>
              </w:rPr>
            </w:pPr>
          </w:p>
        </w:tc>
        <w:tc>
          <w:tcPr>
            <w:tcW w:w="4846" w:type="dxa"/>
          </w:tcPr>
          <w:p w14:paraId="5CC61AD1" w14:textId="77777777" w:rsidR="00C01F18" w:rsidRPr="00E02362" w:rsidRDefault="00C01F18" w:rsidP="00776FA1">
            <w:pPr>
              <w:pStyle w:val="TableText"/>
              <w:rPr>
                <w:rFonts w:cs="Arial"/>
              </w:rPr>
            </w:pPr>
            <w:r w:rsidRPr="00E02362">
              <w:rPr>
                <w:rFonts w:cs="Arial"/>
              </w:rPr>
              <w:t>Finance Business Partnering</w:t>
            </w:r>
          </w:p>
        </w:tc>
        <w:tc>
          <w:tcPr>
            <w:tcW w:w="3515" w:type="dxa"/>
          </w:tcPr>
          <w:p w14:paraId="36FFAB8D" w14:textId="77777777" w:rsidR="00C01F18" w:rsidRPr="00E02362" w:rsidRDefault="00C01F18" w:rsidP="00776FA1">
            <w:pPr>
              <w:pStyle w:val="TableText"/>
              <w:rPr>
                <w:rFonts w:cs="Arial"/>
              </w:rPr>
            </w:pPr>
            <w:r w:rsidRPr="00E02362">
              <w:rPr>
                <w:rFonts w:cs="Arial"/>
              </w:rPr>
              <w:t>3</w:t>
            </w:r>
          </w:p>
        </w:tc>
      </w:tr>
      <w:tr w:rsidR="00C01F18" w:rsidRPr="00E02362" w14:paraId="08950A3F" w14:textId="77777777" w:rsidTr="00FC7622">
        <w:tc>
          <w:tcPr>
            <w:tcW w:w="2184" w:type="dxa"/>
            <w:vMerge/>
          </w:tcPr>
          <w:p w14:paraId="07D93BA6" w14:textId="77777777" w:rsidR="00C01F18" w:rsidRPr="00E02362" w:rsidRDefault="00C01F18" w:rsidP="00776FA1">
            <w:pPr>
              <w:rPr>
                <w:rFonts w:cs="Arial"/>
              </w:rPr>
            </w:pPr>
          </w:p>
        </w:tc>
        <w:tc>
          <w:tcPr>
            <w:tcW w:w="4846" w:type="dxa"/>
          </w:tcPr>
          <w:p w14:paraId="33D215BD" w14:textId="77777777" w:rsidR="00C01F18" w:rsidRPr="00E02362" w:rsidRDefault="00C01F18" w:rsidP="00776FA1">
            <w:pPr>
              <w:pStyle w:val="TableText"/>
              <w:rPr>
                <w:rFonts w:cs="Arial"/>
              </w:rPr>
            </w:pPr>
          </w:p>
        </w:tc>
        <w:tc>
          <w:tcPr>
            <w:tcW w:w="3515" w:type="dxa"/>
          </w:tcPr>
          <w:p w14:paraId="1D98C39C" w14:textId="77777777" w:rsidR="00C01F18" w:rsidRPr="00E02362" w:rsidRDefault="00C01F18" w:rsidP="00776FA1">
            <w:pPr>
              <w:pStyle w:val="TableText"/>
              <w:rPr>
                <w:rFonts w:cs="Arial"/>
              </w:rPr>
            </w:pPr>
          </w:p>
        </w:tc>
      </w:tr>
    </w:tbl>
    <w:p w14:paraId="58B6CCCE" w14:textId="77777777" w:rsidR="00325E9D" w:rsidRPr="00E02362" w:rsidRDefault="00325E9D" w:rsidP="00776FA1">
      <w:pPr>
        <w:pStyle w:val="Heading2"/>
        <w:keepNext w:val="0"/>
        <w:spacing w:before="240"/>
      </w:pPr>
      <w:r w:rsidRPr="00E02362">
        <w:t>Focus capabilities</w:t>
      </w:r>
    </w:p>
    <w:p w14:paraId="77DBE455" w14:textId="77777777" w:rsidR="00325E9D" w:rsidRPr="00E02362" w:rsidRDefault="00325E9D" w:rsidP="00776FA1">
      <w:pPr>
        <w:rPr>
          <w:rFonts w:cs="Arial"/>
          <w:lang w:val="en-AU"/>
        </w:rPr>
      </w:pPr>
      <w:r w:rsidRPr="00E02362">
        <w:rPr>
          <w:rFonts w:cs="Arial"/>
          <w:lang w:val="en-AU"/>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Look w:val="04A0" w:firstRow="1" w:lastRow="0" w:firstColumn="1" w:lastColumn="0" w:noHBand="0" w:noVBand="1"/>
        <w:tblCaption w:val="PSC_NSWFocusCapabilityFrameworkTable"/>
      </w:tblPr>
      <w:tblGrid>
        <w:gridCol w:w="2703"/>
        <w:gridCol w:w="2336"/>
        <w:gridCol w:w="5761"/>
      </w:tblGrid>
      <w:tr w:rsidR="002D36BB" w:rsidRPr="00E02362" w14:paraId="5301B4EE" w14:textId="77777777" w:rsidTr="00776FA1">
        <w:trPr>
          <w:cnfStyle w:val="100000000000" w:firstRow="1" w:lastRow="0" w:firstColumn="0" w:lastColumn="0" w:oddVBand="0" w:evenVBand="0" w:oddHBand="0" w:evenHBand="0" w:firstRowFirstColumn="0" w:firstRowLastColumn="0" w:lastRowFirstColumn="0" w:lastRowLastColumn="0"/>
          <w:tblHeader/>
        </w:trPr>
        <w:tc>
          <w:tcPr>
            <w:tcW w:w="10800" w:type="dxa"/>
            <w:gridSpan w:val="3"/>
          </w:tcPr>
          <w:p w14:paraId="49D3877D" w14:textId="77777777" w:rsidR="002D36BB" w:rsidRPr="00E02362" w:rsidRDefault="002D36BB" w:rsidP="00FC7622">
            <w:pPr>
              <w:pStyle w:val="TableTextWhite0"/>
              <w:keepNext/>
              <w:rPr>
                <w:rFonts w:cs="Arial"/>
              </w:rPr>
            </w:pPr>
            <w:r w:rsidRPr="00E02362">
              <w:rPr>
                <w:rFonts w:cs="Arial"/>
              </w:rPr>
              <w:t>NSW Public Sector Capability Framework</w:t>
            </w:r>
          </w:p>
        </w:tc>
      </w:tr>
      <w:tr w:rsidR="00A85305" w:rsidRPr="00E02362" w14:paraId="598A14CA" w14:textId="77777777" w:rsidTr="00776FA1">
        <w:trPr>
          <w:cnfStyle w:val="100000000000" w:firstRow="1" w:lastRow="0" w:firstColumn="0" w:lastColumn="0" w:oddVBand="0" w:evenVBand="0" w:oddHBand="0" w:evenHBand="0" w:firstRowFirstColumn="0" w:firstRowLastColumn="0" w:lastRowFirstColumn="0" w:lastRowLastColumn="0"/>
          <w:tblHeader/>
        </w:trPr>
        <w:tc>
          <w:tcPr>
            <w:tcW w:w="2703" w:type="dxa"/>
            <w:tcBorders>
              <w:top w:val="single" w:sz="8" w:space="0" w:color="BCBEC0"/>
              <w:bottom w:val="single" w:sz="8" w:space="0" w:color="BCBEC0"/>
            </w:tcBorders>
            <w:shd w:val="clear" w:color="auto" w:fill="BCBEC0"/>
          </w:tcPr>
          <w:p w14:paraId="0386E53B" w14:textId="77777777" w:rsidR="00A85305" w:rsidRPr="00E02362" w:rsidRDefault="00A85305" w:rsidP="00A85305">
            <w:pPr>
              <w:pStyle w:val="TableText"/>
              <w:keepNext/>
              <w:rPr>
                <w:rFonts w:cs="Arial"/>
                <w:b/>
                <w:sz w:val="24"/>
                <w:szCs w:val="24"/>
              </w:rPr>
            </w:pPr>
            <w:r w:rsidRPr="00E02362">
              <w:rPr>
                <w:rFonts w:cs="Arial"/>
                <w:b/>
              </w:rPr>
              <w:t>Group and Capability</w:t>
            </w:r>
          </w:p>
        </w:tc>
        <w:tc>
          <w:tcPr>
            <w:tcW w:w="2336" w:type="dxa"/>
            <w:tcBorders>
              <w:top w:val="single" w:sz="8" w:space="0" w:color="BCBEC0"/>
              <w:bottom w:val="single" w:sz="8" w:space="0" w:color="BCBEC0"/>
            </w:tcBorders>
            <w:shd w:val="clear" w:color="auto" w:fill="BCBEC0"/>
          </w:tcPr>
          <w:p w14:paraId="6914C8F2" w14:textId="77777777" w:rsidR="00A85305" w:rsidRPr="00E02362" w:rsidRDefault="00A85305" w:rsidP="00A85305">
            <w:pPr>
              <w:pStyle w:val="TableText"/>
              <w:keepNext/>
              <w:rPr>
                <w:rFonts w:cs="Arial"/>
                <w:b/>
                <w:sz w:val="24"/>
                <w:szCs w:val="24"/>
              </w:rPr>
            </w:pPr>
            <w:r w:rsidRPr="00E02362">
              <w:rPr>
                <w:rFonts w:cs="Arial"/>
                <w:b/>
              </w:rPr>
              <w:t>Level</w:t>
            </w:r>
          </w:p>
        </w:tc>
        <w:tc>
          <w:tcPr>
            <w:tcW w:w="5761" w:type="dxa"/>
            <w:tcBorders>
              <w:top w:val="single" w:sz="8" w:space="0" w:color="BCBEC0"/>
              <w:bottom w:val="single" w:sz="8" w:space="0" w:color="BCBEC0"/>
            </w:tcBorders>
            <w:shd w:val="clear" w:color="auto" w:fill="BCBEC0"/>
          </w:tcPr>
          <w:p w14:paraId="5D6DD4D0" w14:textId="77777777" w:rsidR="00A85305" w:rsidRPr="00E02362" w:rsidRDefault="00A85305" w:rsidP="00A85305">
            <w:pPr>
              <w:pStyle w:val="TableText"/>
              <w:keepNext/>
              <w:rPr>
                <w:rFonts w:cs="Arial"/>
                <w:b/>
                <w:sz w:val="24"/>
                <w:szCs w:val="24"/>
              </w:rPr>
            </w:pPr>
            <w:r w:rsidRPr="00E02362">
              <w:rPr>
                <w:rFonts w:cs="Arial"/>
                <w:b/>
              </w:rPr>
              <w:t>Behavioural Indicators</w:t>
            </w:r>
          </w:p>
        </w:tc>
      </w:tr>
      <w:tr w:rsidR="00FE402A" w:rsidRPr="00E02362" w14:paraId="623906FF" w14:textId="77777777" w:rsidTr="00776FA1">
        <w:tc>
          <w:tcPr>
            <w:tcW w:w="2703" w:type="dxa"/>
          </w:tcPr>
          <w:p w14:paraId="214C726F" w14:textId="77777777" w:rsidR="00FE402A" w:rsidRPr="00E02362" w:rsidRDefault="00FE402A" w:rsidP="00FC7622">
            <w:pPr>
              <w:pStyle w:val="TableText"/>
              <w:rPr>
                <w:rFonts w:cs="Arial"/>
                <w:b/>
              </w:rPr>
            </w:pPr>
            <w:bookmarkStart w:id="13" w:name="Personal_Integrity_Adv"/>
            <w:r w:rsidRPr="00E02362">
              <w:rPr>
                <w:rFonts w:cs="Arial"/>
                <w:b/>
              </w:rPr>
              <w:t>Personal Attributes</w:t>
            </w:r>
          </w:p>
          <w:p w14:paraId="0CCED921" w14:textId="77777777" w:rsidR="00FE402A" w:rsidRPr="00E02362" w:rsidRDefault="00FE402A" w:rsidP="00FC7622">
            <w:pPr>
              <w:pStyle w:val="TableText"/>
              <w:rPr>
                <w:rFonts w:cs="Arial"/>
              </w:rPr>
            </w:pPr>
            <w:r w:rsidRPr="00E02362">
              <w:rPr>
                <w:rFonts w:cs="Arial"/>
              </w:rPr>
              <w:t>Act with Integrity</w:t>
            </w:r>
          </w:p>
        </w:tc>
        <w:tc>
          <w:tcPr>
            <w:tcW w:w="2336" w:type="dxa"/>
          </w:tcPr>
          <w:p w14:paraId="766C816E" w14:textId="77777777" w:rsidR="00FE402A" w:rsidRPr="00E02362" w:rsidRDefault="00FE402A" w:rsidP="00FC7622">
            <w:pPr>
              <w:pStyle w:val="TableText"/>
              <w:rPr>
                <w:rFonts w:cs="Arial"/>
                <w:color w:val="000000"/>
              </w:rPr>
            </w:pPr>
            <w:r w:rsidRPr="00E02362">
              <w:rPr>
                <w:rFonts w:cs="Arial"/>
                <w:color w:val="000000"/>
              </w:rPr>
              <w:t>Advanced</w:t>
            </w:r>
          </w:p>
        </w:tc>
        <w:tc>
          <w:tcPr>
            <w:tcW w:w="5761" w:type="dxa"/>
          </w:tcPr>
          <w:p w14:paraId="3BAE4CE0" w14:textId="77777777" w:rsidR="00FE402A" w:rsidRPr="00E02362" w:rsidRDefault="00FE402A" w:rsidP="00FC7622">
            <w:pPr>
              <w:pStyle w:val="TableBullet"/>
              <w:rPr>
                <w:rFonts w:cs="Arial"/>
              </w:rPr>
            </w:pPr>
            <w:r w:rsidRPr="00E02362">
              <w:rPr>
                <w:rFonts w:cs="Arial"/>
              </w:rPr>
              <w:t>Model the highest standards of ethical behaviour and reinforce them in others</w:t>
            </w:r>
          </w:p>
          <w:p w14:paraId="28C80737" w14:textId="77777777" w:rsidR="00FE402A" w:rsidRPr="00E02362" w:rsidRDefault="00FE402A" w:rsidP="00FC7622">
            <w:pPr>
              <w:pStyle w:val="TableBullet"/>
              <w:rPr>
                <w:rFonts w:cs="Arial"/>
              </w:rPr>
            </w:pPr>
            <w:r w:rsidRPr="00E02362">
              <w:rPr>
                <w:rFonts w:cs="Arial"/>
              </w:rPr>
              <w:t>Represent the organisation in an honest, ethical and professional way and set an example for others to follow</w:t>
            </w:r>
          </w:p>
          <w:p w14:paraId="1CC99AA8" w14:textId="77777777" w:rsidR="00FE402A" w:rsidRPr="00E02362" w:rsidRDefault="00FE402A" w:rsidP="00FC7622">
            <w:pPr>
              <w:pStyle w:val="TableBullet"/>
              <w:rPr>
                <w:rFonts w:cs="Arial"/>
              </w:rPr>
            </w:pPr>
            <w:r w:rsidRPr="00E02362">
              <w:rPr>
                <w:rFonts w:cs="Arial"/>
              </w:rPr>
              <w:t>Ensure that others have a working understanding of the legislation and policy framework within which they operate</w:t>
            </w:r>
          </w:p>
          <w:p w14:paraId="7D3ED20E" w14:textId="77777777" w:rsidR="00FE402A" w:rsidRPr="00E02362" w:rsidRDefault="00FE402A" w:rsidP="00FC7622">
            <w:pPr>
              <w:pStyle w:val="TableBullet"/>
              <w:rPr>
                <w:rFonts w:cs="Arial"/>
              </w:rPr>
            </w:pPr>
            <w:r w:rsidRPr="00E02362">
              <w:rPr>
                <w:rFonts w:cs="Arial"/>
              </w:rPr>
              <w:t>Promote a culture of integrity and professionalism within the organisation and in dealings external to government</w:t>
            </w:r>
          </w:p>
          <w:p w14:paraId="6E0D57AC" w14:textId="77777777" w:rsidR="00FE402A" w:rsidRPr="00E02362" w:rsidRDefault="00FE402A" w:rsidP="00FC7622">
            <w:pPr>
              <w:pStyle w:val="TableBullet"/>
              <w:rPr>
                <w:rFonts w:cs="Arial"/>
              </w:rPr>
            </w:pPr>
            <w:r w:rsidRPr="00E02362">
              <w:rPr>
                <w:rFonts w:cs="Arial"/>
              </w:rPr>
              <w:t>Monitor ethical practices, standards and systems and reinforce their use</w:t>
            </w:r>
          </w:p>
          <w:p w14:paraId="10E9539A" w14:textId="77777777" w:rsidR="00FE402A" w:rsidRPr="00E02362" w:rsidRDefault="00FE402A" w:rsidP="00FC7622">
            <w:pPr>
              <w:pStyle w:val="TableBullet"/>
              <w:rPr>
                <w:rFonts w:cs="Arial"/>
              </w:rPr>
            </w:pPr>
            <w:r w:rsidRPr="00E02362">
              <w:rPr>
                <w:rFonts w:cs="Arial"/>
              </w:rPr>
              <w:t>Act on reported breaches of rules, policies and guidelines</w:t>
            </w:r>
          </w:p>
        </w:tc>
      </w:tr>
      <w:tr w:rsidR="00FE402A" w:rsidRPr="00E02362" w14:paraId="6B964408" w14:textId="77777777" w:rsidTr="00776FA1">
        <w:tc>
          <w:tcPr>
            <w:tcW w:w="2703" w:type="dxa"/>
          </w:tcPr>
          <w:p w14:paraId="40CE4C7D" w14:textId="77777777" w:rsidR="00FE402A" w:rsidRPr="00E02362" w:rsidRDefault="00FE402A" w:rsidP="00FC7622">
            <w:pPr>
              <w:pStyle w:val="TableText"/>
              <w:rPr>
                <w:rFonts w:cs="Arial"/>
                <w:b/>
              </w:rPr>
            </w:pPr>
            <w:bookmarkStart w:id="14" w:name="Relationships_Work_Col_Adv"/>
            <w:bookmarkEnd w:id="13"/>
            <w:r w:rsidRPr="00E02362">
              <w:rPr>
                <w:rFonts w:cs="Arial"/>
                <w:b/>
              </w:rPr>
              <w:t>Relationships</w:t>
            </w:r>
          </w:p>
          <w:p w14:paraId="455927CF" w14:textId="77777777" w:rsidR="00FE402A" w:rsidRPr="00E02362" w:rsidRDefault="00FE402A" w:rsidP="00FC7622">
            <w:pPr>
              <w:pStyle w:val="TableText"/>
              <w:rPr>
                <w:rFonts w:cs="Arial"/>
              </w:rPr>
            </w:pPr>
            <w:r w:rsidRPr="00E02362">
              <w:rPr>
                <w:rFonts w:cs="Arial"/>
              </w:rPr>
              <w:t>Work Collaboratively</w:t>
            </w:r>
          </w:p>
        </w:tc>
        <w:tc>
          <w:tcPr>
            <w:tcW w:w="2336" w:type="dxa"/>
          </w:tcPr>
          <w:p w14:paraId="08590638" w14:textId="77777777" w:rsidR="00FE402A" w:rsidRPr="00E02362" w:rsidRDefault="00E8362B" w:rsidP="00FC7622">
            <w:pPr>
              <w:pStyle w:val="TableText"/>
              <w:rPr>
                <w:rFonts w:cs="Arial"/>
                <w:color w:val="000000"/>
              </w:rPr>
            </w:pPr>
            <w:r w:rsidRPr="00E02362">
              <w:rPr>
                <w:rFonts w:cs="Arial"/>
                <w:color w:val="000000"/>
              </w:rPr>
              <w:t>Adept</w:t>
            </w:r>
          </w:p>
        </w:tc>
        <w:tc>
          <w:tcPr>
            <w:tcW w:w="5761" w:type="dxa"/>
          </w:tcPr>
          <w:p w14:paraId="5A5059E6" w14:textId="77777777" w:rsidR="00E8362B" w:rsidRPr="00E02362" w:rsidRDefault="00E8362B" w:rsidP="00E8362B">
            <w:pPr>
              <w:pStyle w:val="TableBullet"/>
              <w:rPr>
                <w:rFonts w:cs="Arial"/>
              </w:rPr>
            </w:pPr>
            <w:r w:rsidRPr="00E02362">
              <w:rPr>
                <w:rFonts w:cs="Arial"/>
              </w:rPr>
              <w:t xml:space="preserve">Encourage a culture of recognising the value of collaboration </w:t>
            </w:r>
          </w:p>
          <w:p w14:paraId="5795B84D" w14:textId="77777777" w:rsidR="00E8362B" w:rsidRPr="00E02362" w:rsidRDefault="00E8362B" w:rsidP="00E8362B">
            <w:pPr>
              <w:pStyle w:val="TableBullet"/>
              <w:rPr>
                <w:rFonts w:cs="Arial"/>
              </w:rPr>
            </w:pPr>
            <w:r w:rsidRPr="00E02362">
              <w:rPr>
                <w:rFonts w:cs="Arial"/>
              </w:rPr>
              <w:t xml:space="preserve">Build co-operation and overcome barriers to information sharing and communication across teams/units </w:t>
            </w:r>
          </w:p>
          <w:p w14:paraId="25CC4375" w14:textId="77777777" w:rsidR="00E8362B" w:rsidRPr="00E02362" w:rsidRDefault="00E8362B" w:rsidP="00E8362B">
            <w:pPr>
              <w:pStyle w:val="TableBullet"/>
              <w:rPr>
                <w:rFonts w:cs="Arial"/>
              </w:rPr>
            </w:pPr>
            <w:r w:rsidRPr="00E02362">
              <w:rPr>
                <w:rFonts w:cs="Arial"/>
              </w:rPr>
              <w:t xml:space="preserve">Share lessons learned across teams/units </w:t>
            </w:r>
          </w:p>
          <w:p w14:paraId="28449F0B" w14:textId="77777777" w:rsidR="00FE402A" w:rsidRPr="00E02362" w:rsidRDefault="00E8362B" w:rsidP="00E8362B">
            <w:pPr>
              <w:pStyle w:val="TableBullet"/>
              <w:rPr>
                <w:rFonts w:cs="Arial"/>
              </w:rPr>
            </w:pPr>
            <w:r w:rsidRPr="00E02362">
              <w:rPr>
                <w:rFonts w:cs="Arial"/>
              </w:rPr>
              <w:t>Identify opportunities to work collaboratively with other teams/ units to solve issues and develop better processes and approaches to work</w:t>
            </w:r>
          </w:p>
        </w:tc>
      </w:tr>
    </w:tbl>
    <w:p w14:paraId="3D4AF7DC" w14:textId="77777777" w:rsidR="00776FA1" w:rsidRDefault="00776FA1">
      <w:bookmarkStart w:id="15" w:name="Relationships_Negotiate_Adept"/>
      <w:bookmarkEnd w:id="14"/>
      <w:r>
        <w:br w:type="page"/>
      </w:r>
    </w:p>
    <w:tbl>
      <w:tblPr>
        <w:tblStyle w:val="PSCPurple"/>
        <w:tblW w:w="0" w:type="auto"/>
        <w:tblLook w:val="04A0" w:firstRow="1" w:lastRow="0" w:firstColumn="1" w:lastColumn="0" w:noHBand="0" w:noVBand="1"/>
        <w:tblCaption w:val="PSC_NSWFocusCapabilityFrameworkTable"/>
      </w:tblPr>
      <w:tblGrid>
        <w:gridCol w:w="2703"/>
        <w:gridCol w:w="2336"/>
        <w:gridCol w:w="5761"/>
      </w:tblGrid>
      <w:tr w:rsidR="002D4C23" w:rsidRPr="00E02362" w14:paraId="36C4DF3A" w14:textId="77777777" w:rsidTr="00776FA1">
        <w:trPr>
          <w:cnfStyle w:val="100000000000" w:firstRow="1" w:lastRow="0" w:firstColumn="0" w:lastColumn="0" w:oddVBand="0" w:evenVBand="0" w:oddHBand="0" w:evenHBand="0" w:firstRowFirstColumn="0" w:firstRowLastColumn="0" w:lastRowFirstColumn="0" w:lastRowLastColumn="0"/>
        </w:trPr>
        <w:tc>
          <w:tcPr>
            <w:tcW w:w="2703" w:type="dxa"/>
            <w:shd w:val="clear" w:color="auto" w:fill="auto"/>
          </w:tcPr>
          <w:p w14:paraId="7EBCDB57" w14:textId="464E1A12" w:rsidR="002D4C23" w:rsidRPr="00E02362" w:rsidRDefault="002D4C23" w:rsidP="00FC7622">
            <w:pPr>
              <w:pStyle w:val="TableText"/>
              <w:rPr>
                <w:rFonts w:cs="Arial"/>
                <w:b/>
              </w:rPr>
            </w:pPr>
            <w:r w:rsidRPr="00E02362">
              <w:rPr>
                <w:rFonts w:cs="Arial"/>
                <w:b/>
              </w:rPr>
              <w:lastRenderedPageBreak/>
              <w:t>Results</w:t>
            </w:r>
          </w:p>
          <w:p w14:paraId="2E37A34D" w14:textId="77777777" w:rsidR="002D4C23" w:rsidRPr="00E02362" w:rsidRDefault="002D4C23" w:rsidP="00FC7622">
            <w:pPr>
              <w:pStyle w:val="TableText"/>
              <w:rPr>
                <w:rFonts w:cs="Arial"/>
              </w:rPr>
            </w:pPr>
            <w:r w:rsidRPr="00E02362">
              <w:rPr>
                <w:rFonts w:cs="Arial"/>
              </w:rPr>
              <w:t>Deliver Results</w:t>
            </w:r>
          </w:p>
        </w:tc>
        <w:tc>
          <w:tcPr>
            <w:tcW w:w="2336" w:type="dxa"/>
            <w:shd w:val="clear" w:color="auto" w:fill="auto"/>
          </w:tcPr>
          <w:p w14:paraId="27807CD8" w14:textId="77777777" w:rsidR="002D4C23" w:rsidRPr="00E02362" w:rsidRDefault="002D4C23" w:rsidP="00FC7622">
            <w:pPr>
              <w:pStyle w:val="TableText"/>
              <w:rPr>
                <w:rFonts w:cs="Arial"/>
                <w:color w:val="000000"/>
              </w:rPr>
            </w:pPr>
            <w:r w:rsidRPr="00E02362">
              <w:rPr>
                <w:rFonts w:cs="Arial"/>
                <w:color w:val="000000"/>
              </w:rPr>
              <w:t>Adept</w:t>
            </w:r>
          </w:p>
        </w:tc>
        <w:tc>
          <w:tcPr>
            <w:tcW w:w="5761" w:type="dxa"/>
            <w:shd w:val="clear" w:color="auto" w:fill="auto"/>
          </w:tcPr>
          <w:p w14:paraId="074222F8" w14:textId="77777777" w:rsidR="002D4C23" w:rsidRPr="00E02362" w:rsidRDefault="002D4C23" w:rsidP="00FC7622">
            <w:pPr>
              <w:pStyle w:val="TableBullet"/>
              <w:rPr>
                <w:rFonts w:cs="Arial"/>
              </w:rPr>
            </w:pPr>
            <w:r w:rsidRPr="00E02362">
              <w:rPr>
                <w:rFonts w:cs="Arial"/>
              </w:rPr>
              <w:t xml:space="preserve">Take responsibility for delivering on intended outcomes </w:t>
            </w:r>
          </w:p>
          <w:p w14:paraId="0F4435ED" w14:textId="77777777" w:rsidR="002D4C23" w:rsidRPr="00E02362" w:rsidRDefault="002D4C23" w:rsidP="00FC7622">
            <w:pPr>
              <w:pStyle w:val="TableBullet"/>
              <w:rPr>
                <w:rFonts w:cs="Arial"/>
              </w:rPr>
            </w:pPr>
            <w:r w:rsidRPr="00E02362">
              <w:rPr>
                <w:rFonts w:cs="Arial"/>
              </w:rPr>
              <w:t>Make sure team/unit staff understand expected goals and acknowledge success</w:t>
            </w:r>
          </w:p>
          <w:p w14:paraId="46D5708E" w14:textId="77777777" w:rsidR="002D4C23" w:rsidRPr="00E02362" w:rsidRDefault="002D4C23" w:rsidP="00FC7622">
            <w:pPr>
              <w:pStyle w:val="TableBullet"/>
              <w:rPr>
                <w:rFonts w:cs="Arial"/>
              </w:rPr>
            </w:pPr>
            <w:r w:rsidRPr="00E02362">
              <w:rPr>
                <w:rFonts w:cs="Arial"/>
              </w:rPr>
              <w:t xml:space="preserve">Identify resource needs and ensure goals are achieved within budget and deadlines </w:t>
            </w:r>
          </w:p>
          <w:p w14:paraId="054BDEEA" w14:textId="77777777" w:rsidR="002D4C23" w:rsidRPr="00E02362" w:rsidRDefault="002D4C23" w:rsidP="00FC7622">
            <w:pPr>
              <w:pStyle w:val="TableBullet"/>
              <w:rPr>
                <w:rFonts w:cs="Arial"/>
              </w:rPr>
            </w:pPr>
            <w:r w:rsidRPr="00E02362">
              <w:rPr>
                <w:rFonts w:cs="Arial"/>
              </w:rPr>
              <w:t>Identify changed priorities and ensure allocation of resources meets new business needs</w:t>
            </w:r>
          </w:p>
          <w:p w14:paraId="4AB37CFE" w14:textId="77777777" w:rsidR="002D4C23" w:rsidRPr="00E02362" w:rsidRDefault="002D4C23" w:rsidP="00FC7622">
            <w:pPr>
              <w:pStyle w:val="TableBullet"/>
              <w:rPr>
                <w:rFonts w:cs="Arial"/>
              </w:rPr>
            </w:pPr>
            <w:r w:rsidRPr="00E02362">
              <w:rPr>
                <w:rFonts w:cs="Arial"/>
              </w:rPr>
              <w:t>Ensure financial implications of changed priorities are explicit and budgeted for</w:t>
            </w:r>
          </w:p>
          <w:p w14:paraId="62CEE8C6" w14:textId="77777777" w:rsidR="002D4C23" w:rsidRPr="00E02362" w:rsidRDefault="002D4C23" w:rsidP="00FC7622">
            <w:pPr>
              <w:pStyle w:val="TableBullet"/>
              <w:rPr>
                <w:rFonts w:cs="Arial"/>
              </w:rPr>
            </w:pPr>
            <w:r w:rsidRPr="00E02362">
              <w:rPr>
                <w:rFonts w:cs="Arial"/>
              </w:rPr>
              <w:t>Use own expertise and seek others' expertise to achieve work outcomes</w:t>
            </w:r>
          </w:p>
        </w:tc>
      </w:tr>
      <w:tr w:rsidR="00FE402A" w:rsidRPr="00E02362" w14:paraId="4EFC02B1" w14:textId="77777777" w:rsidTr="00776FA1">
        <w:tc>
          <w:tcPr>
            <w:tcW w:w="2703" w:type="dxa"/>
          </w:tcPr>
          <w:p w14:paraId="39B4921B" w14:textId="77777777" w:rsidR="00FE402A" w:rsidRPr="00E02362" w:rsidRDefault="00FE402A" w:rsidP="00FC7622">
            <w:pPr>
              <w:pStyle w:val="TableText"/>
              <w:rPr>
                <w:rFonts w:cs="Arial"/>
                <w:b/>
              </w:rPr>
            </w:pPr>
            <w:bookmarkStart w:id="16" w:name="Results_Account_Adept"/>
            <w:bookmarkEnd w:id="15"/>
            <w:r w:rsidRPr="00E02362">
              <w:rPr>
                <w:rFonts w:cs="Arial"/>
                <w:b/>
              </w:rPr>
              <w:t>Results</w:t>
            </w:r>
          </w:p>
          <w:p w14:paraId="5F55EE13" w14:textId="77777777" w:rsidR="00FE402A" w:rsidRPr="00E02362" w:rsidRDefault="00FE402A" w:rsidP="00FC7622">
            <w:pPr>
              <w:pStyle w:val="TableText"/>
              <w:rPr>
                <w:rFonts w:cs="Arial"/>
              </w:rPr>
            </w:pPr>
            <w:r w:rsidRPr="00E02362">
              <w:rPr>
                <w:rFonts w:cs="Arial"/>
              </w:rPr>
              <w:t>Demonstrate Accountability</w:t>
            </w:r>
          </w:p>
        </w:tc>
        <w:tc>
          <w:tcPr>
            <w:tcW w:w="2336" w:type="dxa"/>
          </w:tcPr>
          <w:p w14:paraId="7E9B27B0" w14:textId="77777777" w:rsidR="00FE402A" w:rsidRPr="00E02362" w:rsidRDefault="00FE402A" w:rsidP="00FC7622">
            <w:pPr>
              <w:pStyle w:val="TableText"/>
              <w:rPr>
                <w:rFonts w:cs="Arial"/>
                <w:color w:val="000000"/>
              </w:rPr>
            </w:pPr>
            <w:r w:rsidRPr="00E02362">
              <w:rPr>
                <w:rFonts w:cs="Arial"/>
                <w:color w:val="000000"/>
              </w:rPr>
              <w:t>Adept</w:t>
            </w:r>
          </w:p>
        </w:tc>
        <w:tc>
          <w:tcPr>
            <w:tcW w:w="5761" w:type="dxa"/>
          </w:tcPr>
          <w:p w14:paraId="214E9482" w14:textId="77777777" w:rsidR="00FE402A" w:rsidRPr="00E02362" w:rsidRDefault="00FE402A" w:rsidP="00FC7622">
            <w:pPr>
              <w:pStyle w:val="TableBullet"/>
              <w:rPr>
                <w:rFonts w:cs="Arial"/>
              </w:rPr>
            </w:pPr>
            <w:r w:rsidRPr="00E02362">
              <w:rPr>
                <w:rFonts w:cs="Arial"/>
              </w:rPr>
              <w:t>Assess work outcomes and identify and share learnings to inform future actions</w:t>
            </w:r>
          </w:p>
          <w:p w14:paraId="5EA40595" w14:textId="77777777" w:rsidR="00FE402A" w:rsidRPr="00E02362" w:rsidRDefault="00FE402A" w:rsidP="00FC7622">
            <w:pPr>
              <w:pStyle w:val="TableBullet"/>
              <w:rPr>
                <w:rFonts w:cs="Arial"/>
              </w:rPr>
            </w:pPr>
            <w:r w:rsidRPr="00E02362">
              <w:rPr>
                <w:rFonts w:cs="Arial"/>
              </w:rPr>
              <w:t>Ensure that actions of self and others are focused on achieving organisational outcomes</w:t>
            </w:r>
          </w:p>
          <w:p w14:paraId="55771479" w14:textId="77777777" w:rsidR="00FE402A" w:rsidRPr="00E02362" w:rsidRDefault="00FE402A" w:rsidP="00FC7622">
            <w:pPr>
              <w:pStyle w:val="TableBullet"/>
              <w:rPr>
                <w:rFonts w:cs="Arial"/>
              </w:rPr>
            </w:pPr>
            <w:r w:rsidRPr="00E02362">
              <w:rPr>
                <w:rFonts w:cs="Arial"/>
              </w:rPr>
              <w:t xml:space="preserve">Exercise delegations responsibly </w:t>
            </w:r>
          </w:p>
          <w:p w14:paraId="54593CA6" w14:textId="77777777" w:rsidR="00FE402A" w:rsidRPr="00E02362" w:rsidRDefault="00FE402A" w:rsidP="00FC7622">
            <w:pPr>
              <w:pStyle w:val="TableBullet"/>
              <w:rPr>
                <w:rFonts w:cs="Arial"/>
              </w:rPr>
            </w:pPr>
            <w:r w:rsidRPr="00E02362">
              <w:rPr>
                <w:rFonts w:cs="Arial"/>
              </w:rPr>
              <w:t>Understand and apply high standards of financial probity with public monies and other resources</w:t>
            </w:r>
          </w:p>
          <w:p w14:paraId="7E788C36" w14:textId="77777777" w:rsidR="00FE402A" w:rsidRPr="00E02362" w:rsidRDefault="00FE402A" w:rsidP="00FC7622">
            <w:pPr>
              <w:pStyle w:val="TableBullet"/>
              <w:rPr>
                <w:rFonts w:cs="Arial"/>
              </w:rPr>
            </w:pPr>
            <w:r w:rsidRPr="00E02362">
              <w:rPr>
                <w:rFonts w:cs="Arial"/>
              </w:rPr>
              <w:t>Identify and implement safe work practices, taking a systematic risk management approach to ensure health and safety of self and others</w:t>
            </w:r>
          </w:p>
          <w:p w14:paraId="71A7E0A3" w14:textId="77777777" w:rsidR="00FE402A" w:rsidRPr="00E02362" w:rsidRDefault="00FE402A" w:rsidP="00FC7622">
            <w:pPr>
              <w:pStyle w:val="TableBullet"/>
              <w:rPr>
                <w:rFonts w:cs="Arial"/>
              </w:rPr>
            </w:pPr>
            <w:r w:rsidRPr="00E02362">
              <w:rPr>
                <w:rFonts w:cs="Arial"/>
              </w:rPr>
              <w:t xml:space="preserve">Conduct and report on quality control audits </w:t>
            </w:r>
          </w:p>
          <w:p w14:paraId="5061B225" w14:textId="77777777" w:rsidR="00FE402A" w:rsidRPr="00E02362" w:rsidRDefault="00FE402A" w:rsidP="00FC7622">
            <w:pPr>
              <w:pStyle w:val="TableBullet"/>
              <w:rPr>
                <w:rFonts w:cs="Arial"/>
              </w:rPr>
            </w:pPr>
            <w:r w:rsidRPr="00E02362">
              <w:rPr>
                <w:rFonts w:cs="Arial"/>
              </w:rPr>
              <w:t>Identify risks to successful achievement of goals, and take appropriate steps to mitigate those risks</w:t>
            </w:r>
          </w:p>
        </w:tc>
      </w:tr>
      <w:tr w:rsidR="00FE402A" w:rsidRPr="00E02362" w14:paraId="62D62D12" w14:textId="77777777" w:rsidTr="00776FA1">
        <w:tc>
          <w:tcPr>
            <w:tcW w:w="2703" w:type="dxa"/>
          </w:tcPr>
          <w:p w14:paraId="3500248E" w14:textId="77777777" w:rsidR="00FE402A" w:rsidRPr="00E02362" w:rsidRDefault="00FE402A" w:rsidP="00FC7622">
            <w:pPr>
              <w:pStyle w:val="TableText"/>
              <w:rPr>
                <w:rFonts w:cs="Arial"/>
                <w:b/>
              </w:rPr>
            </w:pPr>
            <w:bookmarkStart w:id="17" w:name="BusEnablers_Fin_Adv"/>
            <w:bookmarkEnd w:id="16"/>
            <w:r w:rsidRPr="00E02362">
              <w:rPr>
                <w:rFonts w:cs="Arial"/>
                <w:b/>
              </w:rPr>
              <w:t>Business Enablers</w:t>
            </w:r>
          </w:p>
          <w:p w14:paraId="618736C6" w14:textId="77777777" w:rsidR="00FE402A" w:rsidRPr="00E02362" w:rsidRDefault="00FE402A" w:rsidP="00FC7622">
            <w:pPr>
              <w:pStyle w:val="TableText"/>
              <w:rPr>
                <w:rFonts w:cs="Arial"/>
              </w:rPr>
            </w:pPr>
            <w:r w:rsidRPr="00E02362">
              <w:rPr>
                <w:rFonts w:cs="Arial"/>
              </w:rPr>
              <w:t>Finance</w:t>
            </w:r>
          </w:p>
        </w:tc>
        <w:tc>
          <w:tcPr>
            <w:tcW w:w="2336" w:type="dxa"/>
          </w:tcPr>
          <w:p w14:paraId="1B4D25F2" w14:textId="77777777" w:rsidR="00FE402A" w:rsidRPr="00E02362" w:rsidRDefault="00FE402A" w:rsidP="00FC7622">
            <w:pPr>
              <w:pStyle w:val="TableText"/>
              <w:rPr>
                <w:rFonts w:cs="Arial"/>
                <w:color w:val="000000"/>
              </w:rPr>
            </w:pPr>
            <w:r w:rsidRPr="00E02362">
              <w:rPr>
                <w:rFonts w:cs="Arial"/>
                <w:color w:val="000000"/>
              </w:rPr>
              <w:t>Advanced</w:t>
            </w:r>
          </w:p>
        </w:tc>
        <w:tc>
          <w:tcPr>
            <w:tcW w:w="5761" w:type="dxa"/>
          </w:tcPr>
          <w:p w14:paraId="79B56A7C" w14:textId="77777777" w:rsidR="00FE402A" w:rsidRPr="00E02362" w:rsidRDefault="00FE402A" w:rsidP="00FC7622">
            <w:pPr>
              <w:pStyle w:val="TableBullet"/>
              <w:rPr>
                <w:rFonts w:cs="Arial"/>
              </w:rPr>
            </w:pPr>
            <w:r w:rsidRPr="00E02362">
              <w:rPr>
                <w:rFonts w:cs="Arial"/>
              </w:rPr>
              <w:t>Apply a thorough understanding of recurrent and capital financial terminology, policies and processes to planning, forecasting and budget preparation and management</w:t>
            </w:r>
          </w:p>
          <w:p w14:paraId="3FC31261" w14:textId="77777777" w:rsidR="00FE402A" w:rsidRPr="00E02362" w:rsidRDefault="00FE402A" w:rsidP="00FC7622">
            <w:pPr>
              <w:pStyle w:val="TableBullet"/>
              <w:rPr>
                <w:rFonts w:cs="Arial"/>
              </w:rPr>
            </w:pPr>
            <w:r w:rsidRPr="00E02362">
              <w:rPr>
                <w:rFonts w:cs="Arial"/>
              </w:rPr>
              <w:t>Identify and analyse trends, review data and evaluate business options to ensure business cases are financially sound</w:t>
            </w:r>
          </w:p>
          <w:p w14:paraId="39A4EC7B" w14:textId="77777777" w:rsidR="00FE402A" w:rsidRPr="00E02362" w:rsidRDefault="00FE402A" w:rsidP="00FC7622">
            <w:pPr>
              <w:pStyle w:val="TableBullet"/>
              <w:rPr>
                <w:rFonts w:cs="Arial"/>
              </w:rPr>
            </w:pPr>
            <w:r w:rsidRPr="00E02362">
              <w:rPr>
                <w:rFonts w:cs="Arial"/>
              </w:rPr>
              <w:t xml:space="preserve">Assess relative cost benefits of direct provision or purchase of services </w:t>
            </w:r>
          </w:p>
          <w:p w14:paraId="0710EAFA" w14:textId="77777777" w:rsidR="00FE402A" w:rsidRPr="00E02362" w:rsidRDefault="00FE402A" w:rsidP="00FC7622">
            <w:pPr>
              <w:pStyle w:val="TableBullet"/>
              <w:rPr>
                <w:rFonts w:cs="Arial"/>
              </w:rPr>
            </w:pPr>
            <w:r w:rsidRPr="00E02362">
              <w:rPr>
                <w:rFonts w:cs="Arial"/>
              </w:rPr>
              <w:t>Understand and promote the role of sound financial management and its impact on organisational effectiveness</w:t>
            </w:r>
          </w:p>
          <w:p w14:paraId="2F132674" w14:textId="77777777" w:rsidR="00FE402A" w:rsidRPr="00E02362" w:rsidRDefault="00FE402A" w:rsidP="00FC7622">
            <w:pPr>
              <w:pStyle w:val="TableBullet"/>
              <w:rPr>
                <w:rFonts w:cs="Arial"/>
              </w:rPr>
            </w:pPr>
            <w:r w:rsidRPr="00E02362">
              <w:rPr>
                <w:rFonts w:cs="Arial"/>
              </w:rPr>
              <w:t>Involve specialist financial advice in review and evaluation of systems and processes used to identify opportunities for improvement</w:t>
            </w:r>
          </w:p>
          <w:p w14:paraId="0CB6FB5F" w14:textId="77777777" w:rsidR="00FE402A" w:rsidRPr="00E02362" w:rsidRDefault="00FE402A" w:rsidP="00FC7622">
            <w:pPr>
              <w:pStyle w:val="TableBullet"/>
              <w:rPr>
                <w:rFonts w:cs="Arial"/>
              </w:rPr>
            </w:pPr>
            <w:r w:rsidRPr="00E02362">
              <w:rPr>
                <w:rFonts w:cs="Arial"/>
              </w:rPr>
              <w:t>Respond to financial and risk management audit outcomes, addressing areas of non-compliance</w:t>
            </w:r>
          </w:p>
        </w:tc>
      </w:tr>
      <w:tr w:rsidR="00FE402A" w:rsidRPr="00E02362" w14:paraId="3E0F3380" w14:textId="77777777" w:rsidTr="00776FA1">
        <w:tc>
          <w:tcPr>
            <w:tcW w:w="2703" w:type="dxa"/>
          </w:tcPr>
          <w:p w14:paraId="4D8C0945" w14:textId="77777777" w:rsidR="00FE402A" w:rsidRPr="00E02362" w:rsidRDefault="00FE402A" w:rsidP="00FC7622">
            <w:pPr>
              <w:pStyle w:val="TableText"/>
              <w:rPr>
                <w:rFonts w:cs="Arial"/>
                <w:b/>
              </w:rPr>
            </w:pPr>
            <w:bookmarkStart w:id="18" w:name="PeopleMan_Develop_Adept"/>
            <w:bookmarkEnd w:id="17"/>
            <w:r w:rsidRPr="00E02362">
              <w:rPr>
                <w:rFonts w:cs="Arial"/>
                <w:b/>
              </w:rPr>
              <w:t>People Management</w:t>
            </w:r>
          </w:p>
          <w:p w14:paraId="104C6DF7" w14:textId="77777777" w:rsidR="00FE402A" w:rsidRPr="00E02362" w:rsidRDefault="00FE402A" w:rsidP="00FC7622">
            <w:pPr>
              <w:pStyle w:val="TableText"/>
              <w:rPr>
                <w:rFonts w:cs="Arial"/>
              </w:rPr>
            </w:pPr>
            <w:r w:rsidRPr="00E02362">
              <w:rPr>
                <w:rFonts w:cs="Arial"/>
              </w:rPr>
              <w:t>Manage and Develop People</w:t>
            </w:r>
          </w:p>
        </w:tc>
        <w:tc>
          <w:tcPr>
            <w:tcW w:w="2336" w:type="dxa"/>
          </w:tcPr>
          <w:p w14:paraId="5F2364A9" w14:textId="77777777" w:rsidR="00FE402A" w:rsidRPr="00E02362" w:rsidRDefault="00FE402A" w:rsidP="00FC7622">
            <w:pPr>
              <w:pStyle w:val="TableText"/>
              <w:rPr>
                <w:rFonts w:cs="Arial"/>
                <w:color w:val="000000"/>
              </w:rPr>
            </w:pPr>
            <w:r w:rsidRPr="00E02362">
              <w:rPr>
                <w:rFonts w:cs="Arial"/>
                <w:color w:val="000000"/>
              </w:rPr>
              <w:t>Adept</w:t>
            </w:r>
          </w:p>
        </w:tc>
        <w:tc>
          <w:tcPr>
            <w:tcW w:w="5761" w:type="dxa"/>
          </w:tcPr>
          <w:p w14:paraId="6BD98F9E" w14:textId="77777777" w:rsidR="00FE402A" w:rsidRPr="00E02362" w:rsidRDefault="00FE402A" w:rsidP="00FC7622">
            <w:pPr>
              <w:pStyle w:val="TableBullet"/>
              <w:rPr>
                <w:rFonts w:cs="Arial"/>
              </w:rPr>
            </w:pPr>
            <w:r w:rsidRPr="00E02362">
              <w:rPr>
                <w:rFonts w:cs="Arial"/>
              </w:rPr>
              <w:t>Define and clearly communicate roles and responsibilities to achieve team/unit outcome</w:t>
            </w:r>
          </w:p>
          <w:p w14:paraId="146793A4" w14:textId="77777777" w:rsidR="00FE402A" w:rsidRPr="00E02362" w:rsidRDefault="00FE402A" w:rsidP="00FC7622">
            <w:pPr>
              <w:pStyle w:val="TableBullet"/>
              <w:rPr>
                <w:rFonts w:cs="Arial"/>
              </w:rPr>
            </w:pPr>
            <w:r w:rsidRPr="00E02362">
              <w:rPr>
                <w:rFonts w:cs="Arial"/>
              </w:rPr>
              <w:t>Negotiate clear performance standards and monitor progress</w:t>
            </w:r>
          </w:p>
          <w:p w14:paraId="6497BC23" w14:textId="77777777" w:rsidR="00FE402A" w:rsidRPr="00E02362" w:rsidRDefault="00FE402A" w:rsidP="00FC7622">
            <w:pPr>
              <w:pStyle w:val="TableBullet"/>
              <w:rPr>
                <w:rFonts w:cs="Arial"/>
              </w:rPr>
            </w:pPr>
            <w:r w:rsidRPr="00E02362">
              <w:rPr>
                <w:rFonts w:cs="Arial"/>
              </w:rPr>
              <w:t xml:space="preserve">Develop team/unit plans that </w:t>
            </w:r>
            <w:proofErr w:type="gramStart"/>
            <w:r w:rsidRPr="00E02362">
              <w:rPr>
                <w:rFonts w:cs="Arial"/>
              </w:rPr>
              <w:t>take into account</w:t>
            </w:r>
            <w:proofErr w:type="gramEnd"/>
            <w:r w:rsidRPr="00E02362">
              <w:rPr>
                <w:rFonts w:cs="Arial"/>
              </w:rPr>
              <w:t xml:space="preserve"> team capability, strengths and opportunities for development</w:t>
            </w:r>
          </w:p>
          <w:p w14:paraId="2C198872" w14:textId="77777777" w:rsidR="00FE402A" w:rsidRPr="00E02362" w:rsidRDefault="00FE402A" w:rsidP="00FC7622">
            <w:pPr>
              <w:pStyle w:val="TableBullet"/>
              <w:rPr>
                <w:rFonts w:cs="Arial"/>
              </w:rPr>
            </w:pPr>
            <w:r w:rsidRPr="00E02362">
              <w:rPr>
                <w:rFonts w:cs="Arial"/>
              </w:rPr>
              <w:t>Provide regular constructive feedback to build on strengths and achieve results</w:t>
            </w:r>
          </w:p>
          <w:p w14:paraId="6A944F4F" w14:textId="77777777" w:rsidR="00FE402A" w:rsidRPr="00E02362" w:rsidRDefault="00FE402A" w:rsidP="00FC7622">
            <w:pPr>
              <w:pStyle w:val="TableBullet"/>
              <w:rPr>
                <w:rFonts w:cs="Arial"/>
              </w:rPr>
            </w:pPr>
            <w:r w:rsidRPr="00E02362">
              <w:rPr>
                <w:rFonts w:cs="Arial"/>
              </w:rPr>
              <w:t>Address and resolve team and individual performance issues, including unsatisfactory performance in a timely and effective way</w:t>
            </w:r>
          </w:p>
          <w:p w14:paraId="56B377FE" w14:textId="77777777" w:rsidR="00FE402A" w:rsidRPr="00E02362" w:rsidRDefault="00FE402A" w:rsidP="00FC7622">
            <w:pPr>
              <w:pStyle w:val="TableBullet"/>
              <w:rPr>
                <w:rFonts w:cs="Arial"/>
              </w:rPr>
            </w:pPr>
            <w:r w:rsidRPr="00E02362">
              <w:rPr>
                <w:rFonts w:cs="Arial"/>
              </w:rPr>
              <w:lastRenderedPageBreak/>
              <w:t>Monitor and report on performance of team in line with established performance development frameworks</w:t>
            </w:r>
          </w:p>
        </w:tc>
      </w:tr>
      <w:tr w:rsidR="00C01F18" w:rsidRPr="00E02362" w14:paraId="4165071D" w14:textId="77777777" w:rsidTr="00776FA1">
        <w:tc>
          <w:tcPr>
            <w:tcW w:w="2703" w:type="dxa"/>
          </w:tcPr>
          <w:p w14:paraId="68378260" w14:textId="77777777" w:rsidR="00C01F18" w:rsidRPr="00E02362" w:rsidRDefault="00C01F18" w:rsidP="00C01F18">
            <w:pPr>
              <w:pStyle w:val="TableText"/>
              <w:rPr>
                <w:rFonts w:cs="Arial"/>
                <w:b/>
              </w:rPr>
            </w:pPr>
            <w:r w:rsidRPr="00E02362">
              <w:rPr>
                <w:rFonts w:cs="Arial"/>
                <w:b/>
              </w:rPr>
              <w:lastRenderedPageBreak/>
              <w:t>Management Accounting</w:t>
            </w:r>
          </w:p>
        </w:tc>
        <w:tc>
          <w:tcPr>
            <w:tcW w:w="2336" w:type="dxa"/>
          </w:tcPr>
          <w:p w14:paraId="349184A7" w14:textId="77777777" w:rsidR="00C01F18" w:rsidRPr="00E02362" w:rsidRDefault="00C01F18" w:rsidP="00C01F18">
            <w:pPr>
              <w:pStyle w:val="TableText"/>
              <w:rPr>
                <w:rFonts w:cs="Arial"/>
                <w:b/>
              </w:rPr>
            </w:pPr>
            <w:r w:rsidRPr="00E02362">
              <w:rPr>
                <w:rFonts w:cs="Arial"/>
                <w:b/>
              </w:rPr>
              <w:t>4</w:t>
            </w:r>
          </w:p>
        </w:tc>
        <w:tc>
          <w:tcPr>
            <w:tcW w:w="5761" w:type="dxa"/>
          </w:tcPr>
          <w:p w14:paraId="4D9AC419" w14:textId="77777777" w:rsidR="00C01F18" w:rsidRPr="00E02362" w:rsidRDefault="00C01F18">
            <w:pPr>
              <w:pStyle w:val="TableBullet"/>
              <w:rPr>
                <w:rFonts w:cs="Arial"/>
              </w:rPr>
            </w:pPr>
            <w:r w:rsidRPr="00E02362">
              <w:rPr>
                <w:rFonts w:cs="Arial"/>
              </w:rPr>
              <w:t>Identify internal and relevant external data sources, providing appropriate inputs, financial and non-financial, to assist strategy formation</w:t>
            </w:r>
          </w:p>
          <w:p w14:paraId="4561CD39" w14:textId="77777777" w:rsidR="00C01F18" w:rsidRPr="00E02362" w:rsidRDefault="00C01F18" w:rsidP="00401344">
            <w:pPr>
              <w:pStyle w:val="TableBullet"/>
              <w:tabs>
                <w:tab w:val="num" w:pos="284"/>
              </w:tabs>
              <w:ind w:left="284" w:hanging="284"/>
              <w:rPr>
                <w:rFonts w:cs="Arial"/>
              </w:rPr>
            </w:pPr>
            <w:r w:rsidRPr="00E02362">
              <w:rPr>
                <w:rFonts w:cs="Arial"/>
              </w:rPr>
              <w:t>Assess the impact of funding allocations on budget management and organisational capability</w:t>
            </w:r>
          </w:p>
          <w:p w14:paraId="540ACAE3" w14:textId="77777777" w:rsidR="00BF210E" w:rsidRPr="00E02362" w:rsidRDefault="00BF210E">
            <w:pPr>
              <w:pStyle w:val="TableBullet"/>
              <w:rPr>
                <w:rFonts w:cs="Arial"/>
              </w:rPr>
            </w:pPr>
            <w:r w:rsidRPr="00E02362">
              <w:rPr>
                <w:rFonts w:cs="Arial"/>
              </w:rPr>
              <w:t xml:space="preserve">Monitor, analyse and evaluate </w:t>
            </w:r>
            <w:r w:rsidR="00C01F18" w:rsidRPr="00E02362">
              <w:rPr>
                <w:rFonts w:cs="Arial"/>
              </w:rPr>
              <w:t>tre</w:t>
            </w:r>
            <w:r w:rsidRPr="00E02362">
              <w:rPr>
                <w:rFonts w:cs="Arial"/>
              </w:rPr>
              <w:t xml:space="preserve">nds and financial implications </w:t>
            </w:r>
            <w:r w:rsidR="00C01F18" w:rsidRPr="00E02362">
              <w:rPr>
                <w:rFonts w:cs="Arial"/>
              </w:rPr>
              <w:t>of al</w:t>
            </w:r>
            <w:r w:rsidRPr="00E02362">
              <w:rPr>
                <w:rFonts w:cs="Arial"/>
              </w:rPr>
              <w:t xml:space="preserve">ternative business strategies, </w:t>
            </w:r>
            <w:r w:rsidR="00C01F18" w:rsidRPr="00E02362">
              <w:rPr>
                <w:rFonts w:cs="Arial"/>
              </w:rPr>
              <w:t xml:space="preserve">and </w:t>
            </w:r>
            <w:r w:rsidRPr="00E02362">
              <w:rPr>
                <w:rFonts w:cs="Arial"/>
              </w:rPr>
              <w:t xml:space="preserve">cash flow, working capital and </w:t>
            </w:r>
            <w:r w:rsidR="00C01F18" w:rsidRPr="00E02362">
              <w:rPr>
                <w:rFonts w:cs="Arial"/>
              </w:rPr>
              <w:t>fina</w:t>
            </w:r>
            <w:r w:rsidRPr="00E02362">
              <w:rPr>
                <w:rFonts w:cs="Arial"/>
              </w:rPr>
              <w:t xml:space="preserve">ncing implications of specific </w:t>
            </w:r>
            <w:r w:rsidR="00C01F18" w:rsidRPr="00E02362">
              <w:rPr>
                <w:rFonts w:cs="Arial"/>
              </w:rPr>
              <w:t>projects</w:t>
            </w:r>
          </w:p>
          <w:p w14:paraId="3D1655BC" w14:textId="77777777" w:rsidR="00BF210E" w:rsidRPr="00E02362" w:rsidRDefault="00C01F18">
            <w:pPr>
              <w:pStyle w:val="TableBullet"/>
              <w:rPr>
                <w:rFonts w:cs="Arial"/>
              </w:rPr>
            </w:pPr>
            <w:r w:rsidRPr="00E02362">
              <w:rPr>
                <w:rFonts w:cs="Arial"/>
              </w:rPr>
              <w:t>M</w:t>
            </w:r>
            <w:r w:rsidR="00BF210E" w:rsidRPr="00E02362">
              <w:rPr>
                <w:rFonts w:cs="Arial"/>
              </w:rPr>
              <w:t xml:space="preserve">onitor, evaluate and report on </w:t>
            </w:r>
            <w:r w:rsidRPr="00E02362">
              <w:rPr>
                <w:rFonts w:cs="Arial"/>
              </w:rPr>
              <w:t>env</w:t>
            </w:r>
            <w:r w:rsidR="00BF210E" w:rsidRPr="00E02362">
              <w:rPr>
                <w:rFonts w:cs="Arial"/>
              </w:rPr>
              <w:t xml:space="preserve">ironmental factors that impact </w:t>
            </w:r>
            <w:r w:rsidRPr="00E02362">
              <w:rPr>
                <w:rFonts w:cs="Arial"/>
              </w:rPr>
              <w:t xml:space="preserve">corporate </w:t>
            </w:r>
            <w:proofErr w:type="gramStart"/>
            <w:r w:rsidRPr="00E02362">
              <w:rPr>
                <w:rFonts w:cs="Arial"/>
              </w:rPr>
              <w:t>decision making</w:t>
            </w:r>
            <w:proofErr w:type="gramEnd"/>
            <w:r w:rsidRPr="00E02362">
              <w:rPr>
                <w:rFonts w:cs="Arial"/>
              </w:rPr>
              <w:t xml:space="preserve"> processes</w:t>
            </w:r>
          </w:p>
          <w:p w14:paraId="1CE3DD06" w14:textId="77777777" w:rsidR="00BF210E" w:rsidRPr="00E02362" w:rsidRDefault="00BF210E">
            <w:pPr>
              <w:pStyle w:val="TableBullet"/>
              <w:rPr>
                <w:rFonts w:cs="Arial"/>
              </w:rPr>
            </w:pPr>
            <w:r w:rsidRPr="00E02362">
              <w:rPr>
                <w:rFonts w:cs="Arial"/>
              </w:rPr>
              <w:t xml:space="preserve">Analyse overall organisational </w:t>
            </w:r>
            <w:r w:rsidR="00C01F18" w:rsidRPr="00E02362">
              <w:rPr>
                <w:rFonts w:cs="Arial"/>
              </w:rPr>
              <w:t>fin</w:t>
            </w:r>
            <w:r w:rsidRPr="00E02362">
              <w:rPr>
                <w:rFonts w:cs="Arial"/>
              </w:rPr>
              <w:t xml:space="preserve">ancial information, deviations </w:t>
            </w:r>
            <w:r w:rsidR="00C01F18" w:rsidRPr="00E02362">
              <w:rPr>
                <w:rFonts w:cs="Arial"/>
              </w:rPr>
              <w:t>from p</w:t>
            </w:r>
            <w:r w:rsidRPr="00E02362">
              <w:rPr>
                <w:rFonts w:cs="Arial"/>
              </w:rPr>
              <w:t xml:space="preserve">lan and trends to inform </w:t>
            </w:r>
            <w:r w:rsidR="00C01F18" w:rsidRPr="00E02362">
              <w:rPr>
                <w:rFonts w:cs="Arial"/>
              </w:rPr>
              <w:t>strategic business planning activities</w:t>
            </w:r>
          </w:p>
          <w:p w14:paraId="6CA2ECD8" w14:textId="77777777" w:rsidR="00C01F18" w:rsidRPr="00E02362" w:rsidRDefault="00BF210E" w:rsidP="00401344">
            <w:pPr>
              <w:pStyle w:val="TableBullet"/>
              <w:tabs>
                <w:tab w:val="num" w:pos="284"/>
              </w:tabs>
              <w:ind w:left="284" w:hanging="284"/>
              <w:rPr>
                <w:rFonts w:cs="Arial"/>
              </w:rPr>
            </w:pPr>
            <w:r w:rsidRPr="00E02362">
              <w:rPr>
                <w:rFonts w:cs="Arial"/>
              </w:rPr>
              <w:t xml:space="preserve">Guide budget formation and use </w:t>
            </w:r>
            <w:r w:rsidR="00C01F18" w:rsidRPr="00E02362">
              <w:rPr>
                <w:rFonts w:cs="Arial"/>
              </w:rPr>
              <w:t>strat</w:t>
            </w:r>
            <w:r w:rsidRPr="00E02362">
              <w:rPr>
                <w:rFonts w:cs="Arial"/>
              </w:rPr>
              <w:t xml:space="preserve">egic financial information and </w:t>
            </w:r>
            <w:r w:rsidR="00C01F18" w:rsidRPr="00E02362">
              <w:rPr>
                <w:rFonts w:cs="Arial"/>
              </w:rPr>
              <w:t>analysi</w:t>
            </w:r>
            <w:r w:rsidRPr="00E02362">
              <w:rPr>
                <w:rFonts w:cs="Arial"/>
              </w:rPr>
              <w:t xml:space="preserve">s to test and support internal </w:t>
            </w:r>
            <w:r w:rsidR="00C01F18" w:rsidRPr="00E02362">
              <w:rPr>
                <w:rFonts w:cs="Arial"/>
              </w:rPr>
              <w:t>and external stakeholders</w:t>
            </w:r>
          </w:p>
        </w:tc>
      </w:tr>
      <w:bookmarkEnd w:id="18"/>
    </w:tbl>
    <w:p w14:paraId="5BCECC0F" w14:textId="77777777" w:rsidR="00382C7E" w:rsidRPr="00E02362" w:rsidRDefault="00382C7E">
      <w:pPr>
        <w:rPr>
          <w:rFonts w:cs="Arial"/>
          <w:lang w:val="en-AU"/>
        </w:rPr>
      </w:pPr>
    </w:p>
    <w:sectPr w:rsidR="00382C7E" w:rsidRPr="00E02362" w:rsidSect="001E4960">
      <w:footerReference w:type="default" r:id="rId16"/>
      <w:headerReference w:type="first" r:id="rId17"/>
      <w:footerReference w:type="first" r:id="rId18"/>
      <w:pgSz w:w="12240" w:h="15840"/>
      <w:pgMar w:top="426"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54F4A" w14:textId="77777777" w:rsidR="005C776B" w:rsidRDefault="005C776B" w:rsidP="00BB532F">
      <w:pPr>
        <w:spacing w:after="0" w:line="240" w:lineRule="auto"/>
      </w:pPr>
      <w:r>
        <w:separator/>
      </w:r>
    </w:p>
  </w:endnote>
  <w:endnote w:type="continuationSeparator" w:id="0">
    <w:p w14:paraId="7F12DCC6" w14:textId="77777777" w:rsidR="005C776B" w:rsidRDefault="005C776B"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8A77A5" w14:paraId="28D0DCE7" w14:textId="77777777" w:rsidTr="00C03AFD">
      <w:tc>
        <w:tcPr>
          <w:tcW w:w="2250" w:type="pct"/>
          <w:vAlign w:val="center"/>
        </w:tcPr>
        <w:p w14:paraId="56659D97" w14:textId="00BCB719" w:rsidR="008A77A5" w:rsidRDefault="008A77A5" w:rsidP="00E02362">
          <w:pPr>
            <w:pStyle w:val="Footer"/>
          </w:pPr>
          <w:r w:rsidRPr="00C03AFD">
            <w:rPr>
              <w:color w:val="928B81"/>
              <w:sz w:val="18"/>
            </w:rPr>
            <w:t xml:space="preserve">Role </w:t>
          </w:r>
          <w:proofErr w:type="gramStart"/>
          <w:r w:rsidRPr="00C03AFD">
            <w:rPr>
              <w:color w:val="928B81"/>
              <w:sz w:val="18"/>
            </w:rPr>
            <w:t>Description</w:t>
          </w:r>
          <w:r w:rsidRPr="00C03AFD">
            <w:rPr>
              <w:color w:val="595959" w:themeColor="text1" w:themeTint="A6"/>
              <w:sz w:val="18"/>
            </w:rPr>
            <w:t xml:space="preserve">  </w:t>
          </w:r>
          <w:r w:rsidR="00E02362">
            <w:rPr>
              <w:color w:val="000000" w:themeColor="text1"/>
              <w:sz w:val="18"/>
            </w:rPr>
            <w:t>Financial</w:t>
          </w:r>
          <w:proofErr w:type="gramEnd"/>
          <w:r w:rsidR="00E02362">
            <w:rPr>
              <w:color w:val="000000" w:themeColor="text1"/>
              <w:sz w:val="18"/>
            </w:rPr>
            <w:t xml:space="preserve"> Controller</w:t>
          </w:r>
        </w:p>
      </w:tc>
      <w:tc>
        <w:tcPr>
          <w:tcW w:w="250" w:type="pct"/>
          <w:vAlign w:val="center"/>
        </w:tcPr>
        <w:p w14:paraId="135B8726" w14:textId="77777777" w:rsidR="008A77A5" w:rsidRPr="00C03AFD" w:rsidRDefault="008A77A5"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D05DD">
            <w:rPr>
              <w:noProof/>
              <w:color w:val="928B81"/>
              <w:sz w:val="18"/>
              <w:lang w:eastAsia="en-AU"/>
            </w:rPr>
            <w:t>7</w:t>
          </w:r>
          <w:r w:rsidRPr="00C03AFD">
            <w:rPr>
              <w:noProof/>
              <w:color w:val="928B81"/>
              <w:sz w:val="18"/>
              <w:lang w:eastAsia="en-AU"/>
            </w:rPr>
            <w:fldChar w:fldCharType="end"/>
          </w:r>
        </w:p>
      </w:tc>
      <w:tc>
        <w:tcPr>
          <w:tcW w:w="2350" w:type="pct"/>
        </w:tcPr>
        <w:p w14:paraId="395C6664" w14:textId="77777777" w:rsidR="008A77A5" w:rsidRDefault="008A77A5" w:rsidP="00C03AFD">
          <w:pPr>
            <w:pStyle w:val="Footer"/>
            <w:jc w:val="right"/>
          </w:pPr>
          <w:r>
            <w:rPr>
              <w:noProof/>
              <w:lang w:val="en-AU" w:eastAsia="en-AU"/>
            </w:rPr>
            <w:drawing>
              <wp:inline distT="0" distB="0" distL="0" distR="0" wp14:anchorId="07414749" wp14:editId="6E587D87">
                <wp:extent cx="432000" cy="4798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FB743D6" w14:textId="77777777" w:rsidR="008A77A5" w:rsidRDefault="008A7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8A77A5" w14:paraId="704A3ECA" w14:textId="77777777" w:rsidTr="0047547E">
      <w:trPr>
        <w:trHeight w:val="811"/>
      </w:trPr>
      <w:tc>
        <w:tcPr>
          <w:tcW w:w="10005" w:type="dxa"/>
          <w:vAlign w:val="bottom"/>
        </w:tcPr>
        <w:p w14:paraId="0E67CB8F" w14:textId="77777777" w:rsidR="008A77A5" w:rsidRPr="00051237" w:rsidRDefault="008A77A5" w:rsidP="00FC7622">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D05DD">
            <w:rPr>
              <w:noProof/>
              <w:lang w:eastAsia="en-AU"/>
            </w:rPr>
            <w:t>1</w:t>
          </w:r>
          <w:r>
            <w:rPr>
              <w:noProof/>
              <w:lang w:eastAsia="en-AU"/>
            </w:rPr>
            <w:fldChar w:fldCharType="end"/>
          </w:r>
        </w:p>
      </w:tc>
      <w:tc>
        <w:tcPr>
          <w:tcW w:w="875" w:type="dxa"/>
        </w:tcPr>
        <w:p w14:paraId="3EF8F7E1" w14:textId="77777777" w:rsidR="008A77A5" w:rsidRDefault="008A77A5" w:rsidP="00FC7622">
          <w:pPr>
            <w:pStyle w:val="Footer"/>
            <w:jc w:val="right"/>
          </w:pPr>
          <w:r>
            <w:rPr>
              <w:noProof/>
              <w:lang w:val="en-AU" w:eastAsia="en-AU"/>
            </w:rPr>
            <w:drawing>
              <wp:inline distT="0" distB="0" distL="0" distR="0" wp14:anchorId="04A065EC" wp14:editId="1872BB78">
                <wp:extent cx="432000" cy="4798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6B57B33B" w14:textId="77777777" w:rsidR="008A77A5" w:rsidRDefault="008A7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A3DC2" w14:textId="77777777" w:rsidR="005C776B" w:rsidRDefault="005C776B" w:rsidP="00BB532F">
      <w:pPr>
        <w:spacing w:after="0" w:line="240" w:lineRule="auto"/>
      </w:pPr>
      <w:r>
        <w:separator/>
      </w:r>
    </w:p>
  </w:footnote>
  <w:footnote w:type="continuationSeparator" w:id="0">
    <w:p w14:paraId="21DD52A0" w14:textId="77777777" w:rsidR="005C776B" w:rsidRDefault="005C776B"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4"/>
      <w:gridCol w:w="4089"/>
    </w:tblGrid>
    <w:tr w:rsidR="008A77A5" w14:paraId="0D167177" w14:textId="77777777" w:rsidTr="009D747B">
      <w:trPr>
        <w:trHeight w:val="1337"/>
      </w:trPr>
      <w:tc>
        <w:tcPr>
          <w:tcW w:w="7038" w:type="dxa"/>
        </w:tcPr>
        <w:p w14:paraId="2809E4C6" w14:textId="77777777" w:rsidR="008A77A5" w:rsidRPr="001E49B2" w:rsidRDefault="008A77A5" w:rsidP="007E2FB7">
          <w:pPr>
            <w:pStyle w:val="TitleSub"/>
            <w:spacing w:after="0"/>
            <w:rPr>
              <w:rFonts w:ascii="Arial" w:hAnsi="Arial" w:cs="Arial"/>
            </w:rPr>
          </w:pPr>
          <w:r w:rsidRPr="001E49B2">
            <w:rPr>
              <w:rFonts w:ascii="Arial" w:hAnsi="Arial" w:cs="Arial"/>
            </w:rPr>
            <w:t xml:space="preserve">Role Description </w:t>
          </w:r>
        </w:p>
        <w:p w14:paraId="1E9A4803" w14:textId="3F41EE65" w:rsidR="008A77A5" w:rsidRPr="0087489A" w:rsidRDefault="00E02362" w:rsidP="0095624F">
          <w:pPr>
            <w:pStyle w:val="TitleSub"/>
            <w:spacing w:after="0"/>
            <w:rPr>
              <w:rFonts w:ascii="Arial" w:hAnsi="Arial" w:cs="Arial"/>
              <w:b/>
            </w:rPr>
          </w:pPr>
          <w:r>
            <w:rPr>
              <w:rFonts w:ascii="Arial" w:hAnsi="Arial" w:cs="Arial"/>
              <w:b/>
            </w:rPr>
            <w:t>Financial</w:t>
          </w:r>
          <w:r w:rsidR="008A77A5" w:rsidRPr="001E49B2">
            <w:rPr>
              <w:rFonts w:ascii="Arial" w:hAnsi="Arial" w:cs="Arial"/>
              <w:b/>
            </w:rPr>
            <w:t xml:space="preserve"> </w:t>
          </w:r>
          <w:r w:rsidR="008A77A5">
            <w:rPr>
              <w:rFonts w:ascii="Arial" w:hAnsi="Arial" w:cs="Arial"/>
              <w:b/>
            </w:rPr>
            <w:t>Controller</w:t>
          </w:r>
        </w:p>
      </w:tc>
      <w:tc>
        <w:tcPr>
          <w:tcW w:w="3665" w:type="dxa"/>
        </w:tcPr>
        <w:p w14:paraId="1FC96AE4" w14:textId="6738395F" w:rsidR="008A77A5" w:rsidRPr="000477E1" w:rsidRDefault="003D05DD" w:rsidP="00030565">
          <w:pPr>
            <w:jc w:val="right"/>
          </w:pPr>
          <w:r>
            <w:rPr>
              <w:noProof/>
            </w:rPr>
            <w:drawing>
              <wp:inline distT="0" distB="0" distL="0" distR="0" wp14:anchorId="72FDDC5B" wp14:editId="0FFB9003">
                <wp:extent cx="2459404" cy="9296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rvic Commision Logo_CMYK_Flat_300dpi_no borde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59404" cy="929678"/>
                        </a:xfrm>
                        <a:prstGeom prst="rect">
                          <a:avLst/>
                        </a:prstGeom>
                        <a:noFill/>
                        <a:ln>
                          <a:noFill/>
                        </a:ln>
                      </pic:spPr>
                    </pic:pic>
                  </a:graphicData>
                </a:graphic>
              </wp:inline>
            </w:drawing>
          </w:r>
        </w:p>
      </w:tc>
    </w:tr>
  </w:tbl>
  <w:p w14:paraId="310BA465" w14:textId="4C9E03EF" w:rsidR="008A77A5" w:rsidRDefault="008A77A5"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2D5927"/>
    <w:multiLevelType w:val="hybridMultilevel"/>
    <w:tmpl w:val="EC5C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539B0"/>
    <w:multiLevelType w:val="hybridMultilevel"/>
    <w:tmpl w:val="A6BAB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421ED"/>
    <w:multiLevelType w:val="hybridMultilevel"/>
    <w:tmpl w:val="7CE4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1A56D0"/>
    <w:multiLevelType w:val="hybridMultilevel"/>
    <w:tmpl w:val="7F960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23338E"/>
    <w:multiLevelType w:val="hybridMultilevel"/>
    <w:tmpl w:val="91F8774C"/>
    <w:lvl w:ilvl="0" w:tplc="CC36DB3E">
      <w:start w:val="1"/>
      <w:numFmt w:val="bullet"/>
      <w:lvlText w:val=""/>
      <w:lvlJc w:val="left"/>
      <w:pPr>
        <w:ind w:left="456" w:hanging="276"/>
      </w:pPr>
      <w:rPr>
        <w:rFonts w:ascii="Symbol" w:eastAsia="Symbol" w:hAnsi="Symbol" w:hint="default"/>
        <w:w w:val="102"/>
        <w:sz w:val="21"/>
        <w:szCs w:val="21"/>
      </w:rPr>
    </w:lvl>
    <w:lvl w:ilvl="1" w:tplc="6396E3E6">
      <w:start w:val="1"/>
      <w:numFmt w:val="bullet"/>
      <w:lvlText w:val=""/>
      <w:lvlJc w:val="left"/>
      <w:pPr>
        <w:ind w:left="3905" w:hanging="221"/>
      </w:pPr>
      <w:rPr>
        <w:rFonts w:ascii="Symbol" w:eastAsia="Symbol" w:hAnsi="Symbol" w:hint="default"/>
        <w:w w:val="101"/>
        <w:sz w:val="19"/>
        <w:szCs w:val="19"/>
      </w:rPr>
    </w:lvl>
    <w:lvl w:ilvl="2" w:tplc="79C622FE">
      <w:start w:val="1"/>
      <w:numFmt w:val="bullet"/>
      <w:lvlText w:val=""/>
      <w:lvlJc w:val="left"/>
      <w:pPr>
        <w:ind w:left="4512" w:hanging="276"/>
      </w:pPr>
      <w:rPr>
        <w:rFonts w:ascii="Symbol" w:eastAsia="Symbol" w:hAnsi="Symbol" w:hint="default"/>
        <w:w w:val="101"/>
        <w:sz w:val="19"/>
        <w:szCs w:val="19"/>
      </w:rPr>
    </w:lvl>
    <w:lvl w:ilvl="3" w:tplc="F1B0B730">
      <w:start w:val="1"/>
      <w:numFmt w:val="bullet"/>
      <w:lvlText w:val="•"/>
      <w:lvlJc w:val="left"/>
      <w:pPr>
        <w:ind w:left="4520" w:hanging="276"/>
      </w:pPr>
      <w:rPr>
        <w:rFonts w:hint="default"/>
      </w:rPr>
    </w:lvl>
    <w:lvl w:ilvl="4" w:tplc="1BC26658">
      <w:start w:val="1"/>
      <w:numFmt w:val="bullet"/>
      <w:lvlText w:val="•"/>
      <w:lvlJc w:val="left"/>
      <w:pPr>
        <w:ind w:left="5091" w:hanging="276"/>
      </w:pPr>
      <w:rPr>
        <w:rFonts w:hint="default"/>
      </w:rPr>
    </w:lvl>
    <w:lvl w:ilvl="5" w:tplc="B934A510">
      <w:start w:val="1"/>
      <w:numFmt w:val="bullet"/>
      <w:lvlText w:val="•"/>
      <w:lvlJc w:val="left"/>
      <w:pPr>
        <w:ind w:left="5662" w:hanging="276"/>
      </w:pPr>
      <w:rPr>
        <w:rFonts w:hint="default"/>
      </w:rPr>
    </w:lvl>
    <w:lvl w:ilvl="6" w:tplc="C8E0DBEA">
      <w:start w:val="1"/>
      <w:numFmt w:val="bullet"/>
      <w:lvlText w:val="•"/>
      <w:lvlJc w:val="left"/>
      <w:pPr>
        <w:ind w:left="6233" w:hanging="276"/>
      </w:pPr>
      <w:rPr>
        <w:rFonts w:hint="default"/>
      </w:rPr>
    </w:lvl>
    <w:lvl w:ilvl="7" w:tplc="1BE0C4C4">
      <w:start w:val="1"/>
      <w:numFmt w:val="bullet"/>
      <w:lvlText w:val="•"/>
      <w:lvlJc w:val="left"/>
      <w:pPr>
        <w:ind w:left="6805" w:hanging="276"/>
      </w:pPr>
      <w:rPr>
        <w:rFonts w:hint="default"/>
      </w:rPr>
    </w:lvl>
    <w:lvl w:ilvl="8" w:tplc="10EED554">
      <w:start w:val="1"/>
      <w:numFmt w:val="bullet"/>
      <w:lvlText w:val="•"/>
      <w:lvlJc w:val="left"/>
      <w:pPr>
        <w:ind w:left="7376" w:hanging="276"/>
      </w:pPr>
      <w:rPr>
        <w:rFonts w:hint="default"/>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7"/>
  </w:num>
  <w:num w:numId="8">
    <w:abstractNumId w:val="0"/>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B3C"/>
    <w:rsid w:val="0001016C"/>
    <w:rsid w:val="0001706E"/>
    <w:rsid w:val="00017FE9"/>
    <w:rsid w:val="00020023"/>
    <w:rsid w:val="00022223"/>
    <w:rsid w:val="00026543"/>
    <w:rsid w:val="00027E23"/>
    <w:rsid w:val="00030565"/>
    <w:rsid w:val="0003263C"/>
    <w:rsid w:val="00035639"/>
    <w:rsid w:val="0003564E"/>
    <w:rsid w:val="00037FD5"/>
    <w:rsid w:val="000477E1"/>
    <w:rsid w:val="00053255"/>
    <w:rsid w:val="00060B58"/>
    <w:rsid w:val="000645C8"/>
    <w:rsid w:val="00067161"/>
    <w:rsid w:val="000743FD"/>
    <w:rsid w:val="00090604"/>
    <w:rsid w:val="000A2621"/>
    <w:rsid w:val="000A7DD4"/>
    <w:rsid w:val="000C3CC8"/>
    <w:rsid w:val="000D12B3"/>
    <w:rsid w:val="000D799A"/>
    <w:rsid w:val="000F231F"/>
    <w:rsid w:val="00104EC7"/>
    <w:rsid w:val="00131ED6"/>
    <w:rsid w:val="001336E8"/>
    <w:rsid w:val="0013413E"/>
    <w:rsid w:val="00134F5E"/>
    <w:rsid w:val="0014120F"/>
    <w:rsid w:val="00153F10"/>
    <w:rsid w:val="00165754"/>
    <w:rsid w:val="001666BF"/>
    <w:rsid w:val="001671DC"/>
    <w:rsid w:val="00172B86"/>
    <w:rsid w:val="00172C51"/>
    <w:rsid w:val="0018091E"/>
    <w:rsid w:val="001815E8"/>
    <w:rsid w:val="00185ABC"/>
    <w:rsid w:val="001939DD"/>
    <w:rsid w:val="00194A32"/>
    <w:rsid w:val="001A00F1"/>
    <w:rsid w:val="001A1AA1"/>
    <w:rsid w:val="001A1EC8"/>
    <w:rsid w:val="001A4F0B"/>
    <w:rsid w:val="001B1F0F"/>
    <w:rsid w:val="001B5DFD"/>
    <w:rsid w:val="001B75A6"/>
    <w:rsid w:val="001C0E5F"/>
    <w:rsid w:val="001C2248"/>
    <w:rsid w:val="001C3370"/>
    <w:rsid w:val="001C5166"/>
    <w:rsid w:val="001C5A46"/>
    <w:rsid w:val="001C7793"/>
    <w:rsid w:val="001D097C"/>
    <w:rsid w:val="001E2792"/>
    <w:rsid w:val="001E27DB"/>
    <w:rsid w:val="001E4960"/>
    <w:rsid w:val="001E49B2"/>
    <w:rsid w:val="001F2503"/>
    <w:rsid w:val="00201E8B"/>
    <w:rsid w:val="00205A8A"/>
    <w:rsid w:val="00211F68"/>
    <w:rsid w:val="00237421"/>
    <w:rsid w:val="00240A8E"/>
    <w:rsid w:val="00247611"/>
    <w:rsid w:val="00263ACB"/>
    <w:rsid w:val="00281090"/>
    <w:rsid w:val="0028314F"/>
    <w:rsid w:val="00287C54"/>
    <w:rsid w:val="0029078F"/>
    <w:rsid w:val="002A02C7"/>
    <w:rsid w:val="002A648F"/>
    <w:rsid w:val="002B0B83"/>
    <w:rsid w:val="002B0B93"/>
    <w:rsid w:val="002B1F76"/>
    <w:rsid w:val="002C2823"/>
    <w:rsid w:val="002D36BB"/>
    <w:rsid w:val="002D4C23"/>
    <w:rsid w:val="002D4D9A"/>
    <w:rsid w:val="002D7C0C"/>
    <w:rsid w:val="002E3DA7"/>
    <w:rsid w:val="00301747"/>
    <w:rsid w:val="003029DC"/>
    <w:rsid w:val="00325E9D"/>
    <w:rsid w:val="00327F5C"/>
    <w:rsid w:val="00335B91"/>
    <w:rsid w:val="00340ADC"/>
    <w:rsid w:val="00342B9E"/>
    <w:rsid w:val="00343491"/>
    <w:rsid w:val="00345199"/>
    <w:rsid w:val="00346D51"/>
    <w:rsid w:val="00351826"/>
    <w:rsid w:val="00371509"/>
    <w:rsid w:val="00372A99"/>
    <w:rsid w:val="00373737"/>
    <w:rsid w:val="00375289"/>
    <w:rsid w:val="00377118"/>
    <w:rsid w:val="00382C7E"/>
    <w:rsid w:val="0039395B"/>
    <w:rsid w:val="0039469E"/>
    <w:rsid w:val="00395A02"/>
    <w:rsid w:val="003A2AFA"/>
    <w:rsid w:val="003A3538"/>
    <w:rsid w:val="003A6885"/>
    <w:rsid w:val="003B0F42"/>
    <w:rsid w:val="003B140B"/>
    <w:rsid w:val="003B403A"/>
    <w:rsid w:val="003C00FD"/>
    <w:rsid w:val="003C031F"/>
    <w:rsid w:val="003C5EB3"/>
    <w:rsid w:val="003D05DD"/>
    <w:rsid w:val="003D5227"/>
    <w:rsid w:val="003E2663"/>
    <w:rsid w:val="00401344"/>
    <w:rsid w:val="00411F3E"/>
    <w:rsid w:val="0041525E"/>
    <w:rsid w:val="004203B4"/>
    <w:rsid w:val="00424926"/>
    <w:rsid w:val="00436621"/>
    <w:rsid w:val="00442732"/>
    <w:rsid w:val="00466287"/>
    <w:rsid w:val="004708A3"/>
    <w:rsid w:val="0047547E"/>
    <w:rsid w:val="00492AA6"/>
    <w:rsid w:val="004A2008"/>
    <w:rsid w:val="004A5799"/>
    <w:rsid w:val="004C45E2"/>
    <w:rsid w:val="004C4F74"/>
    <w:rsid w:val="004C55C1"/>
    <w:rsid w:val="004D0C22"/>
    <w:rsid w:val="004D101E"/>
    <w:rsid w:val="004D27C8"/>
    <w:rsid w:val="004D4A59"/>
    <w:rsid w:val="004E44A5"/>
    <w:rsid w:val="004E474E"/>
    <w:rsid w:val="004E751C"/>
    <w:rsid w:val="004E7F32"/>
    <w:rsid w:val="00502DBF"/>
    <w:rsid w:val="00520048"/>
    <w:rsid w:val="00521D19"/>
    <w:rsid w:val="00523CFF"/>
    <w:rsid w:val="00527FCF"/>
    <w:rsid w:val="005307BA"/>
    <w:rsid w:val="00536F0F"/>
    <w:rsid w:val="00545AC6"/>
    <w:rsid w:val="00551038"/>
    <w:rsid w:val="0059035B"/>
    <w:rsid w:val="005B10E1"/>
    <w:rsid w:val="005B5053"/>
    <w:rsid w:val="005C776B"/>
    <w:rsid w:val="005C7AF5"/>
    <w:rsid w:val="005D71EA"/>
    <w:rsid w:val="005E6C59"/>
    <w:rsid w:val="005E7038"/>
    <w:rsid w:val="005E75FC"/>
    <w:rsid w:val="005F5FD1"/>
    <w:rsid w:val="005F7EE8"/>
    <w:rsid w:val="006022B4"/>
    <w:rsid w:val="00603D53"/>
    <w:rsid w:val="00612673"/>
    <w:rsid w:val="00612AFA"/>
    <w:rsid w:val="00614552"/>
    <w:rsid w:val="00615791"/>
    <w:rsid w:val="00621D45"/>
    <w:rsid w:val="00623950"/>
    <w:rsid w:val="00624E55"/>
    <w:rsid w:val="00626492"/>
    <w:rsid w:val="0063544E"/>
    <w:rsid w:val="00650DCB"/>
    <w:rsid w:val="006538BF"/>
    <w:rsid w:val="00664241"/>
    <w:rsid w:val="00674D4C"/>
    <w:rsid w:val="00683870"/>
    <w:rsid w:val="00693B10"/>
    <w:rsid w:val="006A2280"/>
    <w:rsid w:val="006A3BB5"/>
    <w:rsid w:val="006A5DAD"/>
    <w:rsid w:val="006B144B"/>
    <w:rsid w:val="006B723B"/>
    <w:rsid w:val="006C2473"/>
    <w:rsid w:val="006C4218"/>
    <w:rsid w:val="006D1FBC"/>
    <w:rsid w:val="006D408C"/>
    <w:rsid w:val="006E0FD4"/>
    <w:rsid w:val="006E28E7"/>
    <w:rsid w:val="006F6652"/>
    <w:rsid w:val="006F7124"/>
    <w:rsid w:val="00701F8B"/>
    <w:rsid w:val="007041EA"/>
    <w:rsid w:val="0070582F"/>
    <w:rsid w:val="00705A71"/>
    <w:rsid w:val="00716A75"/>
    <w:rsid w:val="00717F53"/>
    <w:rsid w:val="007249EC"/>
    <w:rsid w:val="00735B28"/>
    <w:rsid w:val="00735E89"/>
    <w:rsid w:val="00742966"/>
    <w:rsid w:val="007454D4"/>
    <w:rsid w:val="00753EEE"/>
    <w:rsid w:val="00767553"/>
    <w:rsid w:val="007736B4"/>
    <w:rsid w:val="00773975"/>
    <w:rsid w:val="00776DCB"/>
    <w:rsid w:val="00776FA1"/>
    <w:rsid w:val="00780299"/>
    <w:rsid w:val="007862DE"/>
    <w:rsid w:val="00786A0F"/>
    <w:rsid w:val="00792223"/>
    <w:rsid w:val="00792A3E"/>
    <w:rsid w:val="00794CC1"/>
    <w:rsid w:val="00794E0E"/>
    <w:rsid w:val="007B5109"/>
    <w:rsid w:val="007B7C1F"/>
    <w:rsid w:val="007C177A"/>
    <w:rsid w:val="007C21C8"/>
    <w:rsid w:val="007D0E2E"/>
    <w:rsid w:val="007E2FB7"/>
    <w:rsid w:val="007F6215"/>
    <w:rsid w:val="00805561"/>
    <w:rsid w:val="00806FE1"/>
    <w:rsid w:val="00807ED1"/>
    <w:rsid w:val="00812F79"/>
    <w:rsid w:val="00817B11"/>
    <w:rsid w:val="008203EE"/>
    <w:rsid w:val="008267A0"/>
    <w:rsid w:val="00835328"/>
    <w:rsid w:val="0083547C"/>
    <w:rsid w:val="0083685A"/>
    <w:rsid w:val="008458AA"/>
    <w:rsid w:val="008476E6"/>
    <w:rsid w:val="0085706D"/>
    <w:rsid w:val="00860904"/>
    <w:rsid w:val="00862CB3"/>
    <w:rsid w:val="0086580B"/>
    <w:rsid w:val="0087489A"/>
    <w:rsid w:val="00876A35"/>
    <w:rsid w:val="008A0EBB"/>
    <w:rsid w:val="008A13AC"/>
    <w:rsid w:val="008A77A5"/>
    <w:rsid w:val="008B74C1"/>
    <w:rsid w:val="008C0B4D"/>
    <w:rsid w:val="008C37C8"/>
    <w:rsid w:val="008D7766"/>
    <w:rsid w:val="008E08E3"/>
    <w:rsid w:val="008E6FCC"/>
    <w:rsid w:val="00902EC0"/>
    <w:rsid w:val="00907584"/>
    <w:rsid w:val="009077E2"/>
    <w:rsid w:val="00910F45"/>
    <w:rsid w:val="00911725"/>
    <w:rsid w:val="009351E9"/>
    <w:rsid w:val="00940C04"/>
    <w:rsid w:val="0095624F"/>
    <w:rsid w:val="00957666"/>
    <w:rsid w:val="00964A6C"/>
    <w:rsid w:val="00965DED"/>
    <w:rsid w:val="00970179"/>
    <w:rsid w:val="00977E40"/>
    <w:rsid w:val="00985984"/>
    <w:rsid w:val="009860D4"/>
    <w:rsid w:val="009862F5"/>
    <w:rsid w:val="00994DCE"/>
    <w:rsid w:val="0099587E"/>
    <w:rsid w:val="009979FA"/>
    <w:rsid w:val="009B3103"/>
    <w:rsid w:val="009C12FA"/>
    <w:rsid w:val="009D72FE"/>
    <w:rsid w:val="009D747B"/>
    <w:rsid w:val="00A00B81"/>
    <w:rsid w:val="00A00C30"/>
    <w:rsid w:val="00A02AEF"/>
    <w:rsid w:val="00A14A03"/>
    <w:rsid w:val="00A2122C"/>
    <w:rsid w:val="00A22182"/>
    <w:rsid w:val="00A31A8F"/>
    <w:rsid w:val="00A41E4E"/>
    <w:rsid w:val="00A41FEC"/>
    <w:rsid w:val="00A42DFA"/>
    <w:rsid w:val="00A4412E"/>
    <w:rsid w:val="00A47353"/>
    <w:rsid w:val="00A72256"/>
    <w:rsid w:val="00A72598"/>
    <w:rsid w:val="00A73C38"/>
    <w:rsid w:val="00A77B0C"/>
    <w:rsid w:val="00A77DA6"/>
    <w:rsid w:val="00A83932"/>
    <w:rsid w:val="00A85305"/>
    <w:rsid w:val="00A8686E"/>
    <w:rsid w:val="00A8732A"/>
    <w:rsid w:val="00A90767"/>
    <w:rsid w:val="00A93043"/>
    <w:rsid w:val="00A970A2"/>
    <w:rsid w:val="00AB120A"/>
    <w:rsid w:val="00AB50E4"/>
    <w:rsid w:val="00AC089A"/>
    <w:rsid w:val="00AC1AF9"/>
    <w:rsid w:val="00AC742D"/>
    <w:rsid w:val="00AC7DC9"/>
    <w:rsid w:val="00AE14D7"/>
    <w:rsid w:val="00AF01AC"/>
    <w:rsid w:val="00AF7D0C"/>
    <w:rsid w:val="00B0574B"/>
    <w:rsid w:val="00B2037F"/>
    <w:rsid w:val="00B32691"/>
    <w:rsid w:val="00B33E73"/>
    <w:rsid w:val="00B36C70"/>
    <w:rsid w:val="00B407F6"/>
    <w:rsid w:val="00B62005"/>
    <w:rsid w:val="00B635E3"/>
    <w:rsid w:val="00B72B4F"/>
    <w:rsid w:val="00B835C0"/>
    <w:rsid w:val="00B876AF"/>
    <w:rsid w:val="00B90894"/>
    <w:rsid w:val="00BA2FC7"/>
    <w:rsid w:val="00BA759E"/>
    <w:rsid w:val="00BB532F"/>
    <w:rsid w:val="00BC162D"/>
    <w:rsid w:val="00BC2FE4"/>
    <w:rsid w:val="00BC650C"/>
    <w:rsid w:val="00BD4DDA"/>
    <w:rsid w:val="00BE4EAE"/>
    <w:rsid w:val="00BF210E"/>
    <w:rsid w:val="00C01F18"/>
    <w:rsid w:val="00C03AFD"/>
    <w:rsid w:val="00C25454"/>
    <w:rsid w:val="00C271F9"/>
    <w:rsid w:val="00C32A0D"/>
    <w:rsid w:val="00C47BD9"/>
    <w:rsid w:val="00C517B6"/>
    <w:rsid w:val="00C63F0F"/>
    <w:rsid w:val="00C64CE6"/>
    <w:rsid w:val="00C70636"/>
    <w:rsid w:val="00C70842"/>
    <w:rsid w:val="00CC76F2"/>
    <w:rsid w:val="00CD7C33"/>
    <w:rsid w:val="00CE105E"/>
    <w:rsid w:val="00CE1E5E"/>
    <w:rsid w:val="00CE5782"/>
    <w:rsid w:val="00D1086A"/>
    <w:rsid w:val="00D13D2C"/>
    <w:rsid w:val="00D46D88"/>
    <w:rsid w:val="00D55E55"/>
    <w:rsid w:val="00D663ED"/>
    <w:rsid w:val="00D67A17"/>
    <w:rsid w:val="00D74882"/>
    <w:rsid w:val="00D759EE"/>
    <w:rsid w:val="00D76BAE"/>
    <w:rsid w:val="00D956AA"/>
    <w:rsid w:val="00D95906"/>
    <w:rsid w:val="00DA543F"/>
    <w:rsid w:val="00DC0173"/>
    <w:rsid w:val="00DC11EA"/>
    <w:rsid w:val="00DC4056"/>
    <w:rsid w:val="00DE2472"/>
    <w:rsid w:val="00DE58C6"/>
    <w:rsid w:val="00DE6C80"/>
    <w:rsid w:val="00DF1540"/>
    <w:rsid w:val="00DF5EB4"/>
    <w:rsid w:val="00E02362"/>
    <w:rsid w:val="00E0349C"/>
    <w:rsid w:val="00E05FD8"/>
    <w:rsid w:val="00E11279"/>
    <w:rsid w:val="00E25470"/>
    <w:rsid w:val="00E27471"/>
    <w:rsid w:val="00E313BE"/>
    <w:rsid w:val="00E372DE"/>
    <w:rsid w:val="00E44564"/>
    <w:rsid w:val="00E44574"/>
    <w:rsid w:val="00E72D70"/>
    <w:rsid w:val="00E73B66"/>
    <w:rsid w:val="00E76634"/>
    <w:rsid w:val="00E80A46"/>
    <w:rsid w:val="00E8362B"/>
    <w:rsid w:val="00E837AB"/>
    <w:rsid w:val="00E83B02"/>
    <w:rsid w:val="00E85FA0"/>
    <w:rsid w:val="00E87997"/>
    <w:rsid w:val="00E95F38"/>
    <w:rsid w:val="00EA7A67"/>
    <w:rsid w:val="00EC0B04"/>
    <w:rsid w:val="00EC4A51"/>
    <w:rsid w:val="00EC5C1D"/>
    <w:rsid w:val="00ED176B"/>
    <w:rsid w:val="00EE2DAD"/>
    <w:rsid w:val="00F31B35"/>
    <w:rsid w:val="00F339CD"/>
    <w:rsid w:val="00F33A43"/>
    <w:rsid w:val="00F41650"/>
    <w:rsid w:val="00F47143"/>
    <w:rsid w:val="00F50CFF"/>
    <w:rsid w:val="00F52A5B"/>
    <w:rsid w:val="00F949D7"/>
    <w:rsid w:val="00F9569D"/>
    <w:rsid w:val="00FA5F22"/>
    <w:rsid w:val="00FC306C"/>
    <w:rsid w:val="00FC6457"/>
    <w:rsid w:val="00FC7622"/>
    <w:rsid w:val="00FD16C1"/>
    <w:rsid w:val="00FD3076"/>
    <w:rsid w:val="00FD46BA"/>
    <w:rsid w:val="00FD6BF1"/>
    <w:rsid w:val="00FE1CBC"/>
    <w:rsid w:val="00FE2E58"/>
    <w:rsid w:val="00FE402A"/>
    <w:rsid w:val="00FE5458"/>
    <w:rsid w:val="00FF467A"/>
    <w:rsid w:val="00FF5222"/>
    <w:rsid w:val="00FF6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D9AD1C"/>
  <w15:docId w15:val="{E2D9252A-3285-4562-8EAC-BB2B1A6F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7"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spacing w:after="0" w:line="280" w:lineRule="atLeast"/>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1"/>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536F0F"/>
    <w:rPr>
      <w:sz w:val="16"/>
      <w:szCs w:val="16"/>
    </w:rPr>
  </w:style>
  <w:style w:type="paragraph" w:styleId="CommentText">
    <w:name w:val="annotation text"/>
    <w:basedOn w:val="Normal"/>
    <w:link w:val="CommentTextChar"/>
    <w:uiPriority w:val="99"/>
    <w:semiHidden/>
    <w:unhideWhenUsed/>
    <w:rsid w:val="00536F0F"/>
    <w:pPr>
      <w:spacing w:line="240" w:lineRule="auto"/>
    </w:pPr>
    <w:rPr>
      <w:sz w:val="20"/>
      <w:szCs w:val="20"/>
    </w:rPr>
  </w:style>
  <w:style w:type="character" w:customStyle="1" w:styleId="CommentTextChar">
    <w:name w:val="Comment Text Char"/>
    <w:basedOn w:val="DefaultParagraphFont"/>
    <w:link w:val="CommentText"/>
    <w:uiPriority w:val="99"/>
    <w:semiHidden/>
    <w:rsid w:val="00536F0F"/>
    <w:rPr>
      <w:sz w:val="20"/>
      <w:szCs w:val="20"/>
    </w:rPr>
  </w:style>
  <w:style w:type="paragraph" w:styleId="CommentSubject">
    <w:name w:val="annotation subject"/>
    <w:basedOn w:val="CommentText"/>
    <w:next w:val="CommentText"/>
    <w:link w:val="CommentSubjectChar"/>
    <w:uiPriority w:val="99"/>
    <w:semiHidden/>
    <w:unhideWhenUsed/>
    <w:rsid w:val="00536F0F"/>
    <w:rPr>
      <w:b/>
      <w:bCs/>
    </w:rPr>
  </w:style>
  <w:style w:type="character" w:customStyle="1" w:styleId="CommentSubjectChar">
    <w:name w:val="Comment Subject Char"/>
    <w:basedOn w:val="CommentTextChar"/>
    <w:link w:val="CommentSubject"/>
    <w:uiPriority w:val="99"/>
    <w:semiHidden/>
    <w:rsid w:val="00536F0F"/>
    <w:rPr>
      <w:b/>
      <w:bCs/>
      <w:sz w:val="20"/>
      <w:szCs w:val="20"/>
    </w:rPr>
  </w:style>
  <w:style w:type="paragraph" w:styleId="BodyText3">
    <w:name w:val="Body Text 3"/>
    <w:basedOn w:val="Normal"/>
    <w:link w:val="BodyText3Char"/>
    <w:uiPriority w:val="97"/>
    <w:semiHidden/>
    <w:rsid w:val="00A31A8F"/>
    <w:pPr>
      <w:spacing w:after="120" w:line="260" w:lineRule="atLeast"/>
    </w:pPr>
    <w:rPr>
      <w:rFonts w:eastAsiaTheme="minorHAnsi" w:cs="Times New Roman"/>
      <w:sz w:val="16"/>
      <w:szCs w:val="16"/>
      <w:lang w:val="en-AU"/>
    </w:rPr>
  </w:style>
  <w:style w:type="character" w:customStyle="1" w:styleId="BodyText3Char">
    <w:name w:val="Body Text 3 Char"/>
    <w:basedOn w:val="DefaultParagraphFont"/>
    <w:link w:val="BodyText3"/>
    <w:uiPriority w:val="97"/>
    <w:semiHidden/>
    <w:rsid w:val="00A31A8F"/>
    <w:rPr>
      <w:rFonts w:eastAsiaTheme="minorHAnsi" w:cs="Times New Roman"/>
      <w:sz w:val="16"/>
      <w:szCs w:val="16"/>
      <w:lang w:val="en-AU"/>
    </w:rPr>
  </w:style>
  <w:style w:type="character" w:customStyle="1" w:styleId="ListParagraphChar">
    <w:name w:val="List Paragraph Char"/>
    <w:link w:val="ListParagraph"/>
    <w:uiPriority w:val="1"/>
    <w:locked/>
    <w:rsid w:val="00B62005"/>
  </w:style>
  <w:style w:type="paragraph" w:customStyle="1" w:styleId="Default">
    <w:name w:val="Default"/>
    <w:rsid w:val="004C4F74"/>
    <w:pPr>
      <w:autoSpaceDE w:val="0"/>
      <w:autoSpaceDN w:val="0"/>
      <w:adjustRightInd w:val="0"/>
      <w:spacing w:after="0" w:line="240" w:lineRule="auto"/>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sc.nsw.gov.au/capabilityframework" TargetMode="Externa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A4112470</value>
    </field>
    <field name="Objective-Title">
      <value order="0">Oct_2018_-_Role_Description_-_Financial_Controller_-_Final_Doc</value>
    </field>
    <field name="Objective-Description">
      <value order="0"/>
    </field>
    <field name="Objective-CreationStamp">
      <value order="0">2018-10-03T04:27:59Z</value>
    </field>
    <field name="Objective-IsApproved">
      <value order="0">false</value>
    </field>
    <field name="Objective-IsPublished">
      <value order="0">false</value>
    </field>
    <field name="Objective-DatePublished">
      <value order="0"/>
    </field>
    <field name="Objective-ModificationStamp">
      <value order="0">2018-10-03T06:50:26Z</value>
    </field>
    <field name="Objective-Owner">
      <value order="0">Narelle Lumley</value>
    </field>
    <field name="Objective-Path">
      <value order="0">Objective Global Folder:1. Public Service Commission (PSC):1. Public Service Commission File Plan (PSC):PEOPLE &amp; ENGAGEMENT:RECRUITMENT:2018 Recruitment:Recruitment - Financial Controller - 00006I95:1. Pre-Advertising</value>
    </field>
    <field name="Objective-Parent">
      <value order="0">1. Pre-Advertising</value>
    </field>
    <field name="Objective-State">
      <value order="0">Being Drafted</value>
    </field>
    <field name="Objective-VersionId">
      <value order="0">vA7248989</value>
    </field>
    <field name="Objective-Version">
      <value order="0">0.1</value>
    </field>
    <field name="Objective-VersionNumber">
      <value order="0">1</value>
    </field>
    <field name="Objective-VersionComment">
      <value order="0"/>
    </field>
    <field name="Objective-FileNumber">
      <value order="0">qA433639</value>
    </field>
    <field name="Objective-Classification">
      <value order="0"/>
    </field>
    <field name="Objective-Caveats">
      <value order="0">Confidential Access Group - HR (PSC)</value>
    </field>
  </systemFields>
  <catalogues>
    <catalogue name="Document Type Catalogue" type="type" ori="id:cA63">
      <field name="Objective-Vital Record">
        <value order="0">No</value>
      </field>
      <field name="Objective-DLM">
        <value order="0">No Impact</value>
      </field>
      <field name="Objective-Security Classification">
        <value order="0">UNCLASSIFIED</value>
      </field>
      <field name="Objective-Approval History">
        <value order="0"/>
      </field>
      <field name="Objective-Approval Status">
        <value order="0"/>
      </field>
      <field name="Objective-Connect Creator">
        <value order="0"/>
      </field>
      <field name="Objective-Document Tag(s)">
        <value order="0"/>
      </field>
      <field name="Objective-Shared By">
        <value order="0"/>
      </field>
      <field name="Objective-Current Approv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5AB60624-56AE-418B-BD4F-28732D8A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Elleanor Wood</cp:lastModifiedBy>
  <cp:revision>3</cp:revision>
  <cp:lastPrinted>2017-04-06T05:35:00Z</cp:lastPrinted>
  <dcterms:created xsi:type="dcterms:W3CDTF">2019-10-30T04:30:00Z</dcterms:created>
  <dcterms:modified xsi:type="dcterms:W3CDTF">2019-10-30T04:31:00Z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A4112470</vt:lpwstr>
  </property>
  <property fmtid="{D5CDD505-2E9C-101B-9397-08002B2CF9AE}" pid="4" name="Objective-Title">
    <vt:lpwstr>Oct_2018_-_Role_Description_-_Financial_Controller_-_Final_Doc</vt:lpwstr>
  </property>
  <property fmtid="{D5CDD505-2E9C-101B-9397-08002B2CF9AE}" pid="5" name="Objective-Comment">
    <vt:lpwstr/>
  </property>
  <property fmtid="{D5CDD505-2E9C-101B-9397-08002B2CF9AE}" pid="6" name="Objective-CreationStamp">
    <vt:filetime>2018-10-03T06:50:26Z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2018-10-22T03:17:53Z</vt:filetime>
  </property>
  <property fmtid="{D5CDD505-2E9C-101B-9397-08002B2CF9AE}" pid="11" name="Objective-Owner">
    <vt:lpwstr>Narelle Lumley</vt:lpwstr>
  </property>
  <property fmtid="{D5CDD505-2E9C-101B-9397-08002B2CF9AE}" pid="12" name="Objective-Path">
    <vt:lpwstr>Objective Global Folder:1. Public Service Commission (PSC):1. Public Service Commission File Plan (PSC):PEOPLE &amp; ENGAGEMENT:RECRUITMENT:2018 Recruitment:Recruitment - Financial Controller - 00006I95:1. Pre-Advertising:</vt:lpwstr>
  </property>
  <property fmtid="{D5CDD505-2E9C-101B-9397-08002B2CF9AE}" pid="13" name="Objective-Parent">
    <vt:lpwstr>1. Pre-Advertising</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PSC09127</vt:lpwstr>
  </property>
  <property fmtid="{D5CDD505-2E9C-101B-9397-08002B2CF9AE}" pid="19" name="Objective-Classification">
    <vt:lpwstr>[Inherited - none]</vt:lpwstr>
  </property>
  <property fmtid="{D5CDD505-2E9C-101B-9397-08002B2CF9AE}" pid="20" name="Objective-Caveats">
    <vt:lpwstr>caveat groups: Confidential Access Group - HR (PSC);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Objective-Current Approver [system]">
    <vt:lpwstr/>
  </property>
  <property fmtid="{D5CDD505-2E9C-101B-9397-08002B2CF9AE}" pid="25" name="Objective-Approval Status [system]">
    <vt:lpwstr/>
  </property>
  <property fmtid="{D5CDD505-2E9C-101B-9397-08002B2CF9AE}" pid="26" name="Objective-Approval History [system]">
    <vt:lpwstr/>
  </property>
  <property fmtid="{D5CDD505-2E9C-101B-9397-08002B2CF9AE}" pid="27" name="Objective-Document Tag(s) [system]">
    <vt:lpwstr/>
  </property>
  <property fmtid="{D5CDD505-2E9C-101B-9397-08002B2CF9AE}" pid="28" name="Objective-Description">
    <vt:lpwstr/>
  </property>
  <property fmtid="{D5CDD505-2E9C-101B-9397-08002B2CF9AE}" pid="29" name="Objective-VersionId">
    <vt:lpwstr>vA7248989</vt:lpwstr>
  </property>
  <property fmtid="{D5CDD505-2E9C-101B-9397-08002B2CF9AE}" pid="30" name="Objective-Vital Record">
    <vt:lpwstr>No</vt:lpwstr>
  </property>
  <property fmtid="{D5CDD505-2E9C-101B-9397-08002B2CF9AE}" pid="31" name="Objective-DLM">
    <vt:lpwstr>No Impact</vt:lpwstr>
  </property>
  <property fmtid="{D5CDD505-2E9C-101B-9397-08002B2CF9AE}" pid="32" name="Objective-Security Classification">
    <vt:lpwstr>UNCLASSIFIED</vt:lpwstr>
  </property>
  <property fmtid="{D5CDD505-2E9C-101B-9397-08002B2CF9AE}" pid="33" name="Objective-Approval History">
    <vt:lpwstr/>
  </property>
  <property fmtid="{D5CDD505-2E9C-101B-9397-08002B2CF9AE}" pid="34" name="Objective-Approval Status">
    <vt:lpwstr/>
  </property>
  <property fmtid="{D5CDD505-2E9C-101B-9397-08002B2CF9AE}" pid="35" name="Objective-Connect Creator">
    <vt:lpwstr/>
  </property>
  <property fmtid="{D5CDD505-2E9C-101B-9397-08002B2CF9AE}" pid="36" name="Objective-Document Tag(s)">
    <vt:lpwstr/>
  </property>
  <property fmtid="{D5CDD505-2E9C-101B-9397-08002B2CF9AE}" pid="37" name="Objective-Shared By">
    <vt:lpwstr/>
  </property>
  <property fmtid="{D5CDD505-2E9C-101B-9397-08002B2CF9AE}" pid="38" name="Objective-Current Approver">
    <vt:lpwstr/>
  </property>
  <property fmtid="{D5CDD505-2E9C-101B-9397-08002B2CF9AE}" pid="39" name="Objective-Connect Creator [system]">
    <vt:lpwstr/>
  </property>
  <property fmtid="{D5CDD505-2E9C-101B-9397-08002B2CF9AE}" pid="40" name="Objective-Shared By [system]">
    <vt:lpwstr/>
  </property>
</Properties>
</file>