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1921"/>
        <w:tblW w:w="10556" w:type="dxa"/>
        <w:tblLook w:val="04A0" w:firstRow="1" w:lastRow="0" w:firstColumn="1" w:lastColumn="0" w:noHBand="0" w:noVBand="1"/>
      </w:tblPr>
      <w:tblGrid>
        <w:gridCol w:w="4026"/>
        <w:gridCol w:w="6530"/>
      </w:tblGrid>
      <w:tr w:rsidR="00A76532" w:rsidRPr="00C978B9" w:rsidTr="002A4DAB">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2A4DAB">
            <w:pPr>
              <w:pStyle w:val="TableTextWhite"/>
              <w:rPr>
                <w:b/>
                <w:color w:val="000000"/>
                <w:sz w:val="24"/>
                <w:szCs w:val="24"/>
              </w:rPr>
            </w:pPr>
            <w:bookmarkStart w:id="0" w:name="_GoBack"/>
            <w:bookmarkEnd w:id="0"/>
            <w:r w:rsidRPr="009E6312">
              <w:rPr>
                <w:b/>
              </w:rPr>
              <w:t>Cluster</w:t>
            </w:r>
            <w:r w:rsidR="0049018A">
              <w:rPr>
                <w:b/>
              </w:rPr>
              <w:t>/Agency</w:t>
            </w:r>
          </w:p>
        </w:tc>
        <w:tc>
          <w:tcPr>
            <w:tcW w:w="6530" w:type="dxa"/>
          </w:tcPr>
          <w:p w:rsidR="00A76532" w:rsidRPr="0033590A" w:rsidRDefault="00EC2ACA" w:rsidP="002A4DAB">
            <w:pPr>
              <w:pStyle w:val="TableTextWhite"/>
            </w:pPr>
            <w:bookmarkStart w:id="1" w:name="Cluster"/>
            <w:bookmarkEnd w:id="1"/>
            <w:r>
              <w:t>Planning</w:t>
            </w:r>
            <w:r w:rsidR="00A80D92">
              <w:t>, Industry</w:t>
            </w:r>
            <w:r>
              <w:t xml:space="preserve"> &amp; Environment</w:t>
            </w:r>
          </w:p>
        </w:tc>
      </w:tr>
      <w:tr w:rsidR="00A76532" w:rsidRPr="00C978B9" w:rsidTr="002A4DAB">
        <w:tc>
          <w:tcPr>
            <w:tcW w:w="4026" w:type="dxa"/>
            <w:vAlign w:val="center"/>
          </w:tcPr>
          <w:p w:rsidR="00A76532" w:rsidRPr="009E6312" w:rsidRDefault="0014725A" w:rsidP="002A4DAB">
            <w:pPr>
              <w:pStyle w:val="TableTextWhite"/>
              <w:rPr>
                <w:b/>
                <w:color w:val="000000"/>
                <w:sz w:val="24"/>
                <w:szCs w:val="24"/>
              </w:rPr>
            </w:pPr>
            <w:bookmarkStart w:id="2" w:name="DeptAgency"/>
            <w:bookmarkEnd w:id="2"/>
            <w:r>
              <w:rPr>
                <w:b/>
              </w:rPr>
              <w:t>Division</w:t>
            </w:r>
            <w:r w:rsidR="00A76845">
              <w:rPr>
                <w:b/>
              </w:rPr>
              <w:t>/</w:t>
            </w:r>
            <w:r w:rsidR="00A76532" w:rsidRPr="009E6312">
              <w:rPr>
                <w:b/>
              </w:rPr>
              <w:t>Branch/Unit</w:t>
            </w:r>
          </w:p>
        </w:tc>
        <w:tc>
          <w:tcPr>
            <w:tcW w:w="6530" w:type="dxa"/>
          </w:tcPr>
          <w:p w:rsidR="00A76532" w:rsidRPr="0033590A" w:rsidRDefault="00A80D92" w:rsidP="006C37AA">
            <w:pPr>
              <w:pStyle w:val="TableTextWhite"/>
            </w:pPr>
            <w:bookmarkStart w:id="3" w:name="Branch"/>
            <w:bookmarkEnd w:id="3"/>
            <w:r>
              <w:t>Climate Change and Sustainability</w:t>
            </w:r>
            <w:r w:rsidR="00B149F8">
              <w:t xml:space="preserve"> / NABERS</w:t>
            </w:r>
          </w:p>
        </w:tc>
      </w:tr>
      <w:tr w:rsidR="00A76532" w:rsidRPr="00C978B9" w:rsidTr="002A4DAB">
        <w:tc>
          <w:tcPr>
            <w:tcW w:w="4026" w:type="dxa"/>
          </w:tcPr>
          <w:p w:rsidR="00A76532" w:rsidRPr="009E6312" w:rsidRDefault="00A76532" w:rsidP="002A4DAB">
            <w:pPr>
              <w:pStyle w:val="TableTextWhite"/>
              <w:rPr>
                <w:b/>
                <w:color w:val="000000"/>
                <w:sz w:val="24"/>
                <w:szCs w:val="24"/>
              </w:rPr>
            </w:pPr>
            <w:r w:rsidRPr="009E6312">
              <w:rPr>
                <w:b/>
              </w:rPr>
              <w:t>Location</w:t>
            </w:r>
          </w:p>
        </w:tc>
        <w:tc>
          <w:tcPr>
            <w:tcW w:w="6530" w:type="dxa"/>
          </w:tcPr>
          <w:p w:rsidR="00A76532" w:rsidRPr="0033590A" w:rsidRDefault="00A80D92" w:rsidP="002A4DAB">
            <w:pPr>
              <w:pStyle w:val="TableTextWhite"/>
            </w:pPr>
            <w:bookmarkStart w:id="4" w:name="Location"/>
            <w:bookmarkEnd w:id="4"/>
            <w:r>
              <w:t>Sydney</w:t>
            </w:r>
          </w:p>
        </w:tc>
      </w:tr>
      <w:tr w:rsidR="00A76532" w:rsidRPr="00C978B9" w:rsidTr="002A4DAB">
        <w:tc>
          <w:tcPr>
            <w:tcW w:w="4026" w:type="dxa"/>
            <w:vAlign w:val="center"/>
          </w:tcPr>
          <w:p w:rsidR="00A76532" w:rsidRPr="009E6312" w:rsidRDefault="00A76532" w:rsidP="002A4DAB">
            <w:pPr>
              <w:pStyle w:val="TableTextWhite"/>
              <w:rPr>
                <w:b/>
                <w:color w:val="000000"/>
                <w:sz w:val="24"/>
                <w:szCs w:val="24"/>
              </w:rPr>
            </w:pPr>
            <w:r w:rsidRPr="009E6312">
              <w:rPr>
                <w:b/>
              </w:rPr>
              <w:t>Classification/Grade/Band</w:t>
            </w:r>
          </w:p>
        </w:tc>
        <w:tc>
          <w:tcPr>
            <w:tcW w:w="6530" w:type="dxa"/>
          </w:tcPr>
          <w:p w:rsidR="00A76532" w:rsidRPr="0033590A" w:rsidRDefault="002A4DAB" w:rsidP="002A4DAB">
            <w:pPr>
              <w:pStyle w:val="TableTextWhite"/>
            </w:pPr>
            <w:bookmarkStart w:id="5" w:name="Grade"/>
            <w:bookmarkEnd w:id="5"/>
            <w:r>
              <w:t xml:space="preserve">Environment Officer Class </w:t>
            </w:r>
            <w:r w:rsidR="00BE11BF">
              <w:t>8</w:t>
            </w:r>
          </w:p>
        </w:tc>
      </w:tr>
      <w:tr w:rsidR="00A76532" w:rsidRPr="00C978B9" w:rsidTr="002A4DAB">
        <w:tc>
          <w:tcPr>
            <w:tcW w:w="4026" w:type="dxa"/>
            <w:vAlign w:val="center"/>
          </w:tcPr>
          <w:p w:rsidR="00A76532" w:rsidRPr="009E6312" w:rsidRDefault="00A76532" w:rsidP="002A4DAB">
            <w:pPr>
              <w:pStyle w:val="TableTextWhite"/>
              <w:rPr>
                <w:b/>
                <w:color w:val="000000"/>
                <w:sz w:val="24"/>
                <w:szCs w:val="24"/>
              </w:rPr>
            </w:pPr>
            <w:r w:rsidRPr="009E6312">
              <w:rPr>
                <w:b/>
              </w:rPr>
              <w:t>ANZSCO Code</w:t>
            </w:r>
          </w:p>
        </w:tc>
        <w:tc>
          <w:tcPr>
            <w:tcW w:w="6530" w:type="dxa"/>
          </w:tcPr>
          <w:p w:rsidR="00A76532" w:rsidRPr="0033590A" w:rsidRDefault="000A3889" w:rsidP="002A4DAB">
            <w:pPr>
              <w:pStyle w:val="TableTextWhite"/>
            </w:pPr>
            <w:bookmarkStart w:id="6" w:name="ANZSCO"/>
            <w:bookmarkEnd w:id="6"/>
            <w:r>
              <w:t>TBA</w:t>
            </w:r>
          </w:p>
        </w:tc>
      </w:tr>
      <w:tr w:rsidR="00E31B30" w:rsidRPr="00C978B9" w:rsidTr="002A4DAB">
        <w:tc>
          <w:tcPr>
            <w:tcW w:w="4026" w:type="dxa"/>
            <w:vAlign w:val="center"/>
          </w:tcPr>
          <w:p w:rsidR="00E31B30" w:rsidRPr="009E6312" w:rsidRDefault="00E31B30" w:rsidP="002A4DAB">
            <w:pPr>
              <w:pStyle w:val="TableTextWhite"/>
              <w:rPr>
                <w:b/>
              </w:rPr>
            </w:pPr>
            <w:r w:rsidRPr="009E6312">
              <w:rPr>
                <w:b/>
              </w:rPr>
              <w:t>Role Number</w:t>
            </w:r>
          </w:p>
        </w:tc>
        <w:tc>
          <w:tcPr>
            <w:tcW w:w="6530" w:type="dxa"/>
          </w:tcPr>
          <w:p w:rsidR="00E31B30" w:rsidRPr="0033590A" w:rsidRDefault="000A3889" w:rsidP="002A4DAB">
            <w:pPr>
              <w:pStyle w:val="TableTextWhite"/>
            </w:pPr>
            <w:bookmarkStart w:id="7" w:name="RoleNum"/>
            <w:bookmarkEnd w:id="7"/>
            <w:r>
              <w:t>Generic</w:t>
            </w:r>
          </w:p>
        </w:tc>
      </w:tr>
      <w:tr w:rsidR="00A76532" w:rsidRPr="00C978B9" w:rsidTr="002A4DAB">
        <w:tc>
          <w:tcPr>
            <w:tcW w:w="4026" w:type="dxa"/>
            <w:vAlign w:val="center"/>
          </w:tcPr>
          <w:p w:rsidR="00A76532" w:rsidRPr="009E6312" w:rsidRDefault="00A76532" w:rsidP="002A4DAB">
            <w:pPr>
              <w:pStyle w:val="TableTextWhite"/>
              <w:rPr>
                <w:b/>
                <w:color w:val="000000"/>
                <w:sz w:val="24"/>
                <w:szCs w:val="24"/>
              </w:rPr>
            </w:pPr>
            <w:r w:rsidRPr="009E6312">
              <w:rPr>
                <w:b/>
              </w:rPr>
              <w:t>PCAT Code</w:t>
            </w:r>
          </w:p>
        </w:tc>
        <w:tc>
          <w:tcPr>
            <w:tcW w:w="6530" w:type="dxa"/>
          </w:tcPr>
          <w:p w:rsidR="00A76532" w:rsidRPr="0033590A" w:rsidRDefault="000A3889" w:rsidP="002A4DAB">
            <w:pPr>
              <w:pStyle w:val="TableTextWhite"/>
            </w:pPr>
            <w:bookmarkStart w:id="8" w:name="PCAT"/>
            <w:bookmarkEnd w:id="8"/>
            <w:r>
              <w:t>TBA</w:t>
            </w:r>
          </w:p>
        </w:tc>
      </w:tr>
      <w:tr w:rsidR="00A76532" w:rsidRPr="00C978B9" w:rsidTr="002A4DAB">
        <w:tc>
          <w:tcPr>
            <w:tcW w:w="4026" w:type="dxa"/>
            <w:vAlign w:val="center"/>
          </w:tcPr>
          <w:p w:rsidR="00A76532" w:rsidRPr="009E6312" w:rsidRDefault="00A76532" w:rsidP="002A4DAB">
            <w:pPr>
              <w:pStyle w:val="TableTextWhite"/>
              <w:rPr>
                <w:b/>
                <w:color w:val="000000"/>
                <w:sz w:val="24"/>
                <w:szCs w:val="24"/>
              </w:rPr>
            </w:pPr>
            <w:r w:rsidRPr="009E6312">
              <w:rPr>
                <w:b/>
              </w:rPr>
              <w:t>Date of Approval</w:t>
            </w:r>
          </w:p>
        </w:tc>
        <w:tc>
          <w:tcPr>
            <w:tcW w:w="6530" w:type="dxa"/>
          </w:tcPr>
          <w:p w:rsidR="00A76532" w:rsidRPr="0033590A" w:rsidRDefault="00BE11BF" w:rsidP="002A4DAB">
            <w:pPr>
              <w:pStyle w:val="TableTextWhite"/>
            </w:pPr>
            <w:bookmarkStart w:id="9" w:name="Date"/>
            <w:bookmarkEnd w:id="9"/>
            <w:r>
              <w:t>June 2016</w:t>
            </w:r>
          </w:p>
        </w:tc>
      </w:tr>
      <w:tr w:rsidR="00A76532" w:rsidRPr="00C978B9" w:rsidTr="002A4DAB">
        <w:tc>
          <w:tcPr>
            <w:tcW w:w="4026" w:type="dxa"/>
            <w:vAlign w:val="center"/>
          </w:tcPr>
          <w:p w:rsidR="00A76532" w:rsidRPr="009E6312" w:rsidRDefault="00D201B3" w:rsidP="002A4DAB">
            <w:pPr>
              <w:pStyle w:val="TableTextWhite"/>
              <w:rPr>
                <w:b/>
                <w:color w:val="000000"/>
                <w:sz w:val="24"/>
                <w:szCs w:val="24"/>
              </w:rPr>
            </w:pPr>
            <w:r w:rsidRPr="009E6312">
              <w:rPr>
                <w:b/>
              </w:rPr>
              <w:t>Agency We</w:t>
            </w:r>
            <w:r w:rsidR="00A76532" w:rsidRPr="009E6312">
              <w:rPr>
                <w:b/>
              </w:rPr>
              <w:t>bsite</w:t>
            </w:r>
          </w:p>
        </w:tc>
        <w:bookmarkStart w:id="10" w:name="AgencyURL"/>
        <w:bookmarkEnd w:id="10"/>
        <w:tc>
          <w:tcPr>
            <w:tcW w:w="6530" w:type="dxa"/>
          </w:tcPr>
          <w:p w:rsidR="00A76532" w:rsidRPr="0033590A" w:rsidRDefault="00A80D92" w:rsidP="002A4DAB">
            <w:pPr>
              <w:pStyle w:val="TableTextWhite"/>
            </w:pPr>
            <w:r>
              <w:fldChar w:fldCharType="begin"/>
            </w:r>
            <w:r>
              <w:instrText xml:space="preserve"> HYPERLINK "http://</w:instrText>
            </w:r>
            <w:r w:rsidRPr="00A80D92">
              <w:instrText>ww</w:instrText>
            </w:r>
            <w:r>
              <w:instrText xml:space="preserve">w.DPIE.nsw.gov.au" </w:instrText>
            </w:r>
            <w:r>
              <w:fldChar w:fldCharType="separate"/>
            </w:r>
            <w:r w:rsidRPr="00F35BD7">
              <w:rPr>
                <w:rStyle w:val="Hyperlink"/>
              </w:rPr>
              <w:t>www.DPIE.nsw.gov.au</w:t>
            </w:r>
            <w:r>
              <w:fldChar w:fldCharType="end"/>
            </w:r>
            <w:r>
              <w:t xml:space="preserve"> </w:t>
            </w:r>
            <w:r w:rsidR="002A4DAB">
              <w:t xml:space="preserve"> </w:t>
            </w:r>
          </w:p>
        </w:tc>
      </w:tr>
    </w:tbl>
    <w:p w:rsidR="00A76532" w:rsidRPr="00C978B9" w:rsidRDefault="001E7CC7" w:rsidP="00057CB3">
      <w:pPr>
        <w:pStyle w:val="Heading1"/>
        <w:spacing w:before="40"/>
      </w:pPr>
      <w:bookmarkStart w:id="11" w:name="DeptAgency2"/>
      <w:bookmarkEnd w:id="11"/>
      <w:r>
        <w:t>Agency</w:t>
      </w:r>
      <w:r w:rsidR="0033590A">
        <w:t xml:space="preserve"> </w:t>
      </w:r>
      <w:r w:rsidR="0003659D" w:rsidRPr="00C978B9">
        <w:t>overview</w:t>
      </w:r>
    </w:p>
    <w:p w:rsidR="00A63EAF" w:rsidRPr="00F4326C" w:rsidRDefault="00A63EAF" w:rsidP="00A63EAF">
      <w:pPr>
        <w:rPr>
          <w:rFonts w:cs="Arial"/>
          <w:color w:val="111111"/>
          <w:lang w:val="en"/>
        </w:rPr>
      </w:pPr>
      <w:bookmarkStart w:id="12" w:name="DeptOverview"/>
      <w:bookmarkEnd w:id="12"/>
      <w:r w:rsidRPr="00F4326C">
        <w:rPr>
          <w:rFonts w:cs="Arial"/>
          <w:color w:val="111111"/>
          <w:lang w:val="en"/>
        </w:rPr>
        <w:t>The Planning, Industry and Environment Cluster was formed in 2019. The Cluster drives greater levels of integration and efficiency across key areas such as long-term planning, precincts, housing, property, infrastructure priorities, open space, the environment, our natural resources – land, water, mining – energy, and growing our industries. There is a strong emphasis on regional NSW.</w:t>
      </w:r>
    </w:p>
    <w:p w:rsidR="00057CB3" w:rsidRPr="00C978B9" w:rsidRDefault="00057CB3" w:rsidP="00057CB3">
      <w:pPr>
        <w:pStyle w:val="Heading1"/>
      </w:pPr>
      <w:r w:rsidRPr="00C978B9">
        <w:t>Primary purpose of the role</w:t>
      </w:r>
    </w:p>
    <w:p w:rsidR="00057CB3" w:rsidRPr="002A4DAB" w:rsidRDefault="00EC2ACA" w:rsidP="00057CB3">
      <w:pPr>
        <w:rPr>
          <w:sz w:val="24"/>
        </w:rPr>
      </w:pPr>
      <w:bookmarkStart w:id="13" w:name="Purpose"/>
      <w:bookmarkEnd w:id="13"/>
      <w:r w:rsidRPr="002A4DAB">
        <w:t xml:space="preserve">Provide technical support to accredited assessors as part of the National Australian Built Environment Rating System (NABERS). </w:t>
      </w:r>
      <w:r w:rsidR="00E6745E">
        <w:t>Lead the continued development and maintenance of a NABERS tool. Assist in the development of new NABERS tools</w:t>
      </w:r>
      <w:r w:rsidR="00FC6ADA">
        <w:t>.</w:t>
      </w:r>
    </w:p>
    <w:p w:rsidR="00EC2ACA" w:rsidRPr="00DC041B" w:rsidRDefault="00057CB3" w:rsidP="00A43673">
      <w:pPr>
        <w:pStyle w:val="Heading1"/>
      </w:pPr>
      <w:r w:rsidRPr="00C978B9">
        <w:t xml:space="preserve">Key </w:t>
      </w:r>
      <w:r w:rsidR="00043B92">
        <w:t>a</w:t>
      </w:r>
      <w:r w:rsidRPr="00C978B9">
        <w:t>ccountabilities</w:t>
      </w:r>
      <w:bookmarkStart w:id="14" w:name="Accountabilities"/>
      <w:bookmarkEnd w:id="14"/>
    </w:p>
    <w:p w:rsidR="00EC2ACA" w:rsidRPr="00DC041B" w:rsidRDefault="00EC2ACA" w:rsidP="002A4DAB">
      <w:pPr>
        <w:pStyle w:val="ListBullet"/>
        <w:numPr>
          <w:ilvl w:val="0"/>
          <w:numId w:val="33"/>
        </w:numPr>
        <w:spacing w:before="120" w:line="240" w:lineRule="auto"/>
      </w:pPr>
      <w:r w:rsidRPr="00DC041B">
        <w:t xml:space="preserve">Manage the operations and processes of the </w:t>
      </w:r>
      <w:r>
        <w:t xml:space="preserve">NABERS </w:t>
      </w:r>
      <w:r w:rsidRPr="00DC041B">
        <w:t>(including Australian Building Greenhouse Rating Scheme) to assist building owners, managers and tenants to rate the environmental performance of their facilities.</w:t>
      </w:r>
    </w:p>
    <w:p w:rsidR="00EC2ACA" w:rsidRDefault="00EC2ACA" w:rsidP="002A4DAB">
      <w:pPr>
        <w:pStyle w:val="ListBullet"/>
        <w:numPr>
          <w:ilvl w:val="0"/>
          <w:numId w:val="33"/>
        </w:numPr>
        <w:spacing w:before="120" w:line="240" w:lineRule="auto"/>
      </w:pPr>
      <w:r w:rsidRPr="00DC041B">
        <w:t>Undertake level 1 rating audits</w:t>
      </w:r>
      <w:r w:rsidR="00154B46">
        <w:t xml:space="preserve"> (desktop)</w:t>
      </w:r>
      <w:r>
        <w:t xml:space="preserve">, </w:t>
      </w:r>
      <w:r w:rsidR="00A43673">
        <w:t>m</w:t>
      </w:r>
      <w:r w:rsidRPr="00DC041B">
        <w:t>aintain and contribute to the development</w:t>
      </w:r>
      <w:r w:rsidR="0057249D">
        <w:t>, revision and amendment</w:t>
      </w:r>
      <w:r w:rsidRPr="00DC041B">
        <w:t xml:space="preserve"> of </w:t>
      </w:r>
      <w:r w:rsidR="0057249D">
        <w:t xml:space="preserve">the </w:t>
      </w:r>
      <w:r w:rsidRPr="00DC041B">
        <w:t>NABERS</w:t>
      </w:r>
      <w:r w:rsidR="0057249D">
        <w:t xml:space="preserve"> rules,</w:t>
      </w:r>
      <w:r w:rsidRPr="00DC041B">
        <w:t xml:space="preserve"> rulings, </w:t>
      </w:r>
      <w:r w:rsidR="00081683">
        <w:t>processes</w:t>
      </w:r>
      <w:r w:rsidRPr="00DC041B">
        <w:t xml:space="preserve"> and procedures</w:t>
      </w:r>
      <w:r w:rsidR="00A43673">
        <w:t>.</w:t>
      </w:r>
    </w:p>
    <w:p w:rsidR="003D4698" w:rsidRDefault="003D4698" w:rsidP="003D4698">
      <w:pPr>
        <w:pStyle w:val="ListBullet"/>
        <w:numPr>
          <w:ilvl w:val="0"/>
          <w:numId w:val="33"/>
        </w:numPr>
        <w:spacing w:before="120" w:line="240" w:lineRule="auto"/>
      </w:pPr>
      <w:r>
        <w:t xml:space="preserve">Project </w:t>
      </w:r>
      <w:r w:rsidR="007F699C">
        <w:t>manage</w:t>
      </w:r>
      <w:r>
        <w:t xml:space="preserve"> </w:t>
      </w:r>
      <w:r w:rsidR="007F699C">
        <w:t>a</w:t>
      </w:r>
      <w:r w:rsidR="006036C7">
        <w:t>n individual</w:t>
      </w:r>
      <w:r w:rsidR="007F699C">
        <w:t xml:space="preserve"> NABERS tool</w:t>
      </w:r>
      <w:r w:rsidR="00F32827" w:rsidRPr="00F32827">
        <w:t xml:space="preserve"> </w:t>
      </w:r>
      <w:r w:rsidR="00F32827">
        <w:t>to maintain</w:t>
      </w:r>
      <w:r w:rsidR="007F699C">
        <w:t xml:space="preserve"> its</w:t>
      </w:r>
      <w:r w:rsidR="00F32827">
        <w:t xml:space="preserve"> relevance in the market sector</w:t>
      </w:r>
      <w:r>
        <w:t xml:space="preserve">, </w:t>
      </w:r>
      <w:r w:rsidR="00001430">
        <w:t>including</w:t>
      </w:r>
      <w:r w:rsidR="00B52E68">
        <w:t xml:space="preserve"> reviewing and monitoring new technology and market trends,</w:t>
      </w:r>
      <w:r w:rsidR="00001430">
        <w:t xml:space="preserve"> </w:t>
      </w:r>
      <w:r w:rsidR="00B52E68">
        <w:t xml:space="preserve">conducting risk assessments, </w:t>
      </w:r>
      <w:r w:rsidR="00001430">
        <w:t>implementing mitigation measures</w:t>
      </w:r>
      <w:r w:rsidR="00B52E68">
        <w:t xml:space="preserve"> and developing</w:t>
      </w:r>
      <w:r>
        <w:t xml:space="preserve"> </w:t>
      </w:r>
      <w:r w:rsidR="00B52E68">
        <w:t>stakeholder engagement strategies.</w:t>
      </w:r>
    </w:p>
    <w:p w:rsidR="006036C7" w:rsidRDefault="006036C7" w:rsidP="003D4698">
      <w:pPr>
        <w:pStyle w:val="ListBullet"/>
        <w:numPr>
          <w:ilvl w:val="0"/>
          <w:numId w:val="33"/>
        </w:numPr>
        <w:spacing w:before="120" w:line="240" w:lineRule="auto"/>
      </w:pPr>
      <w:r>
        <w:t xml:space="preserve">Coordinate the development and implementation of projects to deliver outcomes which are successful and timely. </w:t>
      </w:r>
    </w:p>
    <w:p w:rsidR="003A390B" w:rsidRDefault="00954341" w:rsidP="00B52E68">
      <w:pPr>
        <w:pStyle w:val="ListBullet"/>
        <w:numPr>
          <w:ilvl w:val="0"/>
          <w:numId w:val="33"/>
        </w:numPr>
        <w:spacing w:before="120" w:line="240" w:lineRule="auto"/>
      </w:pPr>
      <w:r>
        <w:t>C</w:t>
      </w:r>
      <w:r w:rsidR="009B5D72">
        <w:t>onduct necessary research</w:t>
      </w:r>
      <w:r w:rsidR="00F32827">
        <w:t xml:space="preserve"> and </w:t>
      </w:r>
      <w:r w:rsidR="003D4698">
        <w:t>analysis</w:t>
      </w:r>
      <w:r w:rsidR="00C305B0">
        <w:t xml:space="preserve"> in sup</w:t>
      </w:r>
      <w:r w:rsidR="007F699C">
        <w:t>port of changes to the tools and seek approval from the National Steering Committee and the</w:t>
      </w:r>
      <w:r w:rsidR="00B52E68">
        <w:t xml:space="preserve"> Stakeholder Advisory Committee.</w:t>
      </w:r>
    </w:p>
    <w:p w:rsidR="004145AE" w:rsidRPr="00DC041B" w:rsidRDefault="00C06B8E" w:rsidP="007F699C">
      <w:pPr>
        <w:pStyle w:val="ListBullet"/>
        <w:numPr>
          <w:ilvl w:val="0"/>
          <w:numId w:val="33"/>
        </w:numPr>
        <w:spacing w:before="120" w:line="240" w:lineRule="auto"/>
      </w:pPr>
      <w:r>
        <w:t xml:space="preserve">Engage with external stakeholders, </w:t>
      </w:r>
      <w:r w:rsidR="00B52E68">
        <w:t>such as assessors and</w:t>
      </w:r>
      <w:r w:rsidR="007F699C">
        <w:t xml:space="preserve"> </w:t>
      </w:r>
      <w:r w:rsidR="00B52E68">
        <w:t xml:space="preserve">the </w:t>
      </w:r>
      <w:r w:rsidR="007F699C">
        <w:t>technical working group</w:t>
      </w:r>
      <w:r w:rsidR="00B52E68">
        <w:t xml:space="preserve">s, </w:t>
      </w:r>
      <w:r w:rsidR="00266EF3">
        <w:t xml:space="preserve">present technical information </w:t>
      </w:r>
      <w:r w:rsidR="00F00D00">
        <w:t>and canvas stakeholder feedback in a constructive and informative way.</w:t>
      </w:r>
    </w:p>
    <w:p w:rsidR="00EC2ACA" w:rsidRPr="00DC041B" w:rsidRDefault="00EC2ACA" w:rsidP="00A43673">
      <w:pPr>
        <w:pStyle w:val="ListBullet"/>
        <w:numPr>
          <w:ilvl w:val="0"/>
          <w:numId w:val="0"/>
        </w:numPr>
        <w:ind w:left="360"/>
      </w:pPr>
      <w:r w:rsidRPr="00DC041B">
        <w:t>.</w:t>
      </w:r>
    </w:p>
    <w:p w:rsidR="00057CB3" w:rsidRPr="00C978B9" w:rsidRDefault="00057CB3" w:rsidP="00057CB3">
      <w:pPr>
        <w:pStyle w:val="Heading1"/>
      </w:pPr>
      <w:r w:rsidRPr="00C978B9">
        <w:t>Key</w:t>
      </w:r>
      <w:r w:rsidR="00E31CD3" w:rsidRPr="00C978B9">
        <w:t xml:space="preserve"> </w:t>
      </w:r>
      <w:r w:rsidR="00043B92">
        <w:t>c</w:t>
      </w:r>
      <w:r w:rsidRPr="00C978B9">
        <w:t>hallenges</w:t>
      </w:r>
    </w:p>
    <w:p w:rsidR="000A32C1" w:rsidRDefault="00A43673" w:rsidP="000A32C1">
      <w:pPr>
        <w:pStyle w:val="ListBullet"/>
        <w:numPr>
          <w:ilvl w:val="0"/>
          <w:numId w:val="34"/>
        </w:numPr>
        <w:spacing w:before="120" w:line="240" w:lineRule="auto"/>
      </w:pPr>
      <w:bookmarkStart w:id="15" w:name="Challenges"/>
      <w:bookmarkEnd w:id="15"/>
      <w:r w:rsidRPr="00DC041B">
        <w:t>R</w:t>
      </w:r>
      <w:r w:rsidR="00933E9F">
        <w:t>esolving complex enquiries and providing</w:t>
      </w:r>
      <w:r w:rsidRPr="00DC041B">
        <w:t xml:space="preserve"> technical advice to external accredited NABERS assessors and other stakeholders in relation to NABERS policies and procedures, including guidance on the correct interpretation of rules.</w:t>
      </w:r>
    </w:p>
    <w:p w:rsidR="00A361D2" w:rsidRDefault="00933E9F" w:rsidP="00A361D2">
      <w:pPr>
        <w:pStyle w:val="ListBullet"/>
        <w:numPr>
          <w:ilvl w:val="0"/>
          <w:numId w:val="34"/>
        </w:numPr>
        <w:spacing w:before="120" w:line="240" w:lineRule="auto"/>
      </w:pPr>
      <w:r>
        <w:lastRenderedPageBreak/>
        <w:t>Translating and communicating</w:t>
      </w:r>
      <w:r w:rsidR="00A43673" w:rsidRPr="00DC041B">
        <w:t xml:space="preserve"> technical information to a range of audiences including stakeholders, web site programmers, management and NABERS Assessors/Auditors</w:t>
      </w:r>
      <w:r>
        <w:t>.</w:t>
      </w:r>
    </w:p>
    <w:p w:rsidR="00A361D2" w:rsidRDefault="00A361D2" w:rsidP="00A361D2">
      <w:pPr>
        <w:pStyle w:val="ListBullet"/>
        <w:numPr>
          <w:ilvl w:val="0"/>
          <w:numId w:val="34"/>
        </w:numPr>
        <w:spacing w:before="120" w:line="240" w:lineRule="auto"/>
      </w:pPr>
      <w:r w:rsidRPr="00A361D2">
        <w:t>Understanding the complexities of impacting issues in an operational context, developing and recommending innovative solutions and escalating issues when required.</w:t>
      </w:r>
    </w:p>
    <w:p w:rsidR="00BE11BF" w:rsidRPr="00A361D2" w:rsidRDefault="00BE11BF" w:rsidP="00BE11BF">
      <w:pPr>
        <w:pStyle w:val="ListBullet"/>
        <w:numPr>
          <w:ilvl w:val="0"/>
          <w:numId w:val="0"/>
        </w:numPr>
        <w:spacing w:before="120" w:line="240" w:lineRule="auto"/>
        <w:ind w:left="360"/>
      </w:pPr>
    </w:p>
    <w:p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978B9" w:rsidRDefault="00057CB3" w:rsidP="00803E47">
            <w:pPr>
              <w:pStyle w:val="TableTextWhite0"/>
            </w:pPr>
            <w:r w:rsidRPr="00C978B9">
              <w:t>Who</w:t>
            </w:r>
          </w:p>
        </w:tc>
        <w:tc>
          <w:tcPr>
            <w:tcW w:w="6946" w:type="dxa"/>
          </w:tcPr>
          <w:p w:rsidR="00057CB3" w:rsidRPr="00C978B9" w:rsidRDefault="00057CB3" w:rsidP="00803E47">
            <w:pPr>
              <w:pStyle w:val="TableTextWhite0"/>
            </w:pPr>
            <w:r w:rsidRPr="00C978B9">
              <w:t>Why</w:t>
            </w:r>
          </w:p>
        </w:tc>
      </w:tr>
      <w:tr w:rsidR="0002436B" w:rsidRPr="00A8245E" w:rsidTr="00014E98">
        <w:trPr>
          <w:cantSplit/>
        </w:trPr>
        <w:tc>
          <w:tcPr>
            <w:tcW w:w="3601"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bookmarkStart w:id="16" w:name="InternalRelationships"/>
            <w:r w:rsidRPr="00A8245E">
              <w:rPr>
                <w:b/>
              </w:rPr>
              <w:t>Internal</w:t>
            </w:r>
          </w:p>
        </w:tc>
        <w:tc>
          <w:tcPr>
            <w:tcW w:w="694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p>
        </w:tc>
      </w:tr>
      <w:tr w:rsidR="0002436B" w:rsidRPr="00C978B9" w:rsidTr="00014E98">
        <w:tc>
          <w:tcPr>
            <w:tcW w:w="3601" w:type="dxa"/>
            <w:tcBorders>
              <w:top w:val="single" w:sz="8" w:space="0" w:color="auto"/>
              <w:bottom w:val="single" w:sz="8" w:space="0" w:color="BCBEC0"/>
            </w:tcBorders>
          </w:tcPr>
          <w:p w:rsidR="0002436B" w:rsidRPr="00A15CDB" w:rsidRDefault="00933E9F" w:rsidP="00A15CDB">
            <w:pPr>
              <w:pStyle w:val="TableText"/>
            </w:pPr>
            <w:bookmarkStart w:id="17" w:name="Start"/>
            <w:bookmarkEnd w:id="17"/>
            <w:r>
              <w:t>M</w:t>
            </w:r>
            <w:r w:rsidR="00C27FE2">
              <w:t xml:space="preserve">anager </w:t>
            </w:r>
          </w:p>
        </w:tc>
        <w:tc>
          <w:tcPr>
            <w:tcW w:w="6946" w:type="dxa"/>
            <w:tcBorders>
              <w:top w:val="single" w:sz="8" w:space="0" w:color="auto"/>
              <w:bottom w:val="single" w:sz="8" w:space="0" w:color="BCBEC0"/>
            </w:tcBorders>
          </w:tcPr>
          <w:p w:rsidR="0002436B" w:rsidRPr="00A15CDB" w:rsidRDefault="00C27FE2" w:rsidP="00A15CDB">
            <w:pPr>
              <w:pStyle w:val="TableText"/>
            </w:pPr>
            <w:r>
              <w:t>Receives guidance, provides advice and exchanges information</w:t>
            </w:r>
          </w:p>
        </w:tc>
      </w:tr>
      <w:tr w:rsidR="0002436B" w:rsidRPr="00C978B9" w:rsidTr="00B1410C">
        <w:tc>
          <w:tcPr>
            <w:tcW w:w="3601" w:type="dxa"/>
            <w:tcBorders>
              <w:top w:val="single" w:sz="8" w:space="0" w:color="BCBEC0"/>
              <w:bottom w:val="single" w:sz="8" w:space="0" w:color="auto"/>
            </w:tcBorders>
          </w:tcPr>
          <w:p w:rsidR="0002436B" w:rsidRPr="00A15CDB" w:rsidRDefault="00C27FE2" w:rsidP="00A15CDB">
            <w:pPr>
              <w:pStyle w:val="TableText"/>
            </w:pPr>
            <w:r>
              <w:t>Internal Stakeholders</w:t>
            </w:r>
          </w:p>
        </w:tc>
        <w:tc>
          <w:tcPr>
            <w:tcW w:w="6946" w:type="dxa"/>
            <w:tcBorders>
              <w:top w:val="single" w:sz="8" w:space="0" w:color="BCBEC0"/>
              <w:bottom w:val="single" w:sz="8" w:space="0" w:color="auto"/>
            </w:tcBorders>
          </w:tcPr>
          <w:p w:rsidR="0002436B" w:rsidRPr="00A15CDB" w:rsidRDefault="00933E9F" w:rsidP="00A15CDB">
            <w:pPr>
              <w:pStyle w:val="TableText"/>
            </w:pPr>
            <w:r w:rsidRPr="0085710C">
              <w:rPr>
                <w:rFonts w:cs="Arial"/>
              </w:rPr>
              <w:t>Exchanges information and liaises with officers from a wide range of government and non-government organisations</w:t>
            </w:r>
          </w:p>
        </w:tc>
      </w:tr>
      <w:tr w:rsidR="0002436B" w:rsidRPr="00A8245E" w:rsidTr="00B1410C">
        <w:tc>
          <w:tcPr>
            <w:tcW w:w="3601" w:type="dxa"/>
            <w:tcBorders>
              <w:top w:val="single" w:sz="8" w:space="0" w:color="auto"/>
              <w:bottom w:val="single" w:sz="8" w:space="0" w:color="auto"/>
            </w:tcBorders>
            <w:shd w:val="clear" w:color="auto" w:fill="BCBEC0"/>
          </w:tcPr>
          <w:p w:rsidR="0002436B" w:rsidRPr="00A8245E" w:rsidRDefault="0002436B" w:rsidP="0002436B">
            <w:pPr>
              <w:pStyle w:val="TableText"/>
              <w:rPr>
                <w:b/>
              </w:rPr>
            </w:pPr>
            <w:bookmarkStart w:id="18" w:name="ExternalRelationships"/>
            <w:bookmarkEnd w:id="16"/>
            <w:r w:rsidRPr="00A8245E">
              <w:rPr>
                <w:b/>
              </w:rPr>
              <w:t>External</w:t>
            </w:r>
          </w:p>
        </w:tc>
        <w:tc>
          <w:tcPr>
            <w:tcW w:w="6946" w:type="dxa"/>
            <w:tcBorders>
              <w:top w:val="single" w:sz="8" w:space="0" w:color="auto"/>
              <w:bottom w:val="single" w:sz="8" w:space="0" w:color="auto"/>
            </w:tcBorders>
            <w:shd w:val="clear" w:color="auto" w:fill="BCBEC0"/>
          </w:tcPr>
          <w:p w:rsidR="0002436B" w:rsidRPr="00A8245E" w:rsidRDefault="0002436B" w:rsidP="00A15CDB">
            <w:pPr>
              <w:pStyle w:val="TableText"/>
              <w:rPr>
                <w:b/>
              </w:rPr>
            </w:pPr>
          </w:p>
        </w:tc>
      </w:tr>
      <w:tr w:rsidR="0002436B" w:rsidRPr="00C978B9" w:rsidTr="006036C7">
        <w:tc>
          <w:tcPr>
            <w:tcW w:w="3601" w:type="dxa"/>
            <w:tcBorders>
              <w:top w:val="single" w:sz="8" w:space="0" w:color="auto"/>
              <w:bottom w:val="single" w:sz="8" w:space="0" w:color="auto"/>
            </w:tcBorders>
          </w:tcPr>
          <w:p w:rsidR="0002436B" w:rsidRPr="00A15CDB" w:rsidRDefault="00C27FE2" w:rsidP="00A15CDB">
            <w:pPr>
              <w:pStyle w:val="TableText"/>
            </w:pPr>
            <w:r>
              <w:t>Stakeholders</w:t>
            </w:r>
          </w:p>
        </w:tc>
        <w:tc>
          <w:tcPr>
            <w:tcW w:w="6946" w:type="dxa"/>
            <w:tcBorders>
              <w:top w:val="single" w:sz="8" w:space="0" w:color="auto"/>
              <w:bottom w:val="single" w:sz="8" w:space="0" w:color="auto"/>
            </w:tcBorders>
          </w:tcPr>
          <w:p w:rsidR="00EC2ACA" w:rsidRPr="00C27FE2" w:rsidRDefault="00EC2ACA" w:rsidP="002A4DAB">
            <w:pPr>
              <w:pStyle w:val="ListBullet"/>
              <w:numPr>
                <w:ilvl w:val="0"/>
                <w:numId w:val="0"/>
              </w:numPr>
              <w:spacing w:before="120" w:line="240" w:lineRule="auto"/>
              <w:rPr>
                <w:sz w:val="20"/>
              </w:rPr>
            </w:pPr>
            <w:r w:rsidRPr="00C27FE2">
              <w:rPr>
                <w:sz w:val="20"/>
              </w:rPr>
              <w:t>Establish</w:t>
            </w:r>
            <w:r w:rsidR="00C27FE2">
              <w:rPr>
                <w:sz w:val="20"/>
              </w:rPr>
              <w:t>es</w:t>
            </w:r>
            <w:r w:rsidRPr="00C27FE2">
              <w:rPr>
                <w:sz w:val="20"/>
              </w:rPr>
              <w:t xml:space="preserve"> and maintain cooperative and productive working relationships with key internal and external contacts to ensure that work undertaken is consistent with the needs and directions of OEH and the community</w:t>
            </w:r>
          </w:p>
          <w:p w:rsidR="0002436B" w:rsidRPr="00A15CDB" w:rsidRDefault="00EC2ACA" w:rsidP="002A4DAB">
            <w:pPr>
              <w:pStyle w:val="ListBullet"/>
              <w:numPr>
                <w:ilvl w:val="0"/>
                <w:numId w:val="0"/>
              </w:numPr>
              <w:spacing w:before="120" w:line="240" w:lineRule="auto"/>
            </w:pPr>
            <w:r w:rsidRPr="00C27FE2">
              <w:rPr>
                <w:sz w:val="20"/>
              </w:rPr>
              <w:t>Communicate</w:t>
            </w:r>
            <w:r w:rsidR="00C27FE2">
              <w:rPr>
                <w:sz w:val="20"/>
              </w:rPr>
              <w:t>s</w:t>
            </w:r>
            <w:r w:rsidRPr="00C27FE2">
              <w:rPr>
                <w:sz w:val="20"/>
              </w:rPr>
              <w:t xml:space="preserve"> within and between program areas ensuring that external communication channels are appropriate, efficient and effective</w:t>
            </w:r>
            <w:r w:rsidRPr="00DC041B">
              <w:t>.</w:t>
            </w:r>
          </w:p>
        </w:tc>
      </w:tr>
      <w:tr w:rsidR="0034513E" w:rsidRPr="00C978B9" w:rsidTr="00B1410C">
        <w:tc>
          <w:tcPr>
            <w:tcW w:w="3601" w:type="dxa"/>
            <w:tcBorders>
              <w:top w:val="single" w:sz="8" w:space="0" w:color="auto"/>
            </w:tcBorders>
          </w:tcPr>
          <w:p w:rsidR="0034513E" w:rsidRPr="00154B46" w:rsidRDefault="0034513E" w:rsidP="006036C7">
            <w:pPr>
              <w:pStyle w:val="Default"/>
            </w:pPr>
            <w:r>
              <w:rPr>
                <w:sz w:val="20"/>
                <w:szCs w:val="20"/>
              </w:rPr>
              <w:t xml:space="preserve">Customer/clients </w:t>
            </w:r>
          </w:p>
        </w:tc>
        <w:tc>
          <w:tcPr>
            <w:tcW w:w="6946" w:type="dxa"/>
            <w:tcBorders>
              <w:top w:val="single" w:sz="8" w:space="0" w:color="auto"/>
            </w:tcBorders>
          </w:tcPr>
          <w:p w:rsidR="0034513E" w:rsidRPr="006036C7" w:rsidRDefault="004C6CF5" w:rsidP="006036C7">
            <w:pPr>
              <w:pStyle w:val="Default"/>
              <w:rPr>
                <w:szCs w:val="22"/>
              </w:rPr>
            </w:pPr>
            <w:r>
              <w:rPr>
                <w:sz w:val="20"/>
                <w:szCs w:val="20"/>
              </w:rPr>
              <w:t>Address queries, and maintain and develop</w:t>
            </w:r>
            <w:r w:rsidR="0034513E" w:rsidRPr="006036C7">
              <w:rPr>
                <w:sz w:val="20"/>
                <w:szCs w:val="20"/>
              </w:rPr>
              <w:t xml:space="preserve"> </w:t>
            </w:r>
            <w:r w:rsidRPr="006036C7">
              <w:rPr>
                <w:sz w:val="20"/>
                <w:szCs w:val="20"/>
              </w:rPr>
              <w:t>relationships</w:t>
            </w:r>
          </w:p>
        </w:tc>
      </w:tr>
    </w:tbl>
    <w:bookmarkEnd w:id="18"/>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933E9F" w:rsidRPr="00C27FE2" w:rsidRDefault="00933E9F" w:rsidP="00C27FE2">
      <w:pPr>
        <w:spacing w:after="0" w:line="240" w:lineRule="auto"/>
        <w:jc w:val="both"/>
        <w:rPr>
          <w:rFonts w:asciiTheme="minorHAnsi" w:hAnsiTheme="minorHAnsi" w:cstheme="minorHAnsi"/>
          <w:szCs w:val="22"/>
          <w:lang w:eastAsia="en-AU"/>
        </w:rPr>
      </w:pPr>
      <w:bookmarkStart w:id="19" w:name="DecisionMaking"/>
      <w:bookmarkEnd w:id="19"/>
      <w:r w:rsidRPr="00933E9F">
        <w:rPr>
          <w:rFonts w:asciiTheme="minorHAnsi" w:hAnsiTheme="minorHAnsi" w:cstheme="minorHAnsi"/>
          <w:szCs w:val="22"/>
          <w:lang w:eastAsia="en-AU"/>
        </w:rPr>
        <w:t>The Technical Officer NABERS generally sets priorities within the parameters and direction of the work program agreed with the manager</w:t>
      </w:r>
      <w:r>
        <w:rPr>
          <w:rFonts w:asciiTheme="minorHAnsi" w:hAnsiTheme="minorHAnsi" w:cstheme="minorHAnsi"/>
          <w:szCs w:val="22"/>
          <w:lang w:eastAsia="en-AU"/>
        </w:rPr>
        <w:t>,</w:t>
      </w:r>
      <w:r w:rsidRPr="00933E9F">
        <w:rPr>
          <w:rFonts w:asciiTheme="minorHAnsi" w:hAnsiTheme="minorHAnsi" w:cstheme="minorHAnsi"/>
          <w:szCs w:val="22"/>
          <w:lang w:eastAsia="en-AU"/>
        </w:rPr>
        <w:t xml:space="preserve"> and maintains some independence developing a suitable approach in managing </w:t>
      </w:r>
      <w:r w:rsidR="006B5610">
        <w:rPr>
          <w:rFonts w:asciiTheme="minorHAnsi" w:hAnsiTheme="minorHAnsi" w:cstheme="minorHAnsi"/>
          <w:szCs w:val="22"/>
          <w:lang w:eastAsia="en-AU"/>
        </w:rPr>
        <w:t xml:space="preserve">the </w:t>
      </w:r>
      <w:r w:rsidRPr="00933E9F">
        <w:rPr>
          <w:rFonts w:asciiTheme="minorHAnsi" w:hAnsiTheme="minorHAnsi" w:cstheme="minorHAnsi"/>
          <w:szCs w:val="22"/>
          <w:lang w:eastAsia="en-AU"/>
        </w:rPr>
        <w:t xml:space="preserve">allocated </w:t>
      </w:r>
      <w:r w:rsidR="006B5610">
        <w:rPr>
          <w:rFonts w:asciiTheme="minorHAnsi" w:hAnsiTheme="minorHAnsi" w:cstheme="minorHAnsi"/>
          <w:szCs w:val="22"/>
          <w:lang w:eastAsia="en-AU"/>
        </w:rPr>
        <w:t xml:space="preserve">NABERS tool and </w:t>
      </w:r>
      <w:r w:rsidRPr="00933E9F">
        <w:rPr>
          <w:rFonts w:asciiTheme="minorHAnsi" w:hAnsiTheme="minorHAnsi" w:cstheme="minorHAnsi"/>
          <w:szCs w:val="22"/>
          <w:lang w:eastAsia="en-AU"/>
        </w:rPr>
        <w:t>projects. The position p</w:t>
      </w:r>
      <w:r w:rsidR="00EC2ACA" w:rsidRPr="00933E9F">
        <w:rPr>
          <w:rFonts w:asciiTheme="minorHAnsi" w:hAnsiTheme="minorHAnsi" w:cstheme="minorHAnsi"/>
          <w:szCs w:val="22"/>
        </w:rPr>
        <w:t>rovide</w:t>
      </w:r>
      <w:r w:rsidR="00C000DB">
        <w:rPr>
          <w:rFonts w:asciiTheme="minorHAnsi" w:hAnsiTheme="minorHAnsi" w:cstheme="minorHAnsi"/>
          <w:szCs w:val="22"/>
        </w:rPr>
        <w:t>s</w:t>
      </w:r>
      <w:r w:rsidR="00EC2ACA" w:rsidRPr="00933E9F">
        <w:rPr>
          <w:rFonts w:asciiTheme="minorHAnsi" w:hAnsiTheme="minorHAnsi" w:cstheme="minorHAnsi"/>
          <w:szCs w:val="22"/>
        </w:rPr>
        <w:t xml:space="preserve"> technical expertise and input to projects and programs undertaken across the Commercial Unit including </w:t>
      </w:r>
      <w:r w:rsidR="006A06D9">
        <w:rPr>
          <w:rFonts w:asciiTheme="minorHAnsi" w:hAnsiTheme="minorHAnsi" w:cstheme="minorHAnsi"/>
          <w:szCs w:val="22"/>
        </w:rPr>
        <w:t xml:space="preserve">development of </w:t>
      </w:r>
      <w:r w:rsidR="00EC2ACA" w:rsidRPr="00933E9F">
        <w:rPr>
          <w:rFonts w:asciiTheme="minorHAnsi" w:hAnsiTheme="minorHAnsi" w:cstheme="minorHAnsi"/>
          <w:szCs w:val="22"/>
        </w:rPr>
        <w:t xml:space="preserve"> technical rulings, reports</w:t>
      </w:r>
      <w:r w:rsidR="00D570E5">
        <w:rPr>
          <w:rFonts w:asciiTheme="minorHAnsi" w:hAnsiTheme="minorHAnsi" w:cstheme="minorHAnsi"/>
          <w:szCs w:val="22"/>
        </w:rPr>
        <w:t>;</w:t>
      </w:r>
      <w:r w:rsidRPr="00933E9F">
        <w:rPr>
          <w:rFonts w:asciiTheme="minorHAnsi" w:hAnsiTheme="minorHAnsi" w:cstheme="minorHAnsi"/>
          <w:szCs w:val="22"/>
        </w:rPr>
        <w:t xml:space="preserve"> </w:t>
      </w:r>
      <w:r w:rsidRPr="00933E9F">
        <w:rPr>
          <w:rFonts w:asciiTheme="minorHAnsi" w:hAnsiTheme="minorHAnsi" w:cstheme="minorHAnsi"/>
          <w:szCs w:val="22"/>
          <w:lang w:eastAsia="en-AU"/>
        </w:rPr>
        <w:t>c</w:t>
      </w:r>
      <w:r w:rsidR="00EC2ACA" w:rsidRPr="00933E9F">
        <w:rPr>
          <w:rFonts w:asciiTheme="minorHAnsi" w:hAnsiTheme="minorHAnsi" w:cstheme="minorHAnsi"/>
          <w:szCs w:val="22"/>
        </w:rPr>
        <w:t>ontribute to awareness and discussion of current and emerging sustainable building practices to support decision making and the continued improvement of OEH programs, systems and services</w:t>
      </w:r>
      <w:r w:rsidR="00D570E5">
        <w:rPr>
          <w:rFonts w:asciiTheme="minorHAnsi" w:hAnsiTheme="minorHAnsi" w:cstheme="minorHAnsi"/>
          <w:szCs w:val="22"/>
        </w:rPr>
        <w:t>; and contributing to training materials for the allocated NABERS tool.</w:t>
      </w:r>
    </w:p>
    <w:p w:rsidR="005D3F49" w:rsidRDefault="005D3F49" w:rsidP="001D133A">
      <w:pPr>
        <w:pStyle w:val="Heading2"/>
      </w:pPr>
    </w:p>
    <w:p w:rsidR="001D133A" w:rsidRDefault="001D133A" w:rsidP="001D133A">
      <w:pPr>
        <w:pStyle w:val="Heading2"/>
      </w:pPr>
      <w:r w:rsidRPr="00C978B9">
        <w:t>Reporting line</w:t>
      </w:r>
    </w:p>
    <w:p w:rsidR="001D133A" w:rsidRPr="00C978B9" w:rsidRDefault="00F956D1" w:rsidP="001D133A">
      <w:bookmarkStart w:id="20" w:name="ReportingLine"/>
      <w:bookmarkEnd w:id="20"/>
      <w:r>
        <w:t xml:space="preserve">Reports to </w:t>
      </w:r>
      <w:r w:rsidR="00FD4CA8">
        <w:t xml:space="preserve">the NABERS </w:t>
      </w:r>
      <w:r>
        <w:t>Technical Team Leader</w:t>
      </w:r>
    </w:p>
    <w:p w:rsidR="001D133A" w:rsidRDefault="001D133A" w:rsidP="001D133A">
      <w:pPr>
        <w:pStyle w:val="Heading2"/>
      </w:pPr>
      <w:r w:rsidRPr="00C978B9">
        <w:t>Direct reports</w:t>
      </w:r>
    </w:p>
    <w:p w:rsidR="001E7CC7" w:rsidRPr="00C978B9" w:rsidRDefault="00F956D1" w:rsidP="001E7CC7">
      <w:bookmarkStart w:id="21" w:name="DirectReports"/>
      <w:bookmarkEnd w:id="21"/>
      <w:r>
        <w:t>Nil</w:t>
      </w:r>
    </w:p>
    <w:p w:rsidR="001D133A" w:rsidRDefault="001D133A" w:rsidP="001D133A">
      <w:pPr>
        <w:pStyle w:val="Heading2"/>
      </w:pPr>
      <w:r w:rsidRPr="00C978B9">
        <w:t>Budget/Expenditure</w:t>
      </w:r>
    </w:p>
    <w:p w:rsidR="001E7CC7" w:rsidRPr="00C978B9" w:rsidRDefault="00F956D1" w:rsidP="001E7CC7">
      <w:bookmarkStart w:id="22" w:name="Budget"/>
      <w:bookmarkEnd w:id="22"/>
      <w:r>
        <w:t>Nil</w:t>
      </w:r>
    </w:p>
    <w:p w:rsidR="001D133A" w:rsidRDefault="001D133A" w:rsidP="001D133A">
      <w:pPr>
        <w:pStyle w:val="Heading1"/>
      </w:pPr>
      <w:r w:rsidRPr="00C978B9">
        <w:t>Essential requir</w:t>
      </w:r>
      <w:r w:rsidR="00E31CD3" w:rsidRPr="00C978B9">
        <w:t>e</w:t>
      </w:r>
      <w:r w:rsidRPr="00C978B9">
        <w:t>ments</w:t>
      </w:r>
    </w:p>
    <w:p w:rsidR="00C27FE2" w:rsidRPr="00C27FE2" w:rsidRDefault="00C27FE2" w:rsidP="002A4DAB">
      <w:pPr>
        <w:numPr>
          <w:ilvl w:val="0"/>
          <w:numId w:val="3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rPr>
          <w:rFonts w:cs="Arial"/>
          <w:szCs w:val="22"/>
          <w:lang w:eastAsia="en-AU"/>
        </w:rPr>
      </w:pPr>
      <w:bookmarkStart w:id="23" w:name="EssentialReqs"/>
      <w:bookmarkEnd w:id="23"/>
      <w:r w:rsidRPr="00C27FE2">
        <w:rPr>
          <w:rFonts w:cs="Arial"/>
          <w:szCs w:val="22"/>
          <w:lang w:eastAsia="en-AU"/>
        </w:rPr>
        <w:t xml:space="preserve">Understanding of the workings of government with </w:t>
      </w:r>
      <w:r w:rsidRPr="00C27FE2">
        <w:rPr>
          <w:rFonts w:cs="Arial"/>
          <w:spacing w:val="-3"/>
          <w:szCs w:val="22"/>
          <w:lang w:eastAsia="en-AU"/>
        </w:rPr>
        <w:t>exposure to the complexities of the environmental debate, in particular, ecologically sustainable building development principles.</w:t>
      </w:r>
    </w:p>
    <w:p w:rsidR="00C27FE2" w:rsidRPr="00C27FE2" w:rsidRDefault="00C27FE2" w:rsidP="002A4DAB">
      <w:pPr>
        <w:numPr>
          <w:ilvl w:val="0"/>
          <w:numId w:val="3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rPr>
          <w:rFonts w:cs="Arial"/>
          <w:szCs w:val="22"/>
          <w:lang w:eastAsia="en-AU"/>
        </w:rPr>
      </w:pPr>
      <w:r w:rsidRPr="00C27FE2">
        <w:rPr>
          <w:rFonts w:cs="Arial"/>
          <w:szCs w:val="22"/>
          <w:lang w:eastAsia="en-AU"/>
        </w:rPr>
        <w:t>Knowledge of relevant environmental legislation, especially the NABERS programs</w:t>
      </w:r>
      <w:r w:rsidRPr="00C27FE2">
        <w:rPr>
          <w:rFonts w:cs="Arial"/>
          <w:szCs w:val="22"/>
        </w:rPr>
        <w:t xml:space="preserve"> and experience</w:t>
      </w:r>
      <w:r w:rsidRPr="00C27FE2">
        <w:rPr>
          <w:rFonts w:cs="Arial"/>
          <w:szCs w:val="22"/>
          <w:lang w:eastAsia="en-AU"/>
        </w:rPr>
        <w:t xml:space="preserve"> in applying e</w:t>
      </w:r>
      <w:r w:rsidRPr="00C27FE2">
        <w:rPr>
          <w:rFonts w:cs="Arial"/>
          <w:spacing w:val="-3"/>
          <w:szCs w:val="22"/>
          <w:lang w:eastAsia="en-AU"/>
        </w:rPr>
        <w:t xml:space="preserve">nvironmental protection principles and practices to the built environment. </w:t>
      </w:r>
    </w:p>
    <w:p w:rsidR="002512D7" w:rsidRPr="002512D7" w:rsidRDefault="00C27FE2" w:rsidP="002512D7">
      <w:pPr>
        <w:numPr>
          <w:ilvl w:val="0"/>
          <w:numId w:val="3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rPr>
          <w:rFonts w:cs="Arial"/>
          <w:szCs w:val="22"/>
          <w:lang w:eastAsia="en-AU"/>
        </w:rPr>
      </w:pPr>
      <w:r w:rsidRPr="00C27FE2">
        <w:rPr>
          <w:rFonts w:cs="Arial"/>
          <w:szCs w:val="22"/>
          <w:lang w:eastAsia="en-AU"/>
        </w:rPr>
        <w:t>Demonstrated knowledge of technical issues related to sustainable practices in the built environment with demonstrated ability to critically review and advise on technical documentation</w:t>
      </w:r>
      <w:r w:rsidR="00A20E02">
        <w:rPr>
          <w:rFonts w:cs="Arial"/>
          <w:szCs w:val="22"/>
          <w:lang w:eastAsia="en-AU"/>
        </w:rPr>
        <w:t>.</w:t>
      </w:r>
    </w:p>
    <w:p w:rsidR="00A20E02" w:rsidRPr="00C27FE2" w:rsidRDefault="002512D7" w:rsidP="002A4DAB">
      <w:pPr>
        <w:numPr>
          <w:ilvl w:val="0"/>
          <w:numId w:val="3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rPr>
          <w:rFonts w:cs="Arial"/>
          <w:szCs w:val="22"/>
          <w:lang w:eastAsia="en-AU"/>
        </w:rPr>
      </w:pPr>
      <w:r w:rsidRPr="002512D7">
        <w:rPr>
          <w:rFonts w:cs="Arial"/>
          <w:szCs w:val="22"/>
          <w:lang w:eastAsia="en-AU"/>
        </w:rPr>
        <w:lastRenderedPageBreak/>
        <w:t>Proven project management skills including the demonstrated ability to deliver agreed outcomes, and demonstrated time management</w:t>
      </w:r>
      <w:r>
        <w:rPr>
          <w:szCs w:val="22"/>
        </w:rPr>
        <w:t xml:space="preserve"> and organisational skills, with proven ability to prioritise competing demands.</w:t>
      </w:r>
    </w:p>
    <w:p w:rsidR="001D133A" w:rsidRPr="00C978B9" w:rsidRDefault="001D133A" w:rsidP="001D133A">
      <w:pPr>
        <w:pStyle w:val="Heading1"/>
      </w:pPr>
      <w:r w:rsidRPr="00C978B9">
        <w:t>Capabilities for the role</w:t>
      </w:r>
    </w:p>
    <w:p w:rsidR="00566E7B" w:rsidRDefault="00566E7B" w:rsidP="00566E7B">
      <w:r>
        <w:t>The NSW Public Sector Capability Framework applies to all NSW public sector employees. The Capability Framework is available at</w:t>
      </w:r>
      <w:r w:rsidRPr="002A4DAB">
        <w:rPr>
          <w:sz w:val="24"/>
        </w:rPr>
        <w:t xml:space="preserve"> </w:t>
      </w:r>
      <w:hyperlink r:id="rId8" w:history="1">
        <w:r w:rsidRPr="002A4DAB">
          <w:rPr>
            <w:rStyle w:val="Hyperlink"/>
            <w:sz w:val="22"/>
          </w:rPr>
          <w:t>www.psc.nsw.gov.au/capabilityframework</w:t>
        </w:r>
      </w:hyperlink>
      <w:r w:rsidR="002A4DAB" w:rsidRPr="002A4DAB">
        <w:rPr>
          <w:rStyle w:val="Hyperlink"/>
          <w:sz w:val="22"/>
        </w:rPr>
        <w:t>.</w:t>
      </w:r>
    </w:p>
    <w:p w:rsidR="001D133A" w:rsidRPr="00C978B9" w:rsidRDefault="001D133A" w:rsidP="001D133A">
      <w:pPr>
        <w:pStyle w:val="Heading2"/>
      </w:pPr>
      <w:r w:rsidRPr="00C978B9">
        <w:t xml:space="preserve">Capability </w:t>
      </w:r>
      <w:r w:rsidR="00043B92">
        <w:t>s</w:t>
      </w:r>
      <w:r w:rsidRPr="00C978B9">
        <w:t>ummary</w:t>
      </w:r>
    </w:p>
    <w:p w:rsidR="00E31CD3" w:rsidRPr="00C978B9" w:rsidRDefault="00A82CC7" w:rsidP="00A82CC7">
      <w:r w:rsidRPr="00C978B9">
        <w:t>Below is the full list of capabilities and the level required for this role. The cap</w:t>
      </w:r>
      <w:r w:rsidR="00F428FF">
        <w:t xml:space="preserve">abilities in bold are the focus </w:t>
      </w:r>
      <w:r w:rsidRPr="00C978B9">
        <w:t>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78"/>
        <w:gridCol w:w="4815"/>
        <w:gridCol w:w="3495"/>
      </w:tblGrid>
      <w:tr w:rsidR="001D133A" w:rsidRPr="00C978B9" w:rsidTr="001E7CC7">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1E7CC7">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1E7CC7">
        <w:tc>
          <w:tcPr>
            <w:tcW w:w="2184" w:type="dxa"/>
            <w:vMerge w:val="restart"/>
            <w:tcBorders>
              <w:top w:val="single" w:sz="8" w:space="0" w:color="BCBEC0"/>
            </w:tcBorders>
          </w:tcPr>
          <w:p w:rsidR="001D133A" w:rsidRPr="00C978B9" w:rsidRDefault="001D133A" w:rsidP="003A5831">
            <w:pPr>
              <w:keepNext/>
            </w:pPr>
            <w:bookmarkStart w:id="24" w:name="Resilience" w:colFirst="1" w:colLast="2"/>
            <w:r w:rsidRPr="00C978B9">
              <w:rPr>
                <w:noProof/>
                <w:lang w:eastAsia="en-AU"/>
              </w:rPr>
              <w:drawing>
                <wp:inline distT="0" distB="0" distL="0" distR="0" wp14:anchorId="6FD27106" wp14:editId="7746E4B1">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C27FE2" w:rsidRDefault="001D133A" w:rsidP="003A5831">
            <w:pPr>
              <w:pStyle w:val="TableText"/>
              <w:keepNext/>
              <w:rPr>
                <w:b/>
                <w:sz w:val="24"/>
                <w:szCs w:val="24"/>
              </w:rPr>
            </w:pPr>
            <w:r w:rsidRPr="00C27FE2">
              <w:rPr>
                <w:b/>
              </w:rPr>
              <w:t>Display Resilience and Courage</w:t>
            </w:r>
          </w:p>
        </w:tc>
        <w:tc>
          <w:tcPr>
            <w:tcW w:w="3515" w:type="dxa"/>
            <w:tcBorders>
              <w:top w:val="single" w:sz="8" w:space="0" w:color="BCBEC0"/>
            </w:tcBorders>
          </w:tcPr>
          <w:p w:rsidR="001D133A" w:rsidRPr="00C27FE2" w:rsidRDefault="00C27FE2" w:rsidP="003A5831">
            <w:pPr>
              <w:pStyle w:val="TableText"/>
              <w:keepNext/>
              <w:rPr>
                <w:b/>
              </w:rPr>
            </w:pPr>
            <w:bookmarkStart w:id="25" w:name="Resilience_Level"/>
            <w:bookmarkEnd w:id="25"/>
            <w:r w:rsidRPr="00C27FE2">
              <w:rPr>
                <w:b/>
              </w:rPr>
              <w:t>Intermediate</w:t>
            </w:r>
          </w:p>
        </w:tc>
      </w:tr>
      <w:tr w:rsidR="001D133A" w:rsidRPr="00C978B9" w:rsidTr="001E7CC7">
        <w:tc>
          <w:tcPr>
            <w:tcW w:w="2184" w:type="dxa"/>
            <w:vMerge/>
          </w:tcPr>
          <w:p w:rsidR="001D133A" w:rsidRPr="00C978B9" w:rsidRDefault="001D133A" w:rsidP="003A5831">
            <w:pPr>
              <w:keepNext/>
            </w:pPr>
            <w:bookmarkStart w:id="26" w:name="Integrity" w:colFirst="1" w:colLast="2"/>
            <w:bookmarkEnd w:id="24"/>
          </w:p>
        </w:tc>
        <w:tc>
          <w:tcPr>
            <w:tcW w:w="4846" w:type="dxa"/>
          </w:tcPr>
          <w:p w:rsidR="001D133A" w:rsidRPr="00C978B9" w:rsidRDefault="001D133A" w:rsidP="003A5831">
            <w:pPr>
              <w:pStyle w:val="TableText"/>
              <w:keepNext/>
              <w:rPr>
                <w:sz w:val="24"/>
                <w:szCs w:val="24"/>
              </w:rPr>
            </w:pPr>
            <w:r w:rsidRPr="00C978B9">
              <w:t>Act with Integrity</w:t>
            </w:r>
          </w:p>
        </w:tc>
        <w:tc>
          <w:tcPr>
            <w:tcW w:w="3515" w:type="dxa"/>
          </w:tcPr>
          <w:p w:rsidR="001D133A" w:rsidRPr="00A15CDB" w:rsidRDefault="00C27FE2" w:rsidP="003A5831">
            <w:pPr>
              <w:pStyle w:val="TableText"/>
              <w:keepNext/>
            </w:pPr>
            <w:bookmarkStart w:id="27" w:name="Integrity_Level"/>
            <w:bookmarkEnd w:id="27"/>
            <w:r>
              <w:t>Intermediate</w:t>
            </w:r>
          </w:p>
        </w:tc>
      </w:tr>
      <w:tr w:rsidR="001D133A" w:rsidRPr="00C978B9" w:rsidTr="001E7CC7">
        <w:tc>
          <w:tcPr>
            <w:tcW w:w="2184" w:type="dxa"/>
            <w:vMerge/>
          </w:tcPr>
          <w:p w:rsidR="001D133A" w:rsidRPr="00C978B9" w:rsidRDefault="001D133A" w:rsidP="003A5831">
            <w:pPr>
              <w:keepNext/>
            </w:pPr>
            <w:bookmarkStart w:id="28" w:name="Self" w:colFirst="1" w:colLast="2"/>
            <w:bookmarkEnd w:id="26"/>
          </w:p>
        </w:tc>
        <w:tc>
          <w:tcPr>
            <w:tcW w:w="4846" w:type="dxa"/>
          </w:tcPr>
          <w:p w:rsidR="001D133A" w:rsidRPr="00C978B9" w:rsidRDefault="001D133A" w:rsidP="003A5831">
            <w:pPr>
              <w:pStyle w:val="TableText"/>
              <w:keepNext/>
              <w:rPr>
                <w:sz w:val="24"/>
                <w:szCs w:val="24"/>
              </w:rPr>
            </w:pPr>
            <w:r w:rsidRPr="00C978B9">
              <w:t>Manage Self</w:t>
            </w:r>
          </w:p>
        </w:tc>
        <w:tc>
          <w:tcPr>
            <w:tcW w:w="3515" w:type="dxa"/>
          </w:tcPr>
          <w:p w:rsidR="001D133A" w:rsidRPr="00A15CDB" w:rsidRDefault="00C27FE2" w:rsidP="003A5831">
            <w:pPr>
              <w:pStyle w:val="TableText"/>
              <w:keepNext/>
            </w:pPr>
            <w:bookmarkStart w:id="29" w:name="Self_Level"/>
            <w:bookmarkEnd w:id="29"/>
            <w:r>
              <w:t>Intermediate</w:t>
            </w:r>
          </w:p>
        </w:tc>
      </w:tr>
      <w:tr w:rsidR="001D133A" w:rsidRPr="00C978B9" w:rsidTr="001E7CC7">
        <w:tc>
          <w:tcPr>
            <w:tcW w:w="2184" w:type="dxa"/>
            <w:vMerge/>
            <w:tcBorders>
              <w:bottom w:val="single" w:sz="8" w:space="0" w:color="auto"/>
            </w:tcBorders>
          </w:tcPr>
          <w:p w:rsidR="001D133A" w:rsidRPr="00C978B9" w:rsidRDefault="001D133A" w:rsidP="001D133A">
            <w:bookmarkStart w:id="30" w:name="Value" w:colFirst="1" w:colLast="2"/>
            <w:bookmarkEnd w:id="28"/>
          </w:p>
        </w:tc>
        <w:tc>
          <w:tcPr>
            <w:tcW w:w="4846" w:type="dxa"/>
            <w:tcBorders>
              <w:bottom w:val="single" w:sz="8" w:space="0" w:color="auto"/>
            </w:tcBorders>
          </w:tcPr>
          <w:p w:rsidR="001D133A" w:rsidRPr="00C978B9" w:rsidRDefault="001D133A" w:rsidP="00297CDF">
            <w:pPr>
              <w:pStyle w:val="TableText"/>
              <w:rPr>
                <w:sz w:val="24"/>
                <w:szCs w:val="24"/>
              </w:rPr>
            </w:pPr>
            <w:r w:rsidRPr="00C978B9">
              <w:t>Value Diversity</w:t>
            </w:r>
          </w:p>
        </w:tc>
        <w:tc>
          <w:tcPr>
            <w:tcW w:w="3515" w:type="dxa"/>
            <w:tcBorders>
              <w:bottom w:val="single" w:sz="8" w:space="0" w:color="auto"/>
            </w:tcBorders>
          </w:tcPr>
          <w:p w:rsidR="001D133A" w:rsidRPr="00A15CDB" w:rsidRDefault="00842402" w:rsidP="00A15CDB">
            <w:pPr>
              <w:pStyle w:val="TableText"/>
            </w:pPr>
            <w:bookmarkStart w:id="31" w:name="Value_Level"/>
            <w:bookmarkEnd w:id="31"/>
            <w:r>
              <w:t>Foundational</w:t>
            </w:r>
          </w:p>
        </w:tc>
      </w:tr>
      <w:tr w:rsidR="009C2D0D" w:rsidRPr="00C978B9" w:rsidTr="001E7CC7">
        <w:tc>
          <w:tcPr>
            <w:tcW w:w="2184" w:type="dxa"/>
            <w:vMerge w:val="restart"/>
            <w:tcBorders>
              <w:top w:val="single" w:sz="8" w:space="0" w:color="auto"/>
            </w:tcBorders>
          </w:tcPr>
          <w:p w:rsidR="009C2D0D" w:rsidRPr="00C978B9" w:rsidRDefault="009C2D0D" w:rsidP="003A5831">
            <w:pPr>
              <w:keepNext/>
            </w:pPr>
            <w:bookmarkStart w:id="32" w:name="Comm" w:colFirst="1" w:colLast="2"/>
            <w:bookmarkEnd w:id="30"/>
            <w:r w:rsidRPr="00C978B9">
              <w:rPr>
                <w:noProof/>
                <w:lang w:eastAsia="en-AU"/>
              </w:rPr>
              <w:drawing>
                <wp:inline distT="0" distB="0" distL="0" distR="0" wp14:anchorId="75C061B1" wp14:editId="7070CC31">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27FE2" w:rsidRDefault="009C2D0D" w:rsidP="003A5831">
            <w:pPr>
              <w:pStyle w:val="TableText"/>
              <w:keepNext/>
              <w:rPr>
                <w:b/>
                <w:sz w:val="24"/>
                <w:szCs w:val="24"/>
              </w:rPr>
            </w:pPr>
            <w:r w:rsidRPr="00C27FE2">
              <w:rPr>
                <w:b/>
              </w:rPr>
              <w:t>Communicate Effectively</w:t>
            </w:r>
          </w:p>
        </w:tc>
        <w:tc>
          <w:tcPr>
            <w:tcW w:w="3515" w:type="dxa"/>
            <w:tcBorders>
              <w:top w:val="single" w:sz="8" w:space="0" w:color="auto"/>
              <w:bottom w:val="single" w:sz="8" w:space="0" w:color="BCBEC0"/>
            </w:tcBorders>
          </w:tcPr>
          <w:p w:rsidR="009C2D0D" w:rsidRPr="00C27FE2" w:rsidRDefault="00C27FE2" w:rsidP="003A5831">
            <w:pPr>
              <w:pStyle w:val="TableText"/>
              <w:keepNext/>
              <w:rPr>
                <w:b/>
              </w:rPr>
            </w:pPr>
            <w:bookmarkStart w:id="33" w:name="Comm_Level"/>
            <w:bookmarkEnd w:id="33"/>
            <w:r w:rsidRPr="00C27FE2">
              <w:rPr>
                <w:b/>
              </w:rPr>
              <w:t>Adept</w:t>
            </w:r>
          </w:p>
        </w:tc>
      </w:tr>
      <w:tr w:rsidR="009C2D0D" w:rsidRPr="00C978B9" w:rsidTr="001E7CC7">
        <w:tc>
          <w:tcPr>
            <w:tcW w:w="2184" w:type="dxa"/>
            <w:vMerge/>
          </w:tcPr>
          <w:p w:rsidR="009C2D0D" w:rsidRPr="00C978B9" w:rsidRDefault="009C2D0D" w:rsidP="003A5831">
            <w:pPr>
              <w:keepNext/>
            </w:pPr>
            <w:bookmarkStart w:id="34" w:name="CustServ" w:colFirst="1" w:colLast="2"/>
            <w:bookmarkEnd w:id="32"/>
          </w:p>
        </w:tc>
        <w:tc>
          <w:tcPr>
            <w:tcW w:w="4846" w:type="dxa"/>
            <w:tcBorders>
              <w:top w:val="single" w:sz="8" w:space="0" w:color="BCBEC0"/>
            </w:tcBorders>
          </w:tcPr>
          <w:p w:rsidR="009C2D0D" w:rsidRPr="00C27FE2" w:rsidRDefault="009C2D0D" w:rsidP="003A5831">
            <w:pPr>
              <w:pStyle w:val="TableText"/>
              <w:keepNext/>
              <w:rPr>
                <w:b/>
                <w:sz w:val="24"/>
                <w:szCs w:val="24"/>
              </w:rPr>
            </w:pPr>
            <w:r w:rsidRPr="00C27FE2">
              <w:rPr>
                <w:b/>
              </w:rPr>
              <w:t>Commit to Customer Service</w:t>
            </w:r>
          </w:p>
        </w:tc>
        <w:tc>
          <w:tcPr>
            <w:tcW w:w="3515" w:type="dxa"/>
            <w:tcBorders>
              <w:top w:val="single" w:sz="8" w:space="0" w:color="BCBEC0"/>
            </w:tcBorders>
          </w:tcPr>
          <w:p w:rsidR="009C2D0D" w:rsidRPr="00C27FE2" w:rsidRDefault="00C27FE2" w:rsidP="003A5831">
            <w:pPr>
              <w:pStyle w:val="TableText"/>
              <w:keepNext/>
              <w:rPr>
                <w:b/>
              </w:rPr>
            </w:pPr>
            <w:bookmarkStart w:id="35" w:name="CustServ_Level"/>
            <w:bookmarkEnd w:id="35"/>
            <w:r w:rsidRPr="00C27FE2">
              <w:rPr>
                <w:b/>
              </w:rPr>
              <w:t xml:space="preserve">Intermediate </w:t>
            </w:r>
          </w:p>
        </w:tc>
      </w:tr>
      <w:tr w:rsidR="009C2D0D" w:rsidRPr="00C978B9" w:rsidTr="001E7CC7">
        <w:tc>
          <w:tcPr>
            <w:tcW w:w="2184" w:type="dxa"/>
            <w:vMerge/>
          </w:tcPr>
          <w:p w:rsidR="009C2D0D" w:rsidRPr="00C978B9" w:rsidRDefault="009C2D0D" w:rsidP="003A5831">
            <w:pPr>
              <w:keepNext/>
            </w:pPr>
            <w:bookmarkStart w:id="36" w:name="Work_Col" w:colFirst="1" w:colLast="2"/>
            <w:bookmarkEnd w:id="34"/>
          </w:p>
        </w:tc>
        <w:tc>
          <w:tcPr>
            <w:tcW w:w="4846" w:type="dxa"/>
          </w:tcPr>
          <w:p w:rsidR="009C2D0D" w:rsidRPr="00C978B9" w:rsidRDefault="009C2D0D" w:rsidP="003A5831">
            <w:pPr>
              <w:pStyle w:val="TableText"/>
              <w:keepNext/>
              <w:rPr>
                <w:sz w:val="24"/>
                <w:szCs w:val="24"/>
              </w:rPr>
            </w:pPr>
            <w:r w:rsidRPr="00C978B9">
              <w:t>Work Collaboratively</w:t>
            </w:r>
          </w:p>
        </w:tc>
        <w:tc>
          <w:tcPr>
            <w:tcW w:w="3515" w:type="dxa"/>
          </w:tcPr>
          <w:p w:rsidR="009C2D0D" w:rsidRPr="00C978B9" w:rsidRDefault="00147C6E" w:rsidP="003A5831">
            <w:pPr>
              <w:pStyle w:val="TableText"/>
              <w:keepNext/>
            </w:pPr>
            <w:bookmarkStart w:id="37" w:name="Work_Col_Level"/>
            <w:bookmarkEnd w:id="37"/>
            <w:r>
              <w:t>Intermediate</w:t>
            </w:r>
          </w:p>
        </w:tc>
      </w:tr>
      <w:tr w:rsidR="009C2D0D" w:rsidRPr="00C978B9" w:rsidTr="001E7CC7">
        <w:tc>
          <w:tcPr>
            <w:tcW w:w="2184" w:type="dxa"/>
            <w:vMerge/>
            <w:tcBorders>
              <w:bottom w:val="single" w:sz="8" w:space="0" w:color="auto"/>
            </w:tcBorders>
          </w:tcPr>
          <w:p w:rsidR="009C2D0D" w:rsidRPr="00C978B9" w:rsidRDefault="009C2D0D" w:rsidP="001D133A">
            <w:bookmarkStart w:id="38" w:name="Negotiate" w:colFirst="1" w:colLast="2"/>
            <w:bookmarkEnd w:id="36"/>
          </w:p>
        </w:tc>
        <w:tc>
          <w:tcPr>
            <w:tcW w:w="4846" w:type="dxa"/>
            <w:tcBorders>
              <w:bottom w:val="single" w:sz="8" w:space="0" w:color="auto"/>
            </w:tcBorders>
          </w:tcPr>
          <w:p w:rsidR="009C2D0D" w:rsidRPr="00C978B9" w:rsidRDefault="009C2D0D" w:rsidP="00C57959">
            <w:pPr>
              <w:pStyle w:val="TableText"/>
              <w:rPr>
                <w:sz w:val="24"/>
                <w:szCs w:val="24"/>
              </w:rPr>
            </w:pPr>
            <w:r w:rsidRPr="00C978B9">
              <w:rPr>
                <w:bCs/>
              </w:rPr>
              <w:t>Influence and Negotiate</w:t>
            </w:r>
          </w:p>
        </w:tc>
        <w:tc>
          <w:tcPr>
            <w:tcW w:w="3515" w:type="dxa"/>
            <w:tcBorders>
              <w:bottom w:val="single" w:sz="8" w:space="0" w:color="auto"/>
            </w:tcBorders>
          </w:tcPr>
          <w:p w:rsidR="009C2D0D" w:rsidRPr="00C978B9" w:rsidRDefault="00C27FE2" w:rsidP="00A15CDB">
            <w:pPr>
              <w:pStyle w:val="TableText"/>
            </w:pPr>
            <w:bookmarkStart w:id="39" w:name="Negotiate_Level"/>
            <w:bookmarkEnd w:id="39"/>
            <w:r>
              <w:t>Intermediate</w:t>
            </w:r>
          </w:p>
        </w:tc>
      </w:tr>
      <w:tr w:rsidR="009C2D0D" w:rsidRPr="00C978B9" w:rsidTr="001E7CC7">
        <w:tc>
          <w:tcPr>
            <w:tcW w:w="2184" w:type="dxa"/>
            <w:vMerge w:val="restart"/>
            <w:tcBorders>
              <w:top w:val="single" w:sz="8" w:space="0" w:color="auto"/>
            </w:tcBorders>
          </w:tcPr>
          <w:p w:rsidR="009C2D0D" w:rsidRPr="00C978B9" w:rsidRDefault="009C2D0D" w:rsidP="003A5831">
            <w:pPr>
              <w:keepNext/>
            </w:pPr>
            <w:bookmarkStart w:id="40" w:name="Deliver" w:colFirst="1" w:colLast="2"/>
            <w:bookmarkEnd w:id="38"/>
            <w:r w:rsidRPr="00C978B9">
              <w:rPr>
                <w:noProof/>
                <w:lang w:eastAsia="en-AU"/>
              </w:rPr>
              <w:drawing>
                <wp:inline distT="0" distB="0" distL="0" distR="0" wp14:anchorId="32566E9C" wp14:editId="38DE256C">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9C2D0D" w:rsidRPr="00C978B9" w:rsidRDefault="00C27FE2" w:rsidP="003A5831">
            <w:pPr>
              <w:pStyle w:val="TableText"/>
              <w:keepNext/>
            </w:pPr>
            <w:bookmarkStart w:id="41" w:name="Deliver_Level"/>
            <w:bookmarkEnd w:id="41"/>
            <w:r>
              <w:t>Intermediate</w:t>
            </w:r>
          </w:p>
        </w:tc>
      </w:tr>
      <w:tr w:rsidR="009C2D0D" w:rsidRPr="00C978B9" w:rsidTr="001E7CC7">
        <w:tc>
          <w:tcPr>
            <w:tcW w:w="2184" w:type="dxa"/>
            <w:vMerge/>
          </w:tcPr>
          <w:p w:rsidR="009C2D0D" w:rsidRPr="00C978B9" w:rsidRDefault="009C2D0D" w:rsidP="003A5831">
            <w:pPr>
              <w:keepNext/>
            </w:pPr>
            <w:bookmarkStart w:id="42" w:name="Plan" w:colFirst="1" w:colLast="2"/>
            <w:bookmarkEnd w:id="40"/>
          </w:p>
        </w:tc>
        <w:tc>
          <w:tcPr>
            <w:tcW w:w="4846" w:type="dxa"/>
            <w:tcBorders>
              <w:top w:val="single" w:sz="8" w:space="0" w:color="BCBEC0"/>
            </w:tcBorders>
          </w:tcPr>
          <w:p w:rsidR="009C2D0D" w:rsidRPr="00C978B9" w:rsidRDefault="009C2D0D" w:rsidP="003A5831">
            <w:pPr>
              <w:pStyle w:val="TableText"/>
              <w:keepNext/>
              <w:rPr>
                <w:sz w:val="24"/>
                <w:szCs w:val="24"/>
              </w:rPr>
            </w:pPr>
            <w:r w:rsidRPr="00C978B9">
              <w:rPr>
                <w:bCs/>
              </w:rPr>
              <w:t>Plan and Prioritise</w:t>
            </w:r>
          </w:p>
        </w:tc>
        <w:tc>
          <w:tcPr>
            <w:tcW w:w="3515" w:type="dxa"/>
            <w:tcBorders>
              <w:top w:val="single" w:sz="8" w:space="0" w:color="BCBEC0"/>
            </w:tcBorders>
          </w:tcPr>
          <w:p w:rsidR="009C2D0D" w:rsidRPr="00C978B9" w:rsidRDefault="009A6995" w:rsidP="003A5831">
            <w:pPr>
              <w:pStyle w:val="TableText"/>
              <w:keepNext/>
            </w:pPr>
            <w:bookmarkStart w:id="43" w:name="Plan_Level"/>
            <w:bookmarkEnd w:id="43"/>
            <w:r>
              <w:t>Adept</w:t>
            </w:r>
          </w:p>
        </w:tc>
      </w:tr>
      <w:tr w:rsidR="009C2D0D" w:rsidRPr="00C978B9" w:rsidTr="001E7CC7">
        <w:tc>
          <w:tcPr>
            <w:tcW w:w="2184" w:type="dxa"/>
            <w:vMerge/>
          </w:tcPr>
          <w:p w:rsidR="009C2D0D" w:rsidRPr="00C978B9" w:rsidRDefault="009C2D0D" w:rsidP="003A5831">
            <w:pPr>
              <w:keepNext/>
            </w:pPr>
            <w:bookmarkStart w:id="44" w:name="Think" w:colFirst="1" w:colLast="2"/>
            <w:bookmarkEnd w:id="42"/>
          </w:p>
        </w:tc>
        <w:tc>
          <w:tcPr>
            <w:tcW w:w="4846" w:type="dxa"/>
          </w:tcPr>
          <w:p w:rsidR="009C2D0D" w:rsidRPr="00C27FE2" w:rsidRDefault="009C2D0D" w:rsidP="003A5831">
            <w:pPr>
              <w:pStyle w:val="TableText"/>
              <w:keepNext/>
              <w:rPr>
                <w:b/>
                <w:sz w:val="24"/>
                <w:szCs w:val="24"/>
              </w:rPr>
            </w:pPr>
            <w:r w:rsidRPr="00C27FE2">
              <w:rPr>
                <w:b/>
                <w:bCs/>
              </w:rPr>
              <w:t>Think and Solve Problems</w:t>
            </w:r>
          </w:p>
        </w:tc>
        <w:tc>
          <w:tcPr>
            <w:tcW w:w="3515" w:type="dxa"/>
          </w:tcPr>
          <w:p w:rsidR="009C2D0D" w:rsidRPr="00C27FE2" w:rsidRDefault="00C27FE2" w:rsidP="003A5831">
            <w:pPr>
              <w:pStyle w:val="TableText"/>
              <w:keepNext/>
              <w:rPr>
                <w:b/>
              </w:rPr>
            </w:pPr>
            <w:bookmarkStart w:id="45" w:name="Think_Level"/>
            <w:bookmarkEnd w:id="45"/>
            <w:r w:rsidRPr="00C27FE2">
              <w:rPr>
                <w:b/>
              </w:rPr>
              <w:t>Intermediate</w:t>
            </w:r>
          </w:p>
        </w:tc>
      </w:tr>
      <w:tr w:rsidR="009C2D0D" w:rsidRPr="00C978B9" w:rsidTr="001E7CC7">
        <w:tc>
          <w:tcPr>
            <w:tcW w:w="2184" w:type="dxa"/>
            <w:vMerge/>
            <w:tcBorders>
              <w:bottom w:val="single" w:sz="8" w:space="0" w:color="auto"/>
            </w:tcBorders>
          </w:tcPr>
          <w:p w:rsidR="009C2D0D" w:rsidRPr="00C978B9" w:rsidRDefault="009C2D0D" w:rsidP="001D133A">
            <w:bookmarkStart w:id="46" w:name="Account" w:colFirst="1" w:colLast="2"/>
            <w:bookmarkEnd w:id="44"/>
          </w:p>
        </w:tc>
        <w:tc>
          <w:tcPr>
            <w:tcW w:w="4846" w:type="dxa"/>
            <w:tcBorders>
              <w:bottom w:val="single" w:sz="8" w:space="0" w:color="auto"/>
            </w:tcBorders>
          </w:tcPr>
          <w:p w:rsidR="009C2D0D" w:rsidRPr="00C978B9" w:rsidRDefault="009C2D0D" w:rsidP="00C57959">
            <w:pPr>
              <w:pStyle w:val="TableText"/>
              <w:rPr>
                <w:sz w:val="24"/>
                <w:szCs w:val="24"/>
              </w:rPr>
            </w:pPr>
            <w:r w:rsidRPr="00C978B9">
              <w:t>Demonstrate Accountability</w:t>
            </w:r>
          </w:p>
        </w:tc>
        <w:tc>
          <w:tcPr>
            <w:tcW w:w="3515" w:type="dxa"/>
            <w:tcBorders>
              <w:bottom w:val="single" w:sz="8" w:space="0" w:color="auto"/>
            </w:tcBorders>
          </w:tcPr>
          <w:p w:rsidR="009C2D0D" w:rsidRPr="00C978B9" w:rsidRDefault="00C27FE2" w:rsidP="00A15CDB">
            <w:pPr>
              <w:pStyle w:val="TableText"/>
            </w:pPr>
            <w:bookmarkStart w:id="47" w:name="Account_Level"/>
            <w:bookmarkEnd w:id="47"/>
            <w:r>
              <w:t>Intermediate</w:t>
            </w:r>
          </w:p>
        </w:tc>
      </w:tr>
      <w:tr w:rsidR="009C2D0D" w:rsidRPr="00C978B9" w:rsidTr="001E7CC7">
        <w:tc>
          <w:tcPr>
            <w:tcW w:w="2184" w:type="dxa"/>
            <w:vMerge w:val="restart"/>
            <w:tcBorders>
              <w:top w:val="single" w:sz="8" w:space="0" w:color="auto"/>
            </w:tcBorders>
          </w:tcPr>
          <w:p w:rsidR="009C2D0D" w:rsidRPr="00C978B9" w:rsidRDefault="009C2D0D" w:rsidP="003A5831">
            <w:pPr>
              <w:keepNext/>
            </w:pPr>
            <w:bookmarkStart w:id="48" w:name="Fin" w:colFirst="1" w:colLast="2"/>
            <w:bookmarkEnd w:id="46"/>
            <w:r w:rsidRPr="00C978B9">
              <w:rPr>
                <w:noProof/>
                <w:lang w:eastAsia="en-AU"/>
              </w:rPr>
              <w:drawing>
                <wp:inline distT="0" distB="0" distL="0" distR="0" wp14:anchorId="3D4E7667" wp14:editId="062122EA">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9C2D0D" w:rsidRPr="00C978B9" w:rsidRDefault="00C27FE2" w:rsidP="003A5831">
            <w:pPr>
              <w:pStyle w:val="TableText"/>
              <w:keepNext/>
            </w:pPr>
            <w:bookmarkStart w:id="49" w:name="Fin_Level"/>
            <w:bookmarkEnd w:id="49"/>
            <w:r>
              <w:t>Foundational</w:t>
            </w:r>
          </w:p>
        </w:tc>
      </w:tr>
      <w:tr w:rsidR="009C2D0D" w:rsidRPr="00C978B9" w:rsidTr="001E7CC7">
        <w:tc>
          <w:tcPr>
            <w:tcW w:w="2184" w:type="dxa"/>
            <w:vMerge/>
          </w:tcPr>
          <w:p w:rsidR="009C2D0D" w:rsidRPr="00C978B9" w:rsidRDefault="009C2D0D" w:rsidP="003A5831">
            <w:pPr>
              <w:keepNext/>
            </w:pPr>
            <w:bookmarkStart w:id="50" w:name="Tech" w:colFirst="1" w:colLast="2"/>
            <w:bookmarkEnd w:id="48"/>
          </w:p>
        </w:tc>
        <w:tc>
          <w:tcPr>
            <w:tcW w:w="4846" w:type="dxa"/>
            <w:tcBorders>
              <w:top w:val="single" w:sz="8" w:space="0" w:color="BCBEC0"/>
            </w:tcBorders>
          </w:tcPr>
          <w:p w:rsidR="009C2D0D" w:rsidRPr="008E32C0" w:rsidRDefault="009C2D0D" w:rsidP="003A5831">
            <w:pPr>
              <w:pStyle w:val="TableText"/>
              <w:keepNext/>
              <w:rPr>
                <w:b/>
                <w:sz w:val="24"/>
                <w:szCs w:val="24"/>
              </w:rPr>
            </w:pPr>
            <w:r w:rsidRPr="008E32C0">
              <w:rPr>
                <w:b/>
                <w:bCs/>
              </w:rPr>
              <w:t>Technology</w:t>
            </w:r>
          </w:p>
        </w:tc>
        <w:tc>
          <w:tcPr>
            <w:tcW w:w="3515" w:type="dxa"/>
            <w:tcBorders>
              <w:top w:val="single" w:sz="8" w:space="0" w:color="BCBEC0"/>
            </w:tcBorders>
          </w:tcPr>
          <w:p w:rsidR="009C2D0D" w:rsidRPr="008E32C0" w:rsidRDefault="00C27FE2" w:rsidP="003A5831">
            <w:pPr>
              <w:pStyle w:val="TableText"/>
              <w:keepNext/>
              <w:rPr>
                <w:b/>
              </w:rPr>
            </w:pPr>
            <w:bookmarkStart w:id="51" w:name="Tech_Level"/>
            <w:bookmarkEnd w:id="51"/>
            <w:r w:rsidRPr="008E32C0">
              <w:rPr>
                <w:b/>
              </w:rPr>
              <w:t>Intermediate</w:t>
            </w:r>
          </w:p>
        </w:tc>
      </w:tr>
      <w:tr w:rsidR="009C2D0D" w:rsidRPr="00C978B9" w:rsidTr="001E7CC7">
        <w:tc>
          <w:tcPr>
            <w:tcW w:w="2184" w:type="dxa"/>
            <w:vMerge/>
          </w:tcPr>
          <w:p w:rsidR="009C2D0D" w:rsidRPr="00C978B9" w:rsidRDefault="009C2D0D" w:rsidP="003A5831">
            <w:pPr>
              <w:keepNext/>
            </w:pPr>
            <w:bookmarkStart w:id="52" w:name="Procure" w:colFirst="1" w:colLast="2"/>
            <w:bookmarkEnd w:id="50"/>
          </w:p>
        </w:tc>
        <w:tc>
          <w:tcPr>
            <w:tcW w:w="4846" w:type="dxa"/>
          </w:tcPr>
          <w:p w:rsidR="009C2D0D" w:rsidRPr="00C978B9" w:rsidRDefault="009C2D0D" w:rsidP="003A5831">
            <w:pPr>
              <w:pStyle w:val="TableText"/>
              <w:keepNext/>
              <w:rPr>
                <w:sz w:val="24"/>
                <w:szCs w:val="24"/>
              </w:rPr>
            </w:pPr>
            <w:r w:rsidRPr="00C978B9">
              <w:t>Procurement and Contract Management</w:t>
            </w:r>
          </w:p>
        </w:tc>
        <w:tc>
          <w:tcPr>
            <w:tcW w:w="3515" w:type="dxa"/>
          </w:tcPr>
          <w:p w:rsidR="009C2D0D" w:rsidRPr="00C978B9" w:rsidRDefault="008E32C0" w:rsidP="003A5831">
            <w:pPr>
              <w:pStyle w:val="TableText"/>
              <w:keepNext/>
            </w:pPr>
            <w:bookmarkStart w:id="53" w:name="Procure_Level"/>
            <w:bookmarkEnd w:id="53"/>
            <w:r>
              <w:t>Foundational</w:t>
            </w:r>
          </w:p>
        </w:tc>
      </w:tr>
      <w:tr w:rsidR="009C2D0D" w:rsidRPr="00C978B9" w:rsidTr="001E7CC7">
        <w:tc>
          <w:tcPr>
            <w:tcW w:w="2184" w:type="dxa"/>
            <w:vMerge/>
            <w:tcBorders>
              <w:bottom w:val="single" w:sz="8" w:space="0" w:color="auto"/>
            </w:tcBorders>
          </w:tcPr>
          <w:p w:rsidR="009C2D0D" w:rsidRPr="00C978B9" w:rsidRDefault="009C2D0D" w:rsidP="001D133A">
            <w:bookmarkStart w:id="54" w:name="Project" w:colFirst="1" w:colLast="2"/>
            <w:bookmarkEnd w:id="52"/>
          </w:p>
        </w:tc>
        <w:tc>
          <w:tcPr>
            <w:tcW w:w="4846" w:type="dxa"/>
            <w:tcBorders>
              <w:bottom w:val="single" w:sz="8" w:space="0" w:color="auto"/>
            </w:tcBorders>
          </w:tcPr>
          <w:p w:rsidR="009C2D0D" w:rsidRPr="00C978B9" w:rsidRDefault="009C2D0D" w:rsidP="00C57959">
            <w:pPr>
              <w:pStyle w:val="TableText"/>
              <w:rPr>
                <w:sz w:val="24"/>
                <w:szCs w:val="24"/>
              </w:rPr>
            </w:pPr>
            <w:r w:rsidRPr="00C978B9">
              <w:t>Project Management</w:t>
            </w:r>
          </w:p>
        </w:tc>
        <w:tc>
          <w:tcPr>
            <w:tcW w:w="3515" w:type="dxa"/>
            <w:tcBorders>
              <w:bottom w:val="single" w:sz="8" w:space="0" w:color="auto"/>
            </w:tcBorders>
          </w:tcPr>
          <w:p w:rsidR="009C2D0D" w:rsidRPr="00C978B9" w:rsidRDefault="009A6995" w:rsidP="00A15CDB">
            <w:pPr>
              <w:pStyle w:val="TableText"/>
            </w:pPr>
            <w:bookmarkStart w:id="55" w:name="Project_Level"/>
            <w:bookmarkEnd w:id="55"/>
            <w:r>
              <w:t>Adept</w:t>
            </w:r>
          </w:p>
        </w:tc>
      </w:tr>
      <w:bookmarkEnd w:id="54"/>
    </w:tbl>
    <w:p w:rsidR="00930255" w:rsidRPr="00C978B9" w:rsidRDefault="00930255" w:rsidP="00C24A20"/>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5"/>
        <w:gridCol w:w="1837"/>
        <w:gridCol w:w="6336"/>
      </w:tblGrid>
      <w:tr w:rsidR="00E31CD3" w:rsidRPr="00C978B9"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978B9" w:rsidRDefault="00E31CD3" w:rsidP="00582E73">
            <w:pPr>
              <w:pStyle w:val="TableTextWhite0"/>
              <w:keepNext/>
            </w:pPr>
            <w:r w:rsidRPr="00C978B9">
              <w:t>NSW Public Sector Capability Framework</w:t>
            </w:r>
          </w:p>
        </w:tc>
      </w:tr>
      <w:tr w:rsidR="00E31CD3" w:rsidRPr="00DA3502"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Behavioural Indicators</w:t>
            </w:r>
          </w:p>
        </w:tc>
      </w:tr>
      <w:tr w:rsidR="00E31CD3" w:rsidRPr="00C978B9" w:rsidTr="00822DC8">
        <w:tc>
          <w:tcPr>
            <w:tcW w:w="2324" w:type="dxa"/>
          </w:tcPr>
          <w:p w:rsidR="00E31CD3" w:rsidRPr="00C978B9" w:rsidRDefault="00E31CD3" w:rsidP="00E43C5B">
            <w:pPr>
              <w:pStyle w:val="TableText"/>
              <w:rPr>
                <w:b/>
              </w:rPr>
            </w:pPr>
            <w:bookmarkStart w:id="56" w:name="Personal_Resilence_Inter"/>
            <w:r w:rsidRPr="00C978B9">
              <w:rPr>
                <w:b/>
              </w:rPr>
              <w:t>Personal Attributes</w:t>
            </w:r>
          </w:p>
          <w:p w:rsidR="00E31CD3" w:rsidRPr="00C978B9" w:rsidRDefault="00E31CD3" w:rsidP="00E43C5B">
            <w:pPr>
              <w:pStyle w:val="TableText"/>
            </w:pPr>
            <w:r w:rsidRPr="00C978B9">
              <w:t>Display Resilience and Courage</w:t>
            </w:r>
          </w:p>
        </w:tc>
        <w:tc>
          <w:tcPr>
            <w:tcW w:w="1843" w:type="dxa"/>
          </w:tcPr>
          <w:p w:rsidR="00E31CD3" w:rsidRPr="00C978B9" w:rsidRDefault="00E31CD3" w:rsidP="00E43C5B">
            <w:pPr>
              <w:pStyle w:val="TableText"/>
              <w:rPr>
                <w:rFonts w:cs="Arial"/>
                <w:color w:val="000000"/>
              </w:rPr>
            </w:pPr>
            <w:r w:rsidRPr="00C978B9">
              <w:rPr>
                <w:rFonts w:cs="Arial"/>
                <w:color w:val="000000"/>
              </w:rPr>
              <w:t>Intermediate</w:t>
            </w:r>
          </w:p>
        </w:tc>
        <w:tc>
          <w:tcPr>
            <w:tcW w:w="6378" w:type="dxa"/>
          </w:tcPr>
          <w:p w:rsidR="00E43C5B" w:rsidRPr="00C978B9" w:rsidRDefault="00E43C5B" w:rsidP="00E43C5B">
            <w:pPr>
              <w:pStyle w:val="TableBullet"/>
            </w:pPr>
            <w:r w:rsidRPr="00C978B9">
              <w:t>Be flexible and adaptable and respond quickly when situations change</w:t>
            </w:r>
          </w:p>
          <w:p w:rsidR="00E43C5B" w:rsidRPr="00C978B9" w:rsidRDefault="00E43C5B" w:rsidP="00E43C5B">
            <w:pPr>
              <w:pStyle w:val="TableBullet"/>
            </w:pPr>
            <w:r w:rsidRPr="00C978B9">
              <w:t>Offer own opinion and raise challenging issues</w:t>
            </w:r>
          </w:p>
          <w:p w:rsidR="00E43C5B" w:rsidRPr="00C978B9" w:rsidRDefault="00E43C5B" w:rsidP="00E43C5B">
            <w:pPr>
              <w:pStyle w:val="TableBullet"/>
            </w:pPr>
            <w:r w:rsidRPr="00C978B9">
              <w:lastRenderedPageBreak/>
              <w:t>Listen when ideas are challenged and respond in a reasonable way</w:t>
            </w:r>
          </w:p>
          <w:p w:rsidR="00E43C5B" w:rsidRPr="00C978B9" w:rsidRDefault="00E43C5B" w:rsidP="00E43C5B">
            <w:pPr>
              <w:pStyle w:val="TableBullet"/>
            </w:pPr>
            <w:r w:rsidRPr="00C978B9">
              <w:t>Work through challenges</w:t>
            </w:r>
          </w:p>
          <w:p w:rsidR="00E31CD3" w:rsidRPr="00C978B9" w:rsidRDefault="00E43C5B" w:rsidP="00E43C5B">
            <w:pPr>
              <w:pStyle w:val="TableBullet"/>
            </w:pPr>
            <w:r w:rsidRPr="00C978B9">
              <w:t>Stay calm and focused in the face of challenging situations</w:t>
            </w:r>
          </w:p>
        </w:tc>
      </w:tr>
      <w:tr w:rsidR="00F1584F" w:rsidRPr="00C978B9" w:rsidTr="00822DC8">
        <w:tc>
          <w:tcPr>
            <w:tcW w:w="2324" w:type="dxa"/>
          </w:tcPr>
          <w:p w:rsidR="00A77C45" w:rsidRPr="00C978B9" w:rsidRDefault="00A77C45" w:rsidP="00A77C45">
            <w:pPr>
              <w:pStyle w:val="TableText"/>
              <w:rPr>
                <w:b/>
              </w:rPr>
            </w:pPr>
            <w:bookmarkStart w:id="57" w:name="Relationships_Comm_Adept"/>
            <w:bookmarkEnd w:id="56"/>
            <w:r w:rsidRPr="00C978B9">
              <w:rPr>
                <w:b/>
              </w:rPr>
              <w:lastRenderedPageBreak/>
              <w:t>Relationships</w:t>
            </w:r>
          </w:p>
          <w:p w:rsidR="00F1584F" w:rsidRPr="00C978B9" w:rsidRDefault="00050CD8" w:rsidP="00A77C45">
            <w:pPr>
              <w:pStyle w:val="TableText"/>
            </w:pPr>
            <w:r>
              <w:t>Communicate</w:t>
            </w:r>
            <w:r>
              <w:br/>
            </w:r>
            <w:r w:rsidR="00A77C45" w:rsidRPr="00C978B9">
              <w:t>Effectively</w:t>
            </w:r>
          </w:p>
        </w:tc>
        <w:tc>
          <w:tcPr>
            <w:tcW w:w="1843" w:type="dxa"/>
          </w:tcPr>
          <w:p w:rsidR="00F1584F" w:rsidRPr="00C978B9" w:rsidRDefault="00F1584F" w:rsidP="00C57959">
            <w:pPr>
              <w:pStyle w:val="TableText"/>
              <w:rPr>
                <w:rFonts w:cs="Arial"/>
                <w:color w:val="000000"/>
              </w:rPr>
            </w:pPr>
            <w:r w:rsidRPr="00C978B9">
              <w:rPr>
                <w:rFonts w:cs="Arial"/>
                <w:color w:val="000000"/>
              </w:rPr>
              <w:t>Adept</w:t>
            </w:r>
          </w:p>
        </w:tc>
        <w:tc>
          <w:tcPr>
            <w:tcW w:w="6378" w:type="dxa"/>
          </w:tcPr>
          <w:p w:rsidR="00A77C45" w:rsidRPr="00C978B9" w:rsidRDefault="00A77C45" w:rsidP="00A77C45">
            <w:pPr>
              <w:pStyle w:val="TableBullet"/>
            </w:pPr>
            <w:r w:rsidRPr="00C978B9">
              <w:t xml:space="preserve">Tailor communication to the audience </w:t>
            </w:r>
          </w:p>
          <w:p w:rsidR="00A77C45" w:rsidRPr="00C978B9" w:rsidRDefault="00A77C45" w:rsidP="00A77C45">
            <w:pPr>
              <w:pStyle w:val="TableBullet"/>
            </w:pPr>
            <w:r w:rsidRPr="00C978B9">
              <w:t>Clearly explain complex concepts and arguments to individuals and groups</w:t>
            </w:r>
          </w:p>
          <w:p w:rsidR="00A77C45" w:rsidRPr="00C978B9" w:rsidRDefault="00A77C45" w:rsidP="00A77C45">
            <w:pPr>
              <w:pStyle w:val="TableBullet"/>
            </w:pPr>
            <w:r w:rsidRPr="00C978B9">
              <w:t>Monitor own and others' non-verbal cues and adapt where necessary</w:t>
            </w:r>
          </w:p>
          <w:p w:rsidR="00A77C45" w:rsidRPr="00C978B9" w:rsidRDefault="00A77C45" w:rsidP="00A77C45">
            <w:pPr>
              <w:pStyle w:val="TableBullet"/>
            </w:pPr>
            <w:r w:rsidRPr="00C978B9">
              <w:t>Create opportunities for others to be heard</w:t>
            </w:r>
          </w:p>
          <w:p w:rsidR="00A77C45" w:rsidRPr="00C978B9" w:rsidRDefault="00A77C45" w:rsidP="00A77C45">
            <w:pPr>
              <w:pStyle w:val="TableBullet"/>
            </w:pPr>
            <w:r w:rsidRPr="00C978B9">
              <w:t>Actively listen to others and clarify own understanding</w:t>
            </w:r>
          </w:p>
          <w:p w:rsidR="00F1584F" w:rsidRPr="00C978B9" w:rsidRDefault="00A77C45" w:rsidP="00A77C45">
            <w:pPr>
              <w:pStyle w:val="TableBullet"/>
            </w:pPr>
            <w:r w:rsidRPr="00C978B9">
              <w:t>Write fluently in a range of styles and formats</w:t>
            </w:r>
          </w:p>
        </w:tc>
      </w:tr>
      <w:tr w:rsidR="005D3F49" w:rsidRPr="00C978B9" w:rsidTr="00822DC8">
        <w:tc>
          <w:tcPr>
            <w:tcW w:w="2324" w:type="dxa"/>
          </w:tcPr>
          <w:p w:rsidR="005D3F49" w:rsidRPr="00C978B9" w:rsidRDefault="005D3F49" w:rsidP="00762A4A">
            <w:pPr>
              <w:pStyle w:val="TableText"/>
              <w:rPr>
                <w:b/>
              </w:rPr>
            </w:pPr>
            <w:r w:rsidRPr="00C978B9">
              <w:rPr>
                <w:b/>
              </w:rPr>
              <w:t>Relationships</w:t>
            </w:r>
          </w:p>
          <w:p w:rsidR="005D3F49" w:rsidRPr="00C978B9" w:rsidRDefault="005D3F49" w:rsidP="00762A4A">
            <w:pPr>
              <w:pStyle w:val="TableText"/>
            </w:pPr>
            <w:r w:rsidRPr="00C978B9">
              <w:t>Commit to Customer Service</w:t>
            </w:r>
          </w:p>
        </w:tc>
        <w:tc>
          <w:tcPr>
            <w:tcW w:w="1843" w:type="dxa"/>
          </w:tcPr>
          <w:p w:rsidR="005D3F49" w:rsidRPr="00C978B9" w:rsidRDefault="005D3F49" w:rsidP="00762A4A">
            <w:pPr>
              <w:pStyle w:val="TableText"/>
              <w:rPr>
                <w:rFonts w:cs="Arial"/>
                <w:color w:val="000000"/>
              </w:rPr>
            </w:pPr>
            <w:r w:rsidRPr="00C978B9">
              <w:rPr>
                <w:rFonts w:cs="Arial"/>
                <w:color w:val="000000"/>
              </w:rPr>
              <w:t>Intermediate</w:t>
            </w:r>
          </w:p>
        </w:tc>
        <w:tc>
          <w:tcPr>
            <w:tcW w:w="6378" w:type="dxa"/>
          </w:tcPr>
          <w:p w:rsidR="005D3F49" w:rsidRPr="00C978B9" w:rsidRDefault="005D3F49" w:rsidP="00762A4A">
            <w:pPr>
              <w:pStyle w:val="TableBullet"/>
            </w:pPr>
            <w:r w:rsidRPr="00C978B9">
              <w:t xml:space="preserve">Support a culture of quality customer service in the organisation </w:t>
            </w:r>
          </w:p>
          <w:p w:rsidR="005D3F49" w:rsidRPr="00C978B9" w:rsidRDefault="005D3F49" w:rsidP="00762A4A">
            <w:pPr>
              <w:pStyle w:val="TableBullet"/>
            </w:pPr>
            <w:r w:rsidRPr="00C978B9">
              <w:t>Demonstrate a thorough knowledge of the services provided and relay to customers</w:t>
            </w:r>
          </w:p>
          <w:p w:rsidR="005D3F49" w:rsidRPr="00C978B9" w:rsidRDefault="005D3F49" w:rsidP="00762A4A">
            <w:pPr>
              <w:pStyle w:val="TableBullet"/>
            </w:pPr>
            <w:r w:rsidRPr="00C978B9">
              <w:t xml:space="preserve">Identify and respond quickly to customer needs </w:t>
            </w:r>
          </w:p>
          <w:p w:rsidR="005D3F49" w:rsidRPr="00C978B9" w:rsidRDefault="005D3F49" w:rsidP="00762A4A">
            <w:pPr>
              <w:pStyle w:val="TableBullet"/>
            </w:pPr>
            <w:r w:rsidRPr="00C978B9">
              <w:t>Consider customer service requirements and develop solutions to meet needs</w:t>
            </w:r>
          </w:p>
          <w:p w:rsidR="005D3F49" w:rsidRPr="00C978B9" w:rsidRDefault="005D3F49" w:rsidP="00762A4A">
            <w:pPr>
              <w:pStyle w:val="TableBullet"/>
            </w:pPr>
            <w:r w:rsidRPr="00C978B9">
              <w:t>Resolve complex customer issues and needs</w:t>
            </w:r>
          </w:p>
          <w:p w:rsidR="005D3F49" w:rsidRPr="00C978B9" w:rsidRDefault="005D3F49" w:rsidP="00762A4A">
            <w:pPr>
              <w:pStyle w:val="TableBullet"/>
            </w:pPr>
            <w:r w:rsidRPr="00C978B9">
              <w:t>Co-operate across work areas to improve outcomes for customers</w:t>
            </w:r>
          </w:p>
        </w:tc>
      </w:tr>
      <w:tr w:rsidR="00C57959" w:rsidRPr="00C978B9" w:rsidTr="00822DC8">
        <w:tc>
          <w:tcPr>
            <w:tcW w:w="2324" w:type="dxa"/>
          </w:tcPr>
          <w:p w:rsidR="00031E32" w:rsidRPr="00C978B9" w:rsidRDefault="00031E32" w:rsidP="00031E32">
            <w:pPr>
              <w:pStyle w:val="TableText"/>
              <w:rPr>
                <w:b/>
              </w:rPr>
            </w:pPr>
            <w:bookmarkStart w:id="58" w:name="Results_Think_Inter"/>
            <w:bookmarkEnd w:id="57"/>
            <w:r w:rsidRPr="00C978B9">
              <w:rPr>
                <w:b/>
              </w:rPr>
              <w:t>Results</w:t>
            </w:r>
          </w:p>
          <w:p w:rsidR="00C57959" w:rsidRPr="00C978B9" w:rsidRDefault="00031E32" w:rsidP="00031E32">
            <w:pPr>
              <w:pStyle w:val="TableText"/>
            </w:pPr>
            <w:r w:rsidRPr="00C978B9">
              <w:t>Think and Solve Problems</w:t>
            </w:r>
          </w:p>
        </w:tc>
        <w:tc>
          <w:tcPr>
            <w:tcW w:w="1843" w:type="dxa"/>
          </w:tcPr>
          <w:p w:rsidR="00C57959" w:rsidRPr="00C978B9" w:rsidRDefault="00C57959" w:rsidP="00C57959">
            <w:pPr>
              <w:pStyle w:val="TableText"/>
              <w:rPr>
                <w:rFonts w:cs="Arial"/>
                <w:color w:val="000000"/>
              </w:rPr>
            </w:pPr>
            <w:r w:rsidRPr="00C978B9">
              <w:rPr>
                <w:rFonts w:cs="Arial"/>
                <w:color w:val="000000"/>
              </w:rPr>
              <w:t>Intermediate</w:t>
            </w:r>
          </w:p>
        </w:tc>
        <w:tc>
          <w:tcPr>
            <w:tcW w:w="6378" w:type="dxa"/>
          </w:tcPr>
          <w:p w:rsidR="00031E32" w:rsidRPr="00C978B9" w:rsidRDefault="00031E32" w:rsidP="00031E32">
            <w:pPr>
              <w:pStyle w:val="TableBullet"/>
            </w:pPr>
            <w:r w:rsidRPr="00C978B9">
              <w:t>Research and analyse information and make recommendations based on relevant evidence</w:t>
            </w:r>
          </w:p>
          <w:p w:rsidR="00031E32" w:rsidRPr="00C978B9" w:rsidRDefault="00031E32" w:rsidP="00031E32">
            <w:pPr>
              <w:pStyle w:val="TableBullet"/>
            </w:pPr>
            <w:r w:rsidRPr="00C978B9">
              <w:t>Identify issues that may hinder completion of tasks and find appropriate solutions</w:t>
            </w:r>
          </w:p>
          <w:p w:rsidR="00031E32" w:rsidRPr="00C978B9" w:rsidRDefault="00031E32" w:rsidP="00031E32">
            <w:pPr>
              <w:pStyle w:val="TableBullet"/>
            </w:pPr>
            <w:r w:rsidRPr="00C978B9">
              <w:t xml:space="preserve">Be willing to seek out input from others and share own ideas to achieve best outcomes </w:t>
            </w:r>
          </w:p>
          <w:p w:rsidR="00C57959" w:rsidRPr="00C978B9" w:rsidRDefault="00031E32" w:rsidP="00031E32">
            <w:pPr>
              <w:pStyle w:val="TableBullet"/>
            </w:pPr>
            <w:r w:rsidRPr="00C978B9">
              <w:t>Identify ways to improve systems or processes which are used by the team/unit</w:t>
            </w:r>
          </w:p>
        </w:tc>
      </w:tr>
      <w:tr w:rsidR="00C57959" w:rsidRPr="00C978B9" w:rsidTr="00822DC8">
        <w:tc>
          <w:tcPr>
            <w:tcW w:w="2324" w:type="dxa"/>
          </w:tcPr>
          <w:p w:rsidR="007D0E9F" w:rsidRPr="00C978B9" w:rsidRDefault="007D0E9F" w:rsidP="007D0E9F">
            <w:pPr>
              <w:pStyle w:val="TableText"/>
              <w:rPr>
                <w:b/>
              </w:rPr>
            </w:pPr>
            <w:bookmarkStart w:id="59" w:name="BusEnablers_Tech_Inter"/>
            <w:bookmarkEnd w:id="58"/>
            <w:r w:rsidRPr="00C978B9">
              <w:rPr>
                <w:b/>
              </w:rPr>
              <w:t>Business Enablers</w:t>
            </w:r>
          </w:p>
          <w:p w:rsidR="00C57959" w:rsidRPr="00C978B9" w:rsidRDefault="007D0E9F" w:rsidP="007D0E9F">
            <w:pPr>
              <w:pStyle w:val="TableText"/>
            </w:pPr>
            <w:r w:rsidRPr="00C978B9">
              <w:t>Technology</w:t>
            </w:r>
          </w:p>
        </w:tc>
        <w:tc>
          <w:tcPr>
            <w:tcW w:w="1843" w:type="dxa"/>
          </w:tcPr>
          <w:p w:rsidR="00C57959" w:rsidRPr="00C978B9" w:rsidRDefault="00C57959" w:rsidP="00C57959">
            <w:pPr>
              <w:pStyle w:val="TableText"/>
              <w:rPr>
                <w:rFonts w:cs="Arial"/>
                <w:color w:val="000000"/>
              </w:rPr>
            </w:pPr>
            <w:r w:rsidRPr="00C978B9">
              <w:rPr>
                <w:rFonts w:cs="Arial"/>
                <w:color w:val="000000"/>
              </w:rPr>
              <w:t>Intermediate</w:t>
            </w:r>
          </w:p>
        </w:tc>
        <w:tc>
          <w:tcPr>
            <w:tcW w:w="6378" w:type="dxa"/>
          </w:tcPr>
          <w:p w:rsidR="00E720F5" w:rsidRPr="00C978B9" w:rsidRDefault="00E720F5" w:rsidP="00E720F5">
            <w:pPr>
              <w:pStyle w:val="TableBullet"/>
            </w:pPr>
            <w:r w:rsidRPr="00C978B9">
              <w:t>Apply computer applications that enable performance of more complex tasks</w:t>
            </w:r>
          </w:p>
          <w:p w:rsidR="00E720F5" w:rsidRPr="00C978B9" w:rsidRDefault="00E720F5" w:rsidP="00E720F5">
            <w:pPr>
              <w:pStyle w:val="TableBullet"/>
            </w:pPr>
            <w:r w:rsidRPr="00C978B9">
              <w:t xml:space="preserve">Apply practical skills in the use of relevant technology </w:t>
            </w:r>
          </w:p>
          <w:p w:rsidR="00E720F5" w:rsidRPr="00C978B9" w:rsidRDefault="00E720F5" w:rsidP="00E720F5">
            <w:pPr>
              <w:pStyle w:val="TableBullet"/>
            </w:pPr>
            <w:r w:rsidRPr="00C978B9">
              <w:t>Make effective use of records, information and knowledge management functions and systems</w:t>
            </w:r>
          </w:p>
          <w:p w:rsidR="00E720F5" w:rsidRPr="00C978B9" w:rsidRDefault="00E720F5" w:rsidP="00E720F5">
            <w:pPr>
              <w:pStyle w:val="TableBullet"/>
            </w:pPr>
            <w:r w:rsidRPr="00C978B9">
              <w:t>Understand and comply with information and communications security and acceptable use policies</w:t>
            </w:r>
          </w:p>
          <w:p w:rsidR="00C57959" w:rsidRPr="00C978B9" w:rsidRDefault="00E720F5" w:rsidP="00E720F5">
            <w:pPr>
              <w:pStyle w:val="TableBullet"/>
            </w:pPr>
            <w:r w:rsidRPr="00C978B9">
              <w:t>Support the implementation of systems improvement initiatives and the introduction and roll-out of new technologies</w:t>
            </w:r>
          </w:p>
        </w:tc>
      </w:tr>
      <w:bookmarkEnd w:id="59"/>
    </w:tbl>
    <w:p w:rsidR="00B37EC4" w:rsidRPr="00C978B9" w:rsidRDefault="00B37EC4" w:rsidP="00E877C1">
      <w:pPr>
        <w:rPr>
          <w:noProof/>
          <w:lang w:eastAsia="en-AU"/>
        </w:rPr>
      </w:pPr>
    </w:p>
    <w:sectPr w:rsidR="00B37EC4" w:rsidRPr="00C978B9" w:rsidSect="00A63EAF">
      <w:footerReference w:type="default" r:id="rId13"/>
      <w:headerReference w:type="first" r:id="rId14"/>
      <w:footerReference w:type="first" r:id="rId15"/>
      <w:pgSz w:w="11906" w:h="16838"/>
      <w:pgMar w:top="1673" w:right="709" w:bottom="1418" w:left="709"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26" w:rsidRDefault="00B73226" w:rsidP="00AC273D">
      <w:pPr>
        <w:spacing w:after="0" w:line="240" w:lineRule="auto"/>
      </w:pPr>
      <w:r>
        <w:separator/>
      </w:r>
    </w:p>
  </w:endnote>
  <w:endnote w:type="continuationSeparator" w:id="0">
    <w:p w:rsidR="00B73226" w:rsidRDefault="00B73226"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CE67C5" w:rsidTr="00CD6BA6">
      <w:tc>
        <w:tcPr>
          <w:tcW w:w="9709" w:type="dxa"/>
          <w:vAlign w:val="bottom"/>
        </w:tcPr>
        <w:p w:rsidR="00CE67C5" w:rsidRPr="00051237" w:rsidRDefault="00CE67C5" w:rsidP="00A80D92">
          <w:pPr>
            <w:pStyle w:val="Footer"/>
          </w:pPr>
          <w:r>
            <w:t xml:space="preserve">Role Description </w:t>
          </w:r>
          <w:r w:rsidR="00A80D92">
            <w:t>– Technical Officer NABERS</w:t>
          </w:r>
          <w:r w:rsidRPr="00051237">
            <w:rPr>
              <w:color w:val="000000" w:themeColor="text1"/>
            </w:rPr>
            <w:t xml:space="preserve"> </w:t>
          </w:r>
          <w:bookmarkStart w:id="60" w:name="Footer_Title"/>
          <w:bookmarkEnd w:id="60"/>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C37AA">
            <w:rPr>
              <w:noProof/>
              <w:lang w:eastAsia="en-AU"/>
            </w:rPr>
            <w:t>4</w:t>
          </w:r>
          <w:r>
            <w:rPr>
              <w:noProof/>
              <w:lang w:eastAsia="en-AU"/>
            </w:rPr>
            <w:fldChar w:fldCharType="end"/>
          </w:r>
        </w:p>
      </w:tc>
      <w:tc>
        <w:tcPr>
          <w:tcW w:w="851" w:type="dxa"/>
        </w:tcPr>
        <w:p w:rsidR="00CE67C5" w:rsidRDefault="00CE67C5" w:rsidP="00CD6BA6">
          <w:pPr>
            <w:pStyle w:val="Footer"/>
            <w:jc w:val="right"/>
          </w:pPr>
          <w:r>
            <w:rPr>
              <w:noProof/>
              <w:lang w:eastAsia="en-AU"/>
            </w:rPr>
            <w:drawing>
              <wp:inline distT="0" distB="0" distL="0" distR="0" wp14:anchorId="7C919B0F" wp14:editId="78F698C4">
                <wp:extent cx="432000" cy="47985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E67C5" w:rsidRPr="001E2B26" w:rsidRDefault="00CE67C5"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CE67C5" w:rsidTr="00732229">
      <w:tc>
        <w:tcPr>
          <w:tcW w:w="9709" w:type="dxa"/>
          <w:vAlign w:val="bottom"/>
        </w:tcPr>
        <w:p w:rsidR="00CE67C5" w:rsidRPr="00051237" w:rsidRDefault="00CE67C5"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C37AA">
            <w:rPr>
              <w:noProof/>
              <w:lang w:eastAsia="en-AU"/>
            </w:rPr>
            <w:t>1</w:t>
          </w:r>
          <w:r>
            <w:rPr>
              <w:noProof/>
              <w:lang w:eastAsia="en-AU"/>
            </w:rPr>
            <w:fldChar w:fldCharType="end"/>
          </w:r>
        </w:p>
      </w:tc>
      <w:tc>
        <w:tcPr>
          <w:tcW w:w="851" w:type="dxa"/>
        </w:tcPr>
        <w:p w:rsidR="00CE67C5" w:rsidRDefault="00CE67C5" w:rsidP="00732229">
          <w:pPr>
            <w:pStyle w:val="Footer"/>
            <w:jc w:val="right"/>
          </w:pPr>
          <w:r>
            <w:rPr>
              <w:noProof/>
              <w:lang w:eastAsia="en-AU"/>
            </w:rPr>
            <w:drawing>
              <wp:inline distT="0" distB="0" distL="0" distR="0" wp14:anchorId="598367C3" wp14:editId="213086F9">
                <wp:extent cx="432000" cy="47985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E67C5" w:rsidRDefault="00CE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26" w:rsidRDefault="00B73226" w:rsidP="00AC273D">
      <w:pPr>
        <w:spacing w:after="0" w:line="240" w:lineRule="auto"/>
      </w:pPr>
      <w:r>
        <w:separator/>
      </w:r>
    </w:p>
  </w:footnote>
  <w:footnote w:type="continuationSeparator" w:id="0">
    <w:p w:rsidR="00B73226" w:rsidRDefault="00B73226"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5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6"/>
      <w:gridCol w:w="7630"/>
      <w:gridCol w:w="7630"/>
      <w:gridCol w:w="2852"/>
    </w:tblGrid>
    <w:tr w:rsidR="00CE67C5" w:rsidTr="000503AA">
      <w:trPr>
        <w:cnfStyle w:val="100000000000" w:firstRow="1" w:lastRow="0" w:firstColumn="0" w:lastColumn="0" w:oddVBand="0" w:evenVBand="0" w:oddHBand="0" w:evenHBand="0" w:firstRowFirstColumn="0" w:firstRowLastColumn="0" w:lastRowFirstColumn="0" w:lastRowLastColumn="0"/>
        <w:trHeight w:val="1134"/>
      </w:trPr>
      <w:tc>
        <w:tcPr>
          <w:tcW w:w="1812" w:type="pct"/>
        </w:tcPr>
        <w:tbl>
          <w:tblPr>
            <w:tblStyle w:val="TableGrid"/>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9"/>
            <w:gridCol w:w="4113"/>
          </w:tblGrid>
          <w:tr w:rsidR="00CE67C5" w:rsidTr="00A63EAF">
            <w:trPr>
              <w:cnfStyle w:val="100000000000" w:firstRow="1" w:lastRow="0" w:firstColumn="0" w:lastColumn="0" w:oddVBand="0" w:evenVBand="0" w:oddHBand="0" w:evenHBand="0" w:firstRowFirstColumn="0" w:firstRowLastColumn="0" w:lastRowFirstColumn="0" w:lastRowLastColumn="0"/>
              <w:trHeight w:val="1134"/>
            </w:trPr>
            <w:tc>
              <w:tcPr>
                <w:tcW w:w="3055" w:type="pct"/>
                <w:noWrap/>
              </w:tcPr>
              <w:p w:rsidR="00CE67C5" w:rsidRPr="001E49B2" w:rsidRDefault="00CE67C5" w:rsidP="00F428FF">
                <w:pPr>
                  <w:pStyle w:val="TitleSub"/>
                  <w:spacing w:after="0"/>
                  <w:rPr>
                    <w:rFonts w:cs="Arial"/>
                  </w:rPr>
                </w:pPr>
                <w:r w:rsidRPr="001E49B2">
                  <w:rPr>
                    <w:rFonts w:cs="Arial"/>
                  </w:rPr>
                  <w:t xml:space="preserve">Role Description </w:t>
                </w:r>
              </w:p>
              <w:p w:rsidR="00CE67C5" w:rsidRPr="001E49B2" w:rsidRDefault="00CE67C5" w:rsidP="000503AA">
                <w:pPr>
                  <w:pStyle w:val="TitleSub"/>
                  <w:spacing w:after="0"/>
                  <w:rPr>
                    <w:rFonts w:cs="Arial"/>
                    <w:b/>
                  </w:rPr>
                </w:pPr>
                <w:r>
                  <w:rPr>
                    <w:rFonts w:cs="Arial"/>
                    <w:b/>
                  </w:rPr>
                  <w:t>Technical Officer NABERS</w:t>
                </w:r>
              </w:p>
            </w:tc>
            <w:tc>
              <w:tcPr>
                <w:tcW w:w="1945" w:type="pct"/>
              </w:tcPr>
              <w:p w:rsidR="00CE67C5" w:rsidRPr="000477E1" w:rsidRDefault="00A63EAF" w:rsidP="00F428FF">
                <w:pPr>
                  <w:jc w:val="right"/>
                </w:pPr>
                <w:r>
                  <w:rPr>
                    <w:noProof/>
                    <w:lang w:eastAsia="en-AU"/>
                  </w:rPr>
                  <w:drawing>
                    <wp:inline distT="0" distB="0" distL="0" distR="0" wp14:anchorId="4192CD9A" wp14:editId="37E65D32">
                      <wp:extent cx="2452037" cy="815340"/>
                      <wp:effectExtent l="0" t="0" r="5715" b="3810"/>
                      <wp:docPr id="35" name="Picture 35" descr="Logo of NSW Department of Planning, Industry and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mp;E 2 co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713" cy="818225"/>
                              </a:xfrm>
                              <a:prstGeom prst="rect">
                                <a:avLst/>
                              </a:prstGeom>
                              <a:noFill/>
                              <a:ln>
                                <a:noFill/>
                              </a:ln>
                            </pic:spPr>
                          </pic:pic>
                        </a:graphicData>
                      </a:graphic>
                    </wp:inline>
                  </w:drawing>
                </w:r>
              </w:p>
              <w:p w:rsidR="00CE67C5" w:rsidRPr="000477E1" w:rsidRDefault="00CE67C5" w:rsidP="00F428FF">
                <w:pPr>
                  <w:jc w:val="right"/>
                </w:pPr>
              </w:p>
            </w:tc>
          </w:tr>
        </w:tbl>
        <w:p w:rsidR="00CE67C5" w:rsidRPr="00EF5299" w:rsidRDefault="00CE67C5" w:rsidP="00F428FF">
          <w:pPr>
            <w:pStyle w:val="BodyText2"/>
            <w:tabs>
              <w:tab w:val="left" w:pos="2127"/>
            </w:tabs>
            <w:spacing w:after="0" w:line="240" w:lineRule="auto"/>
            <w:ind w:right="-2892"/>
            <w:rPr>
              <w:b/>
              <w:sz w:val="42"/>
              <w:szCs w:val="42"/>
            </w:rPr>
          </w:pPr>
        </w:p>
      </w:tc>
      <w:tc>
        <w:tcPr>
          <w:tcW w:w="1343" w:type="pct"/>
        </w:tcPr>
        <w:p w:rsidR="00CE67C5" w:rsidRPr="00753C8C" w:rsidRDefault="00CE67C5" w:rsidP="000503AA">
          <w:pPr>
            <w:pStyle w:val="HelpText"/>
            <w:ind w:left="2634"/>
          </w:pPr>
          <w:r>
            <w:rPr>
              <w:noProof/>
              <w:szCs w:val="16"/>
              <w:lang w:eastAsia="en-AU"/>
            </w:rPr>
            <w:drawing>
              <wp:inline distT="0" distB="0" distL="0" distR="0" wp14:anchorId="368EDB1D" wp14:editId="2178B71C">
                <wp:extent cx="1600200" cy="584200"/>
                <wp:effectExtent l="0" t="0" r="0" b="6350"/>
                <wp:docPr id="36" name="Picture 36" descr="OEH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HColour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84200"/>
                        </a:xfrm>
                        <a:prstGeom prst="rect">
                          <a:avLst/>
                        </a:prstGeom>
                        <a:noFill/>
                        <a:ln>
                          <a:noFill/>
                        </a:ln>
                      </pic:spPr>
                    </pic:pic>
                  </a:graphicData>
                </a:graphic>
              </wp:inline>
            </w:drawing>
          </w:r>
          <w:r w:rsidRPr="00753C8C">
            <w:fldChar w:fldCharType="begin"/>
          </w:r>
          <w:r w:rsidRPr="00753C8C">
            <w:instrText xml:space="preserve"> MACROBUTTON  InsertPicture</w:instrText>
          </w:r>
          <w:r>
            <w:instrText>3</w:instrText>
          </w:r>
          <w:r w:rsidRPr="00753C8C">
            <w:instrText xml:space="preserve"> Double click here to insert logo.</w:instrText>
          </w:r>
          <w:r w:rsidRPr="00753C8C">
            <w:fldChar w:fldCharType="end"/>
          </w:r>
        </w:p>
      </w:tc>
      <w:tc>
        <w:tcPr>
          <w:tcW w:w="1343" w:type="pct"/>
          <w:noWrap/>
        </w:tcPr>
        <w:p w:rsidR="00CE67C5" w:rsidRDefault="00CE67C5" w:rsidP="00D77156">
          <w:pPr>
            <w:pStyle w:val="TitleSub"/>
            <w:spacing w:after="0"/>
          </w:pPr>
          <w:r w:rsidRPr="00172A22">
            <w:t>Role Description</w:t>
          </w:r>
          <w:r>
            <w:t xml:space="preserve"> </w:t>
          </w:r>
        </w:p>
        <w:p w:rsidR="00CE67C5" w:rsidRPr="00EC2ACA" w:rsidRDefault="00CE67C5" w:rsidP="00EC2ACA">
          <w:pPr>
            <w:tabs>
              <w:tab w:val="left" w:pos="2410"/>
            </w:tabs>
            <w:ind w:left="34" w:right="33" w:hanging="34"/>
            <w:jc w:val="both"/>
            <w:rPr>
              <w:rFonts w:cs="Arial"/>
              <w:b/>
              <w:sz w:val="42"/>
              <w:szCs w:val="42"/>
              <w:lang w:eastAsia="en-AU"/>
            </w:rPr>
          </w:pPr>
          <w:r w:rsidRPr="00EC2ACA">
            <w:rPr>
              <w:rFonts w:cs="Arial"/>
              <w:b/>
              <w:sz w:val="42"/>
              <w:szCs w:val="42"/>
              <w:lang w:eastAsia="en-AU"/>
            </w:rPr>
            <w:t>Technical Officer (NABERS)</w:t>
          </w:r>
          <w:bookmarkStart w:id="61" w:name="Title"/>
          <w:bookmarkEnd w:id="61"/>
        </w:p>
      </w:tc>
      <w:tc>
        <w:tcPr>
          <w:tcW w:w="502" w:type="pct"/>
        </w:tcPr>
        <w:p w:rsidR="00CE67C5" w:rsidRPr="00753C8C" w:rsidRDefault="00CE67C5" w:rsidP="0043710E">
          <w:pPr>
            <w:pStyle w:val="HelpText"/>
          </w:pPr>
          <w:r w:rsidRPr="00753C8C">
            <w:fldChar w:fldCharType="begin"/>
          </w:r>
          <w:r w:rsidRPr="00753C8C">
            <w:instrText xml:space="preserve"> MACROBUTTON  InsertPicture</w:instrText>
          </w:r>
          <w:r>
            <w:instrText>3</w:instrText>
          </w:r>
          <w:r w:rsidRPr="00753C8C">
            <w:instrText xml:space="preserve"> Double click here to insert logo.</w:instrText>
          </w:r>
          <w:r w:rsidRPr="00753C8C">
            <w:fldChar w:fldCharType="end"/>
          </w:r>
        </w:p>
      </w:tc>
    </w:tr>
  </w:tbl>
  <w:p w:rsidR="00CE67C5" w:rsidRPr="00057CB3" w:rsidRDefault="00CE67C5"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25.05pt" o:bullet="t">
        <v:imagedata r:id="rId1" o:title="bullet"/>
      </v:shape>
    </w:pict>
  </w:numPicBullet>
  <w:abstractNum w:abstractNumId="0" w15:restartNumberingAfterBreak="0">
    <w:nsid w:val="AC736142"/>
    <w:multiLevelType w:val="hybridMultilevel"/>
    <w:tmpl w:val="2AFA1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7AC3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57F6755"/>
    <w:multiLevelType w:val="hybridMultilevel"/>
    <w:tmpl w:val="EDB854C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0C4704"/>
    <w:multiLevelType w:val="hybridMultilevel"/>
    <w:tmpl w:val="515C9BA4"/>
    <w:lvl w:ilvl="0" w:tplc="0C09000F">
      <w:start w:val="1"/>
      <w:numFmt w:val="decimal"/>
      <w:lvlText w:val="%1."/>
      <w:lvlJc w:val="left"/>
      <w:pPr>
        <w:tabs>
          <w:tab w:val="num" w:pos="361"/>
        </w:tabs>
        <w:ind w:left="361" w:hanging="360"/>
      </w:pPr>
      <w:rPr>
        <w:rFonts w:hint="default"/>
      </w:rPr>
    </w:lvl>
    <w:lvl w:ilvl="1" w:tplc="0C090019">
      <w:start w:val="1"/>
      <w:numFmt w:val="lowerLetter"/>
      <w:lvlText w:val="%2."/>
      <w:lvlJc w:val="left"/>
      <w:pPr>
        <w:tabs>
          <w:tab w:val="num" w:pos="1081"/>
        </w:tabs>
        <w:ind w:left="1081" w:hanging="360"/>
      </w:pPr>
    </w:lvl>
    <w:lvl w:ilvl="2" w:tplc="0C09001B">
      <w:start w:val="1"/>
      <w:numFmt w:val="lowerRoman"/>
      <w:lvlText w:val="%3."/>
      <w:lvlJc w:val="right"/>
      <w:pPr>
        <w:tabs>
          <w:tab w:val="num" w:pos="1801"/>
        </w:tabs>
        <w:ind w:left="1801" w:hanging="180"/>
      </w:pPr>
    </w:lvl>
    <w:lvl w:ilvl="3" w:tplc="0C09000F">
      <w:start w:val="1"/>
      <w:numFmt w:val="decimal"/>
      <w:lvlText w:val="%4."/>
      <w:lvlJc w:val="left"/>
      <w:pPr>
        <w:tabs>
          <w:tab w:val="num" w:pos="2521"/>
        </w:tabs>
        <w:ind w:left="2521" w:hanging="360"/>
      </w:pPr>
    </w:lvl>
    <w:lvl w:ilvl="4" w:tplc="0C090019">
      <w:start w:val="1"/>
      <w:numFmt w:val="lowerLetter"/>
      <w:lvlText w:val="%5."/>
      <w:lvlJc w:val="left"/>
      <w:pPr>
        <w:tabs>
          <w:tab w:val="num" w:pos="3241"/>
        </w:tabs>
        <w:ind w:left="3241" w:hanging="360"/>
      </w:pPr>
    </w:lvl>
    <w:lvl w:ilvl="5" w:tplc="0C09001B">
      <w:start w:val="1"/>
      <w:numFmt w:val="lowerRoman"/>
      <w:lvlText w:val="%6."/>
      <w:lvlJc w:val="right"/>
      <w:pPr>
        <w:tabs>
          <w:tab w:val="num" w:pos="3961"/>
        </w:tabs>
        <w:ind w:left="3961" w:hanging="180"/>
      </w:pPr>
    </w:lvl>
    <w:lvl w:ilvl="6" w:tplc="0C09000F">
      <w:start w:val="1"/>
      <w:numFmt w:val="decimal"/>
      <w:lvlText w:val="%7."/>
      <w:lvlJc w:val="left"/>
      <w:pPr>
        <w:tabs>
          <w:tab w:val="num" w:pos="4681"/>
        </w:tabs>
        <w:ind w:left="4681" w:hanging="360"/>
      </w:pPr>
    </w:lvl>
    <w:lvl w:ilvl="7" w:tplc="0C090019">
      <w:start w:val="1"/>
      <w:numFmt w:val="lowerLetter"/>
      <w:lvlText w:val="%8."/>
      <w:lvlJc w:val="left"/>
      <w:pPr>
        <w:tabs>
          <w:tab w:val="num" w:pos="5401"/>
        </w:tabs>
        <w:ind w:left="5401" w:hanging="360"/>
      </w:pPr>
    </w:lvl>
    <w:lvl w:ilvl="8" w:tplc="0C09001B">
      <w:start w:val="1"/>
      <w:numFmt w:val="lowerRoman"/>
      <w:lvlText w:val="%9."/>
      <w:lvlJc w:val="right"/>
      <w:pPr>
        <w:tabs>
          <w:tab w:val="num" w:pos="6121"/>
        </w:tabs>
        <w:ind w:left="6121" w:hanging="180"/>
      </w:pPr>
    </w:lvl>
  </w:abstractNum>
  <w:abstractNum w:abstractNumId="14" w15:restartNumberingAfterBreak="0">
    <w:nsid w:val="1EA43A3E"/>
    <w:multiLevelType w:val="hybridMultilevel"/>
    <w:tmpl w:val="B2169A7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00741B"/>
    <w:multiLevelType w:val="hybridMultilevel"/>
    <w:tmpl w:val="1FFA35F8"/>
    <w:lvl w:ilvl="0" w:tplc="1348F512">
      <w:start w:val="1"/>
      <w:numFmt w:val="bullet"/>
      <w:lvlText w:val=""/>
      <w:lvlJc w:val="left"/>
      <w:pPr>
        <w:tabs>
          <w:tab w:val="num" w:pos="397"/>
        </w:tabs>
        <w:ind w:left="397" w:hanging="397"/>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7868C9"/>
    <w:multiLevelType w:val="hybridMultilevel"/>
    <w:tmpl w:val="655011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FE204B3"/>
    <w:multiLevelType w:val="hybridMultilevel"/>
    <w:tmpl w:val="E7E023D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803B49"/>
    <w:multiLevelType w:val="hybridMultilevel"/>
    <w:tmpl w:val="DC0F2E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820707A"/>
    <w:multiLevelType w:val="hybridMultilevel"/>
    <w:tmpl w:val="6F4AE9FC"/>
    <w:lvl w:ilvl="0" w:tplc="0C090001">
      <w:start w:val="1"/>
      <w:numFmt w:val="bullet"/>
      <w:lvlText w:val=""/>
      <w:lvlJc w:val="left"/>
      <w:pPr>
        <w:tabs>
          <w:tab w:val="num" w:pos="361"/>
        </w:tabs>
        <w:ind w:left="361" w:hanging="360"/>
      </w:pPr>
      <w:rPr>
        <w:rFonts w:ascii="Symbol" w:hAnsi="Symbol" w:hint="default"/>
      </w:rPr>
    </w:lvl>
    <w:lvl w:ilvl="1" w:tplc="0C090019">
      <w:start w:val="1"/>
      <w:numFmt w:val="lowerLetter"/>
      <w:lvlText w:val="%2."/>
      <w:lvlJc w:val="left"/>
      <w:pPr>
        <w:tabs>
          <w:tab w:val="num" w:pos="1081"/>
        </w:tabs>
        <w:ind w:left="1081" w:hanging="360"/>
      </w:pPr>
    </w:lvl>
    <w:lvl w:ilvl="2" w:tplc="0C09001B">
      <w:start w:val="1"/>
      <w:numFmt w:val="lowerRoman"/>
      <w:lvlText w:val="%3."/>
      <w:lvlJc w:val="right"/>
      <w:pPr>
        <w:tabs>
          <w:tab w:val="num" w:pos="1801"/>
        </w:tabs>
        <w:ind w:left="1801" w:hanging="180"/>
      </w:pPr>
    </w:lvl>
    <w:lvl w:ilvl="3" w:tplc="0C09000F">
      <w:start w:val="1"/>
      <w:numFmt w:val="decimal"/>
      <w:lvlText w:val="%4."/>
      <w:lvlJc w:val="left"/>
      <w:pPr>
        <w:tabs>
          <w:tab w:val="num" w:pos="2521"/>
        </w:tabs>
        <w:ind w:left="2521" w:hanging="360"/>
      </w:pPr>
    </w:lvl>
    <w:lvl w:ilvl="4" w:tplc="0C090019">
      <w:start w:val="1"/>
      <w:numFmt w:val="lowerLetter"/>
      <w:lvlText w:val="%5."/>
      <w:lvlJc w:val="left"/>
      <w:pPr>
        <w:tabs>
          <w:tab w:val="num" w:pos="3241"/>
        </w:tabs>
        <w:ind w:left="3241" w:hanging="360"/>
      </w:pPr>
    </w:lvl>
    <w:lvl w:ilvl="5" w:tplc="0C09001B">
      <w:start w:val="1"/>
      <w:numFmt w:val="lowerRoman"/>
      <w:lvlText w:val="%6."/>
      <w:lvlJc w:val="right"/>
      <w:pPr>
        <w:tabs>
          <w:tab w:val="num" w:pos="3961"/>
        </w:tabs>
        <w:ind w:left="3961" w:hanging="180"/>
      </w:pPr>
    </w:lvl>
    <w:lvl w:ilvl="6" w:tplc="0C09000F">
      <w:start w:val="1"/>
      <w:numFmt w:val="decimal"/>
      <w:lvlText w:val="%7."/>
      <w:lvlJc w:val="left"/>
      <w:pPr>
        <w:tabs>
          <w:tab w:val="num" w:pos="4681"/>
        </w:tabs>
        <w:ind w:left="4681" w:hanging="360"/>
      </w:pPr>
    </w:lvl>
    <w:lvl w:ilvl="7" w:tplc="0C090019">
      <w:start w:val="1"/>
      <w:numFmt w:val="lowerLetter"/>
      <w:lvlText w:val="%8."/>
      <w:lvlJc w:val="left"/>
      <w:pPr>
        <w:tabs>
          <w:tab w:val="num" w:pos="5401"/>
        </w:tabs>
        <w:ind w:left="5401" w:hanging="360"/>
      </w:pPr>
    </w:lvl>
    <w:lvl w:ilvl="8" w:tplc="0C09001B">
      <w:start w:val="1"/>
      <w:numFmt w:val="lowerRoman"/>
      <w:lvlText w:val="%9."/>
      <w:lvlJc w:val="right"/>
      <w:pPr>
        <w:tabs>
          <w:tab w:val="num" w:pos="6121"/>
        </w:tabs>
        <w:ind w:left="6121" w:hanging="180"/>
      </w:pPr>
    </w:lvl>
  </w:abstractNum>
  <w:abstractNum w:abstractNumId="26" w15:restartNumberingAfterBreak="0">
    <w:nsid w:val="6C0D0113"/>
    <w:multiLevelType w:val="hybridMultilevel"/>
    <w:tmpl w:val="BAC4A4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C51076"/>
    <w:multiLevelType w:val="hybridMultilevel"/>
    <w:tmpl w:val="3EF6C53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55C2DEB"/>
    <w:multiLevelType w:val="hybridMultilevel"/>
    <w:tmpl w:val="7D2442D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4"/>
  </w:num>
  <w:num w:numId="13">
    <w:abstractNumId w:val="24"/>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7"/>
  </w:num>
  <w:num w:numId="21">
    <w:abstractNumId w:val="23"/>
  </w:num>
  <w:num w:numId="22">
    <w:abstractNumId w:val="19"/>
  </w:num>
  <w:num w:numId="23">
    <w:abstractNumId w:val="22"/>
  </w:num>
  <w:num w:numId="24">
    <w:abstractNumId w:val="16"/>
  </w:num>
  <w:num w:numId="25">
    <w:abstractNumId w:val="30"/>
  </w:num>
  <w:num w:numId="26">
    <w:abstractNumId w:val="14"/>
  </w:num>
  <w:num w:numId="27">
    <w:abstractNumId w:val="26"/>
  </w:num>
  <w:num w:numId="28">
    <w:abstractNumId w:val="17"/>
  </w:num>
  <w:num w:numId="29">
    <w:abstractNumId w:val="29"/>
  </w:num>
  <w:num w:numId="30">
    <w:abstractNumId w:val="13"/>
  </w:num>
  <w:num w:numId="31">
    <w:abstractNumId w:val="20"/>
  </w:num>
  <w:num w:numId="32">
    <w:abstractNumId w:val="18"/>
  </w:num>
  <w:num w:numId="33">
    <w:abstractNumId w:val="11"/>
  </w:num>
  <w:num w:numId="34">
    <w:abstractNumId w:val="28"/>
  </w:num>
  <w:num w:numId="35">
    <w:abstractNumId w:val="25"/>
  </w:num>
  <w:num w:numId="36">
    <w:abstractNumId w:val="0"/>
  </w:num>
  <w:num w:numId="37">
    <w:abstractNumId w:val="1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5C"/>
    <w:rsid w:val="000004A7"/>
    <w:rsid w:val="00001430"/>
    <w:rsid w:val="0000267F"/>
    <w:rsid w:val="000044A0"/>
    <w:rsid w:val="00006660"/>
    <w:rsid w:val="000128CF"/>
    <w:rsid w:val="00014206"/>
    <w:rsid w:val="00014E98"/>
    <w:rsid w:val="000151A9"/>
    <w:rsid w:val="00021C23"/>
    <w:rsid w:val="000227A8"/>
    <w:rsid w:val="0002436B"/>
    <w:rsid w:val="0002595E"/>
    <w:rsid w:val="0002637C"/>
    <w:rsid w:val="0003077E"/>
    <w:rsid w:val="00030C9C"/>
    <w:rsid w:val="00031E32"/>
    <w:rsid w:val="0003659D"/>
    <w:rsid w:val="00042681"/>
    <w:rsid w:val="00043B92"/>
    <w:rsid w:val="000440C3"/>
    <w:rsid w:val="00045975"/>
    <w:rsid w:val="000477E1"/>
    <w:rsid w:val="000503AA"/>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1683"/>
    <w:rsid w:val="0008547B"/>
    <w:rsid w:val="00086B43"/>
    <w:rsid w:val="0009116E"/>
    <w:rsid w:val="000915AA"/>
    <w:rsid w:val="00092A99"/>
    <w:rsid w:val="00094538"/>
    <w:rsid w:val="0009663A"/>
    <w:rsid w:val="000967EB"/>
    <w:rsid w:val="000975C1"/>
    <w:rsid w:val="00097C7F"/>
    <w:rsid w:val="00097CC6"/>
    <w:rsid w:val="000A16AF"/>
    <w:rsid w:val="000A32C1"/>
    <w:rsid w:val="000A3889"/>
    <w:rsid w:val="000A417B"/>
    <w:rsid w:val="000A4E9E"/>
    <w:rsid w:val="000A6D63"/>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47C6E"/>
    <w:rsid w:val="00154B46"/>
    <w:rsid w:val="001612BF"/>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5B5E"/>
    <w:rsid w:val="001A704A"/>
    <w:rsid w:val="001B0AF4"/>
    <w:rsid w:val="001B73B1"/>
    <w:rsid w:val="001B7940"/>
    <w:rsid w:val="001C0122"/>
    <w:rsid w:val="001C0E34"/>
    <w:rsid w:val="001C1189"/>
    <w:rsid w:val="001D0E26"/>
    <w:rsid w:val="001D0E78"/>
    <w:rsid w:val="001D133A"/>
    <w:rsid w:val="001D1BB5"/>
    <w:rsid w:val="001D6B1C"/>
    <w:rsid w:val="001D73CA"/>
    <w:rsid w:val="001E0F3B"/>
    <w:rsid w:val="001E2B26"/>
    <w:rsid w:val="001E7CA4"/>
    <w:rsid w:val="001E7CC7"/>
    <w:rsid w:val="001F0E79"/>
    <w:rsid w:val="001F3B8E"/>
    <w:rsid w:val="001F57B6"/>
    <w:rsid w:val="001F5938"/>
    <w:rsid w:val="001F618B"/>
    <w:rsid w:val="00202CD4"/>
    <w:rsid w:val="00203E4E"/>
    <w:rsid w:val="00213ED7"/>
    <w:rsid w:val="00222CC4"/>
    <w:rsid w:val="002256A0"/>
    <w:rsid w:val="002347AA"/>
    <w:rsid w:val="00237136"/>
    <w:rsid w:val="00237CFF"/>
    <w:rsid w:val="002512D7"/>
    <w:rsid w:val="00252BF9"/>
    <w:rsid w:val="00266EF3"/>
    <w:rsid w:val="00271FAE"/>
    <w:rsid w:val="002735A9"/>
    <w:rsid w:val="0028049D"/>
    <w:rsid w:val="00280676"/>
    <w:rsid w:val="00284FE6"/>
    <w:rsid w:val="00285EA6"/>
    <w:rsid w:val="00285EF8"/>
    <w:rsid w:val="002863B5"/>
    <w:rsid w:val="00286B47"/>
    <w:rsid w:val="00286EBD"/>
    <w:rsid w:val="002872F7"/>
    <w:rsid w:val="002901B8"/>
    <w:rsid w:val="00294E56"/>
    <w:rsid w:val="00297CDF"/>
    <w:rsid w:val="002A18A8"/>
    <w:rsid w:val="002A41AA"/>
    <w:rsid w:val="002A4DAB"/>
    <w:rsid w:val="002A60C2"/>
    <w:rsid w:val="002B27D4"/>
    <w:rsid w:val="002C1724"/>
    <w:rsid w:val="002C458A"/>
    <w:rsid w:val="002D0251"/>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0529A"/>
    <w:rsid w:val="00313043"/>
    <w:rsid w:val="003232D0"/>
    <w:rsid w:val="00324761"/>
    <w:rsid w:val="00324F2D"/>
    <w:rsid w:val="00326B2D"/>
    <w:rsid w:val="00327C35"/>
    <w:rsid w:val="00330331"/>
    <w:rsid w:val="00334ED9"/>
    <w:rsid w:val="0033590A"/>
    <w:rsid w:val="003361AE"/>
    <w:rsid w:val="00341802"/>
    <w:rsid w:val="0034373A"/>
    <w:rsid w:val="0034513E"/>
    <w:rsid w:val="003452C0"/>
    <w:rsid w:val="00347774"/>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390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093"/>
    <w:rsid w:val="003D44C2"/>
    <w:rsid w:val="003D4698"/>
    <w:rsid w:val="003D77D3"/>
    <w:rsid w:val="003E55F7"/>
    <w:rsid w:val="003E5AD6"/>
    <w:rsid w:val="003F0B30"/>
    <w:rsid w:val="003F22BD"/>
    <w:rsid w:val="003F2E7D"/>
    <w:rsid w:val="003F58FA"/>
    <w:rsid w:val="003F667E"/>
    <w:rsid w:val="003F6E2B"/>
    <w:rsid w:val="003F7C59"/>
    <w:rsid w:val="00402E6D"/>
    <w:rsid w:val="0041221E"/>
    <w:rsid w:val="00414117"/>
    <w:rsid w:val="004145AE"/>
    <w:rsid w:val="00420251"/>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604F"/>
    <w:rsid w:val="004C6CF5"/>
    <w:rsid w:val="004C7ED0"/>
    <w:rsid w:val="004D1E56"/>
    <w:rsid w:val="004D3800"/>
    <w:rsid w:val="004D751F"/>
    <w:rsid w:val="004E0CEE"/>
    <w:rsid w:val="004E3295"/>
    <w:rsid w:val="004E4642"/>
    <w:rsid w:val="004E5FCD"/>
    <w:rsid w:val="004E7C6C"/>
    <w:rsid w:val="004F0E9E"/>
    <w:rsid w:val="004F1DB4"/>
    <w:rsid w:val="004F1FB5"/>
    <w:rsid w:val="004F4AB0"/>
    <w:rsid w:val="004F6193"/>
    <w:rsid w:val="004F6408"/>
    <w:rsid w:val="005030FB"/>
    <w:rsid w:val="005037F1"/>
    <w:rsid w:val="00506C0E"/>
    <w:rsid w:val="00506CB5"/>
    <w:rsid w:val="00506DED"/>
    <w:rsid w:val="00507F16"/>
    <w:rsid w:val="005122CD"/>
    <w:rsid w:val="005132CB"/>
    <w:rsid w:val="00513F46"/>
    <w:rsid w:val="00521420"/>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249D"/>
    <w:rsid w:val="005741B0"/>
    <w:rsid w:val="00575E21"/>
    <w:rsid w:val="00576997"/>
    <w:rsid w:val="005829CE"/>
    <w:rsid w:val="00582E73"/>
    <w:rsid w:val="005830BB"/>
    <w:rsid w:val="005840AF"/>
    <w:rsid w:val="0058762A"/>
    <w:rsid w:val="00591804"/>
    <w:rsid w:val="00594A6C"/>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3F49"/>
    <w:rsid w:val="005D5F07"/>
    <w:rsid w:val="005D62DC"/>
    <w:rsid w:val="005D7164"/>
    <w:rsid w:val="005D7A1A"/>
    <w:rsid w:val="005E06FD"/>
    <w:rsid w:val="005E1E05"/>
    <w:rsid w:val="005E2A35"/>
    <w:rsid w:val="005E3DE9"/>
    <w:rsid w:val="005F0E0E"/>
    <w:rsid w:val="005F2CA5"/>
    <w:rsid w:val="005F427B"/>
    <w:rsid w:val="005F4EC6"/>
    <w:rsid w:val="005F5991"/>
    <w:rsid w:val="005F7A3D"/>
    <w:rsid w:val="00601353"/>
    <w:rsid w:val="00602728"/>
    <w:rsid w:val="006036C7"/>
    <w:rsid w:val="00604DCB"/>
    <w:rsid w:val="00610310"/>
    <w:rsid w:val="00611740"/>
    <w:rsid w:val="006164DD"/>
    <w:rsid w:val="00620CA4"/>
    <w:rsid w:val="00624400"/>
    <w:rsid w:val="00632BC3"/>
    <w:rsid w:val="0063412F"/>
    <w:rsid w:val="00634506"/>
    <w:rsid w:val="00635BBB"/>
    <w:rsid w:val="006367AD"/>
    <w:rsid w:val="00640B15"/>
    <w:rsid w:val="00642476"/>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06D9"/>
    <w:rsid w:val="006A38B2"/>
    <w:rsid w:val="006A6D25"/>
    <w:rsid w:val="006B4035"/>
    <w:rsid w:val="006B5610"/>
    <w:rsid w:val="006C1B5E"/>
    <w:rsid w:val="006C1FBD"/>
    <w:rsid w:val="006C37AA"/>
    <w:rsid w:val="006C3E53"/>
    <w:rsid w:val="006E0883"/>
    <w:rsid w:val="006E41E5"/>
    <w:rsid w:val="006F2A07"/>
    <w:rsid w:val="006F481B"/>
    <w:rsid w:val="006F6540"/>
    <w:rsid w:val="006F7045"/>
    <w:rsid w:val="00700589"/>
    <w:rsid w:val="0070281C"/>
    <w:rsid w:val="00704F0E"/>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B05B2"/>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699C"/>
    <w:rsid w:val="0080079A"/>
    <w:rsid w:val="00803E47"/>
    <w:rsid w:val="0080529D"/>
    <w:rsid w:val="0081343C"/>
    <w:rsid w:val="008151FF"/>
    <w:rsid w:val="0081582E"/>
    <w:rsid w:val="00820D73"/>
    <w:rsid w:val="00821C4C"/>
    <w:rsid w:val="00822DC8"/>
    <w:rsid w:val="008245C3"/>
    <w:rsid w:val="00824DB4"/>
    <w:rsid w:val="00825325"/>
    <w:rsid w:val="0082615A"/>
    <w:rsid w:val="008325D5"/>
    <w:rsid w:val="00835D24"/>
    <w:rsid w:val="008365F5"/>
    <w:rsid w:val="00842402"/>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779DE"/>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4738"/>
    <w:rsid w:val="008B5322"/>
    <w:rsid w:val="008B79A8"/>
    <w:rsid w:val="008D21B4"/>
    <w:rsid w:val="008D3BA5"/>
    <w:rsid w:val="008D774C"/>
    <w:rsid w:val="008E0207"/>
    <w:rsid w:val="008E2FD9"/>
    <w:rsid w:val="008E32C0"/>
    <w:rsid w:val="008E525F"/>
    <w:rsid w:val="008E52B8"/>
    <w:rsid w:val="008E562C"/>
    <w:rsid w:val="008E65A3"/>
    <w:rsid w:val="008E6C44"/>
    <w:rsid w:val="008F0E0C"/>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3E9F"/>
    <w:rsid w:val="0093429D"/>
    <w:rsid w:val="009358EA"/>
    <w:rsid w:val="00945108"/>
    <w:rsid w:val="00945CBA"/>
    <w:rsid w:val="00951702"/>
    <w:rsid w:val="00954341"/>
    <w:rsid w:val="009562E4"/>
    <w:rsid w:val="009565EF"/>
    <w:rsid w:val="0095776A"/>
    <w:rsid w:val="0095786C"/>
    <w:rsid w:val="00957887"/>
    <w:rsid w:val="00957A8E"/>
    <w:rsid w:val="009609A1"/>
    <w:rsid w:val="0096289B"/>
    <w:rsid w:val="0096292A"/>
    <w:rsid w:val="00967090"/>
    <w:rsid w:val="00970F86"/>
    <w:rsid w:val="00971986"/>
    <w:rsid w:val="00972AE0"/>
    <w:rsid w:val="00972C0F"/>
    <w:rsid w:val="00972D2F"/>
    <w:rsid w:val="00973219"/>
    <w:rsid w:val="00974FBE"/>
    <w:rsid w:val="0097549F"/>
    <w:rsid w:val="00975C70"/>
    <w:rsid w:val="009868FD"/>
    <w:rsid w:val="009933C0"/>
    <w:rsid w:val="00993AC0"/>
    <w:rsid w:val="00994854"/>
    <w:rsid w:val="009A0A5E"/>
    <w:rsid w:val="009A3B8F"/>
    <w:rsid w:val="009A6995"/>
    <w:rsid w:val="009A6996"/>
    <w:rsid w:val="009A7ABD"/>
    <w:rsid w:val="009B016F"/>
    <w:rsid w:val="009B3B93"/>
    <w:rsid w:val="009B5D72"/>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57BA"/>
    <w:rsid w:val="00A0630F"/>
    <w:rsid w:val="00A06383"/>
    <w:rsid w:val="00A063C8"/>
    <w:rsid w:val="00A120AB"/>
    <w:rsid w:val="00A14552"/>
    <w:rsid w:val="00A15CDB"/>
    <w:rsid w:val="00A20E02"/>
    <w:rsid w:val="00A24571"/>
    <w:rsid w:val="00A266ED"/>
    <w:rsid w:val="00A34E17"/>
    <w:rsid w:val="00A35AA5"/>
    <w:rsid w:val="00A361D2"/>
    <w:rsid w:val="00A362D2"/>
    <w:rsid w:val="00A37C23"/>
    <w:rsid w:val="00A43673"/>
    <w:rsid w:val="00A43CE0"/>
    <w:rsid w:val="00A4526C"/>
    <w:rsid w:val="00A45F50"/>
    <w:rsid w:val="00A51871"/>
    <w:rsid w:val="00A51ECE"/>
    <w:rsid w:val="00A522D3"/>
    <w:rsid w:val="00A525E0"/>
    <w:rsid w:val="00A527FC"/>
    <w:rsid w:val="00A61EA7"/>
    <w:rsid w:val="00A63EAF"/>
    <w:rsid w:val="00A64134"/>
    <w:rsid w:val="00A65116"/>
    <w:rsid w:val="00A67BC8"/>
    <w:rsid w:val="00A71CEF"/>
    <w:rsid w:val="00A71D64"/>
    <w:rsid w:val="00A755A5"/>
    <w:rsid w:val="00A756A7"/>
    <w:rsid w:val="00A76532"/>
    <w:rsid w:val="00A76845"/>
    <w:rsid w:val="00A76BF2"/>
    <w:rsid w:val="00A77C45"/>
    <w:rsid w:val="00A80D92"/>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402F"/>
    <w:rsid w:val="00B04165"/>
    <w:rsid w:val="00B04E23"/>
    <w:rsid w:val="00B0703F"/>
    <w:rsid w:val="00B07555"/>
    <w:rsid w:val="00B1410C"/>
    <w:rsid w:val="00B149F8"/>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2E68"/>
    <w:rsid w:val="00B545C7"/>
    <w:rsid w:val="00B547F2"/>
    <w:rsid w:val="00B55B6C"/>
    <w:rsid w:val="00B56682"/>
    <w:rsid w:val="00B6308A"/>
    <w:rsid w:val="00B6379C"/>
    <w:rsid w:val="00B65238"/>
    <w:rsid w:val="00B652C7"/>
    <w:rsid w:val="00B65548"/>
    <w:rsid w:val="00B67CEE"/>
    <w:rsid w:val="00B72341"/>
    <w:rsid w:val="00B73226"/>
    <w:rsid w:val="00B75918"/>
    <w:rsid w:val="00B80BAB"/>
    <w:rsid w:val="00B81F30"/>
    <w:rsid w:val="00B92BA2"/>
    <w:rsid w:val="00B92D96"/>
    <w:rsid w:val="00B93AF5"/>
    <w:rsid w:val="00BA2FCB"/>
    <w:rsid w:val="00BA36ED"/>
    <w:rsid w:val="00BA3815"/>
    <w:rsid w:val="00BA5174"/>
    <w:rsid w:val="00BA6905"/>
    <w:rsid w:val="00BB6168"/>
    <w:rsid w:val="00BC3F78"/>
    <w:rsid w:val="00BC543C"/>
    <w:rsid w:val="00BC78A9"/>
    <w:rsid w:val="00BD1219"/>
    <w:rsid w:val="00BD4313"/>
    <w:rsid w:val="00BD79F4"/>
    <w:rsid w:val="00BE11BF"/>
    <w:rsid w:val="00BE57E8"/>
    <w:rsid w:val="00BF3DFD"/>
    <w:rsid w:val="00BF5AC8"/>
    <w:rsid w:val="00C000DB"/>
    <w:rsid w:val="00C002B4"/>
    <w:rsid w:val="00C01FA7"/>
    <w:rsid w:val="00C026B0"/>
    <w:rsid w:val="00C041AA"/>
    <w:rsid w:val="00C0626A"/>
    <w:rsid w:val="00C06B8E"/>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27FE2"/>
    <w:rsid w:val="00C305B0"/>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7C17"/>
    <w:rsid w:val="00CD3717"/>
    <w:rsid w:val="00CD5CA8"/>
    <w:rsid w:val="00CD6BA6"/>
    <w:rsid w:val="00CE17D7"/>
    <w:rsid w:val="00CE5B1D"/>
    <w:rsid w:val="00CE67C5"/>
    <w:rsid w:val="00CF008C"/>
    <w:rsid w:val="00CF0299"/>
    <w:rsid w:val="00CF15AA"/>
    <w:rsid w:val="00CF4997"/>
    <w:rsid w:val="00D009F6"/>
    <w:rsid w:val="00D01DB5"/>
    <w:rsid w:val="00D01DE9"/>
    <w:rsid w:val="00D03021"/>
    <w:rsid w:val="00D035EB"/>
    <w:rsid w:val="00D145C0"/>
    <w:rsid w:val="00D201B3"/>
    <w:rsid w:val="00D21C80"/>
    <w:rsid w:val="00D248B7"/>
    <w:rsid w:val="00D24E35"/>
    <w:rsid w:val="00D2560A"/>
    <w:rsid w:val="00D25C96"/>
    <w:rsid w:val="00D2725D"/>
    <w:rsid w:val="00D30028"/>
    <w:rsid w:val="00D31E55"/>
    <w:rsid w:val="00D34DFE"/>
    <w:rsid w:val="00D35E99"/>
    <w:rsid w:val="00D41B3C"/>
    <w:rsid w:val="00D50088"/>
    <w:rsid w:val="00D570E5"/>
    <w:rsid w:val="00D57BD0"/>
    <w:rsid w:val="00D60597"/>
    <w:rsid w:val="00D6122E"/>
    <w:rsid w:val="00D6282F"/>
    <w:rsid w:val="00D64C06"/>
    <w:rsid w:val="00D64DCD"/>
    <w:rsid w:val="00D66802"/>
    <w:rsid w:val="00D67A8B"/>
    <w:rsid w:val="00D74850"/>
    <w:rsid w:val="00D77156"/>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C5784"/>
    <w:rsid w:val="00DD1535"/>
    <w:rsid w:val="00DD15D6"/>
    <w:rsid w:val="00DD3989"/>
    <w:rsid w:val="00DE405D"/>
    <w:rsid w:val="00DE54F9"/>
    <w:rsid w:val="00DE6AF8"/>
    <w:rsid w:val="00DF3DC9"/>
    <w:rsid w:val="00DF3F93"/>
    <w:rsid w:val="00DF42A4"/>
    <w:rsid w:val="00DF59CB"/>
    <w:rsid w:val="00E04F5B"/>
    <w:rsid w:val="00E058FB"/>
    <w:rsid w:val="00E05A1C"/>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2F5"/>
    <w:rsid w:val="00E565D0"/>
    <w:rsid w:val="00E62C1F"/>
    <w:rsid w:val="00E62FC0"/>
    <w:rsid w:val="00E6495E"/>
    <w:rsid w:val="00E6745E"/>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20DC"/>
    <w:rsid w:val="00EC237B"/>
    <w:rsid w:val="00EC2ACA"/>
    <w:rsid w:val="00EC3174"/>
    <w:rsid w:val="00EC7BF4"/>
    <w:rsid w:val="00ED00C2"/>
    <w:rsid w:val="00ED118C"/>
    <w:rsid w:val="00ED368F"/>
    <w:rsid w:val="00ED472C"/>
    <w:rsid w:val="00ED649D"/>
    <w:rsid w:val="00EE35DA"/>
    <w:rsid w:val="00EE75EC"/>
    <w:rsid w:val="00EF0BF3"/>
    <w:rsid w:val="00EF4821"/>
    <w:rsid w:val="00EF5BA6"/>
    <w:rsid w:val="00EF6A76"/>
    <w:rsid w:val="00F004BA"/>
    <w:rsid w:val="00F00D00"/>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2827"/>
    <w:rsid w:val="00F34477"/>
    <w:rsid w:val="00F34781"/>
    <w:rsid w:val="00F34B25"/>
    <w:rsid w:val="00F359FF"/>
    <w:rsid w:val="00F37DDA"/>
    <w:rsid w:val="00F410B1"/>
    <w:rsid w:val="00F4142A"/>
    <w:rsid w:val="00F41DC7"/>
    <w:rsid w:val="00F428FF"/>
    <w:rsid w:val="00F4354F"/>
    <w:rsid w:val="00F444BA"/>
    <w:rsid w:val="00F4708C"/>
    <w:rsid w:val="00F47559"/>
    <w:rsid w:val="00F536D0"/>
    <w:rsid w:val="00F53A24"/>
    <w:rsid w:val="00F548BF"/>
    <w:rsid w:val="00F555D8"/>
    <w:rsid w:val="00F617C7"/>
    <w:rsid w:val="00F62E46"/>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4EF7"/>
    <w:rsid w:val="00F956D1"/>
    <w:rsid w:val="00F9774A"/>
    <w:rsid w:val="00FA1399"/>
    <w:rsid w:val="00FA3A77"/>
    <w:rsid w:val="00FA7304"/>
    <w:rsid w:val="00FB0070"/>
    <w:rsid w:val="00FB048D"/>
    <w:rsid w:val="00FB1347"/>
    <w:rsid w:val="00FB78E4"/>
    <w:rsid w:val="00FC1BDC"/>
    <w:rsid w:val="00FC1D6A"/>
    <w:rsid w:val="00FC2FCD"/>
    <w:rsid w:val="00FC3181"/>
    <w:rsid w:val="00FC3704"/>
    <w:rsid w:val="00FC41C4"/>
    <w:rsid w:val="00FC6ADA"/>
    <w:rsid w:val="00FD4CA8"/>
    <w:rsid w:val="00FE20BD"/>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B21DC9-6706-48B2-92F3-6B51FCC7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7"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Default">
    <w:name w:val="Default"/>
    <w:rsid w:val="0034513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8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4CB7-39EF-4E79-98AD-126F9D7F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4428413B.dotm</Template>
  <TotalTime>0</TotalTime>
  <Pages>4</Pages>
  <Words>1120</Words>
  <Characters>7509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Greg</dc:creator>
  <cp:lastModifiedBy>Jenny Wight</cp:lastModifiedBy>
  <cp:revision>2</cp:revision>
  <dcterms:created xsi:type="dcterms:W3CDTF">2020-03-05T04:07:00Z</dcterms:created>
  <dcterms:modified xsi:type="dcterms:W3CDTF">2020-03-05T04:07:00Z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