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SCGreen"/>
        <w:tblW w:w="10587" w:type="dxa"/>
        <w:tblLook w:val="04A0" w:firstRow="1" w:lastRow="0" w:firstColumn="1" w:lastColumn="0" w:noHBand="0" w:noVBand="1"/>
      </w:tblPr>
      <w:tblGrid>
        <w:gridCol w:w="2977"/>
        <w:gridCol w:w="7610"/>
      </w:tblGrid>
      <w:tr w:rsidR="00A161BB" w14:paraId="2F5CFF6F" w14:textId="77777777" w:rsidTr="007F3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vAlign w:val="center"/>
            <w:hideMark/>
          </w:tcPr>
          <w:p w14:paraId="47D8FA0A" w14:textId="77777777" w:rsidR="00A161BB" w:rsidRPr="004D2E3D" w:rsidRDefault="00A161BB" w:rsidP="007F3C84">
            <w:pPr>
              <w:pStyle w:val="TableTextWhite"/>
              <w:rPr>
                <w:b/>
              </w:rPr>
            </w:pPr>
            <w:bookmarkStart w:id="0" w:name="_Hlk496784648"/>
            <w:bookmarkStart w:id="1" w:name="_Hlk498426069"/>
            <w:r w:rsidRPr="004D2E3D">
              <w:rPr>
                <w:b/>
              </w:rPr>
              <w:t>Cluster</w:t>
            </w:r>
          </w:p>
        </w:tc>
        <w:tc>
          <w:tcPr>
            <w:tcW w:w="7610" w:type="dxa"/>
            <w:hideMark/>
          </w:tcPr>
          <w:p w14:paraId="69FD240D" w14:textId="77777777" w:rsidR="00A161BB" w:rsidRDefault="00A161BB" w:rsidP="007F3C84">
            <w:pPr>
              <w:pStyle w:val="TableTextWhite"/>
            </w:pPr>
            <w:r>
              <w:t>Regional NSW</w:t>
            </w:r>
          </w:p>
        </w:tc>
      </w:tr>
      <w:tr w:rsidR="00A161BB" w14:paraId="77EF31F3" w14:textId="77777777" w:rsidTr="007F3C84">
        <w:tc>
          <w:tcPr>
            <w:tcW w:w="2977" w:type="dxa"/>
            <w:tcBorders>
              <w:left w:val="nil"/>
              <w:right w:val="nil"/>
            </w:tcBorders>
            <w:vAlign w:val="center"/>
            <w:hideMark/>
          </w:tcPr>
          <w:p w14:paraId="1DC010B4" w14:textId="77777777" w:rsidR="00A161BB" w:rsidRPr="004D2E3D" w:rsidRDefault="00A161BB" w:rsidP="007F3C84">
            <w:pPr>
              <w:pStyle w:val="TableTextWhite"/>
              <w:rPr>
                <w:b/>
              </w:rPr>
            </w:pPr>
            <w:r w:rsidRPr="004D2E3D">
              <w:rPr>
                <w:b/>
              </w:rPr>
              <w:t>Agency</w:t>
            </w:r>
          </w:p>
        </w:tc>
        <w:tc>
          <w:tcPr>
            <w:tcW w:w="7610" w:type="dxa"/>
            <w:tcBorders>
              <w:left w:val="nil"/>
              <w:right w:val="nil"/>
            </w:tcBorders>
            <w:hideMark/>
          </w:tcPr>
          <w:p w14:paraId="6C4D98E3" w14:textId="77777777" w:rsidR="00A161BB" w:rsidRDefault="00A161BB" w:rsidP="007F3C84">
            <w:pPr>
              <w:pStyle w:val="TableTextWhite"/>
            </w:pPr>
            <w:r>
              <w:t>Department of Regional NSW</w:t>
            </w:r>
          </w:p>
        </w:tc>
      </w:tr>
      <w:tr w:rsidR="00A161BB" w14:paraId="429215D1" w14:textId="77777777" w:rsidTr="007F3C84">
        <w:tc>
          <w:tcPr>
            <w:tcW w:w="2977" w:type="dxa"/>
            <w:tcBorders>
              <w:left w:val="nil"/>
              <w:right w:val="nil"/>
            </w:tcBorders>
            <w:vAlign w:val="center"/>
            <w:hideMark/>
          </w:tcPr>
          <w:p w14:paraId="2E5C304A" w14:textId="77777777" w:rsidR="00A161BB" w:rsidRPr="004D2E3D" w:rsidRDefault="00A161BB" w:rsidP="007F3C84">
            <w:pPr>
              <w:pStyle w:val="TableTextWhite"/>
              <w:rPr>
                <w:b/>
              </w:rPr>
            </w:pPr>
            <w:r w:rsidRPr="004D2E3D">
              <w:rPr>
                <w:b/>
              </w:rPr>
              <w:t>Division/Branch/Unit</w:t>
            </w:r>
          </w:p>
        </w:tc>
        <w:tc>
          <w:tcPr>
            <w:tcW w:w="7610" w:type="dxa"/>
            <w:tcBorders>
              <w:left w:val="nil"/>
              <w:right w:val="nil"/>
            </w:tcBorders>
            <w:hideMark/>
          </w:tcPr>
          <w:p w14:paraId="21B547D9" w14:textId="77777777" w:rsidR="00A161BB" w:rsidRDefault="00A161BB" w:rsidP="00171F26">
            <w:pPr>
              <w:pStyle w:val="TableTextWhite"/>
            </w:pPr>
            <w:r>
              <w:t>Corporate</w:t>
            </w:r>
            <w:r w:rsidR="00171F26">
              <w:t>/</w:t>
            </w:r>
            <w:r>
              <w:t xml:space="preserve"> Legal and Governance</w:t>
            </w:r>
            <w:r w:rsidR="00171F26">
              <w:t>/</w:t>
            </w:r>
            <w:r>
              <w:t xml:space="preserve"> Governance</w:t>
            </w:r>
          </w:p>
        </w:tc>
      </w:tr>
      <w:tr w:rsidR="00A161BB" w14:paraId="525B663A" w14:textId="77777777" w:rsidTr="007F3C84">
        <w:tc>
          <w:tcPr>
            <w:tcW w:w="2977" w:type="dxa"/>
            <w:tcBorders>
              <w:left w:val="nil"/>
              <w:right w:val="nil"/>
            </w:tcBorders>
            <w:vAlign w:val="center"/>
            <w:hideMark/>
          </w:tcPr>
          <w:p w14:paraId="795BBF6D" w14:textId="77777777" w:rsidR="00A161BB" w:rsidRPr="004D2E3D" w:rsidRDefault="00A161BB" w:rsidP="007F3C84">
            <w:pPr>
              <w:pStyle w:val="TableTextWhite"/>
              <w:rPr>
                <w:b/>
              </w:rPr>
            </w:pPr>
            <w:r w:rsidRPr="004D2E3D">
              <w:rPr>
                <w:b/>
              </w:rPr>
              <w:t>Location</w:t>
            </w:r>
          </w:p>
        </w:tc>
        <w:tc>
          <w:tcPr>
            <w:tcW w:w="7610" w:type="dxa"/>
            <w:tcBorders>
              <w:left w:val="nil"/>
              <w:right w:val="nil"/>
            </w:tcBorders>
            <w:hideMark/>
          </w:tcPr>
          <w:p w14:paraId="4FCBA3E5" w14:textId="77777777" w:rsidR="00A161BB" w:rsidRDefault="00A161BB" w:rsidP="007F3C84">
            <w:pPr>
              <w:pStyle w:val="TableTextWhite"/>
            </w:pPr>
            <w:r>
              <w:t>TBC</w:t>
            </w:r>
          </w:p>
        </w:tc>
      </w:tr>
      <w:tr w:rsidR="00A161BB" w14:paraId="3BD5F11D" w14:textId="77777777" w:rsidTr="007F3C84">
        <w:tc>
          <w:tcPr>
            <w:tcW w:w="2977" w:type="dxa"/>
            <w:tcBorders>
              <w:left w:val="nil"/>
              <w:right w:val="nil"/>
            </w:tcBorders>
            <w:vAlign w:val="center"/>
            <w:hideMark/>
          </w:tcPr>
          <w:p w14:paraId="176D9757" w14:textId="77777777" w:rsidR="00A161BB" w:rsidRPr="004D2E3D" w:rsidRDefault="00A161BB" w:rsidP="007F3C84">
            <w:pPr>
              <w:pStyle w:val="TableTextWhite"/>
              <w:rPr>
                <w:b/>
              </w:rPr>
            </w:pPr>
            <w:r w:rsidRPr="004D2E3D">
              <w:rPr>
                <w:b/>
              </w:rPr>
              <w:t>Classification/Grade/Band</w:t>
            </w:r>
          </w:p>
        </w:tc>
        <w:tc>
          <w:tcPr>
            <w:tcW w:w="7610" w:type="dxa"/>
            <w:tcBorders>
              <w:left w:val="nil"/>
              <w:right w:val="nil"/>
            </w:tcBorders>
            <w:hideMark/>
          </w:tcPr>
          <w:p w14:paraId="62539708" w14:textId="77777777" w:rsidR="00A161BB" w:rsidRDefault="00A161BB" w:rsidP="000E0514">
            <w:pPr>
              <w:pStyle w:val="TableTextWhite"/>
            </w:pPr>
            <w:r>
              <w:t xml:space="preserve">Clerk Grade </w:t>
            </w:r>
            <w:r w:rsidR="000E0514">
              <w:t>11-12</w:t>
            </w:r>
          </w:p>
        </w:tc>
      </w:tr>
      <w:tr w:rsidR="00A161BB" w14:paraId="311823AD" w14:textId="77777777" w:rsidTr="007F3C84">
        <w:tc>
          <w:tcPr>
            <w:tcW w:w="2977" w:type="dxa"/>
            <w:tcBorders>
              <w:left w:val="nil"/>
              <w:right w:val="nil"/>
            </w:tcBorders>
            <w:vAlign w:val="center"/>
            <w:hideMark/>
          </w:tcPr>
          <w:p w14:paraId="198FABE5" w14:textId="77777777" w:rsidR="00A161BB" w:rsidRPr="004D2E3D" w:rsidRDefault="00A161BB" w:rsidP="007F3C84">
            <w:pPr>
              <w:pStyle w:val="TableTextWhite"/>
              <w:rPr>
                <w:b/>
              </w:rPr>
            </w:pPr>
            <w:r w:rsidRPr="004D2E3D">
              <w:rPr>
                <w:b/>
              </w:rPr>
              <w:t>ANZSCO Code</w:t>
            </w:r>
          </w:p>
        </w:tc>
        <w:tc>
          <w:tcPr>
            <w:tcW w:w="7610" w:type="dxa"/>
            <w:tcBorders>
              <w:left w:val="nil"/>
              <w:right w:val="nil"/>
            </w:tcBorders>
          </w:tcPr>
          <w:p w14:paraId="37C2392C" w14:textId="77777777" w:rsidR="00A161BB" w:rsidRDefault="0081050C" w:rsidP="00156B62">
            <w:pPr>
              <w:pStyle w:val="TableTextWhite"/>
            </w:pPr>
            <w:r>
              <w:t>132111</w:t>
            </w:r>
          </w:p>
        </w:tc>
      </w:tr>
      <w:tr w:rsidR="00A161BB" w14:paraId="035EAD36" w14:textId="77777777" w:rsidTr="007F3C84">
        <w:tc>
          <w:tcPr>
            <w:tcW w:w="2977" w:type="dxa"/>
            <w:tcBorders>
              <w:left w:val="nil"/>
              <w:right w:val="nil"/>
            </w:tcBorders>
            <w:vAlign w:val="center"/>
            <w:hideMark/>
          </w:tcPr>
          <w:p w14:paraId="061D83C2" w14:textId="77777777" w:rsidR="00A161BB" w:rsidRPr="004D2E3D" w:rsidRDefault="00A161BB" w:rsidP="007F3C84">
            <w:pPr>
              <w:pStyle w:val="TableTextWhite"/>
              <w:rPr>
                <w:b/>
              </w:rPr>
            </w:pPr>
            <w:r w:rsidRPr="004D2E3D">
              <w:rPr>
                <w:b/>
              </w:rPr>
              <w:t>PCAT Code</w:t>
            </w:r>
          </w:p>
        </w:tc>
        <w:tc>
          <w:tcPr>
            <w:tcW w:w="7610" w:type="dxa"/>
            <w:tcBorders>
              <w:left w:val="nil"/>
              <w:right w:val="nil"/>
            </w:tcBorders>
          </w:tcPr>
          <w:p w14:paraId="35547023" w14:textId="77777777" w:rsidR="00A161BB" w:rsidRDefault="00A161BB" w:rsidP="0081050C">
            <w:pPr>
              <w:pStyle w:val="TableTextWhite"/>
            </w:pPr>
            <w:r>
              <w:t>12</w:t>
            </w:r>
            <w:r w:rsidR="00156B62">
              <w:t>2</w:t>
            </w:r>
            <w:r w:rsidR="0081050C">
              <w:t>1692</w:t>
            </w:r>
          </w:p>
        </w:tc>
      </w:tr>
      <w:tr w:rsidR="00A161BB" w14:paraId="34F1BC5D" w14:textId="77777777" w:rsidTr="007F3C84">
        <w:tc>
          <w:tcPr>
            <w:tcW w:w="2977" w:type="dxa"/>
            <w:tcBorders>
              <w:left w:val="nil"/>
              <w:right w:val="nil"/>
            </w:tcBorders>
            <w:vAlign w:val="center"/>
            <w:hideMark/>
          </w:tcPr>
          <w:p w14:paraId="62279076" w14:textId="77777777" w:rsidR="00A161BB" w:rsidRPr="004D2E3D" w:rsidRDefault="00A161BB" w:rsidP="007F3C84">
            <w:pPr>
              <w:pStyle w:val="TableTextWhite"/>
              <w:rPr>
                <w:b/>
              </w:rPr>
            </w:pPr>
            <w:r w:rsidRPr="004D2E3D">
              <w:rPr>
                <w:b/>
              </w:rPr>
              <w:t>Date of Approval</w:t>
            </w:r>
          </w:p>
        </w:tc>
        <w:tc>
          <w:tcPr>
            <w:tcW w:w="7610" w:type="dxa"/>
            <w:tcBorders>
              <w:left w:val="nil"/>
              <w:right w:val="nil"/>
            </w:tcBorders>
          </w:tcPr>
          <w:p w14:paraId="22DDE047" w14:textId="77777777" w:rsidR="00A161BB" w:rsidRDefault="00A161BB" w:rsidP="007F3C84">
            <w:pPr>
              <w:pStyle w:val="TableTextWhite"/>
            </w:pPr>
            <w:r>
              <w:t>June 2020</w:t>
            </w:r>
          </w:p>
        </w:tc>
      </w:tr>
      <w:tr w:rsidR="00A161BB" w14:paraId="603805BC" w14:textId="77777777" w:rsidTr="007F3C84">
        <w:tc>
          <w:tcPr>
            <w:tcW w:w="2977" w:type="dxa"/>
            <w:tcBorders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8D41AF2" w14:textId="77777777" w:rsidR="00A161BB" w:rsidRPr="004D2E3D" w:rsidRDefault="00A161BB" w:rsidP="007F3C84">
            <w:pPr>
              <w:pStyle w:val="TableTextWhite"/>
              <w:rPr>
                <w:b/>
                <w:color w:val="FFFFFF" w:themeColor="background1"/>
              </w:rPr>
            </w:pPr>
            <w:r w:rsidRPr="004D2E3D">
              <w:rPr>
                <w:b/>
                <w:color w:val="FFFFFF" w:themeColor="background1"/>
              </w:rPr>
              <w:t>Agency Website</w:t>
            </w:r>
          </w:p>
        </w:tc>
        <w:tc>
          <w:tcPr>
            <w:tcW w:w="7610" w:type="dxa"/>
            <w:tcBorders>
              <w:left w:val="nil"/>
              <w:bottom w:val="single" w:sz="8" w:space="0" w:color="auto"/>
              <w:right w:val="nil"/>
            </w:tcBorders>
            <w:hideMark/>
          </w:tcPr>
          <w:p w14:paraId="3C1A839E" w14:textId="77777777" w:rsidR="00A161BB" w:rsidRDefault="005F67A7" w:rsidP="007F3C84">
            <w:pPr>
              <w:pStyle w:val="TableTextWhite"/>
              <w:rPr>
                <w:color w:val="FFFFFF" w:themeColor="background1"/>
              </w:rPr>
            </w:pPr>
            <w:hyperlink r:id="rId11" w:history="1">
              <w:r w:rsidR="00A161BB" w:rsidRPr="00FD1264">
                <w:rPr>
                  <w:rStyle w:val="Hyperlink"/>
                </w:rPr>
                <w:t>www.drnsw.nsw.gov.au</w:t>
              </w:r>
            </w:hyperlink>
          </w:p>
        </w:tc>
        <w:bookmarkEnd w:id="0"/>
      </w:tr>
      <w:bookmarkEnd w:id="1"/>
    </w:tbl>
    <w:p w14:paraId="6040E61F" w14:textId="77777777" w:rsidR="00A161BB" w:rsidRDefault="00A161BB" w:rsidP="00A161BB">
      <w:pPr>
        <w:tabs>
          <w:tab w:val="left" w:pos="2925"/>
        </w:tabs>
      </w:pPr>
    </w:p>
    <w:p w14:paraId="34C91186" w14:textId="77777777" w:rsidR="00D072B5" w:rsidRDefault="00D072B5" w:rsidP="00A161BB">
      <w:pPr>
        <w:spacing w:after="0"/>
        <w:ind w:right="168"/>
        <w:rPr>
          <w:rStyle w:val="Heading1Char"/>
        </w:rPr>
      </w:pPr>
      <w:bookmarkStart w:id="2" w:name="_Hlk13821424"/>
      <w:r>
        <w:rPr>
          <w:rStyle w:val="Heading1Char"/>
        </w:rPr>
        <w:t>Agency Overview</w:t>
      </w:r>
    </w:p>
    <w:p w14:paraId="20B2087D" w14:textId="77777777" w:rsidR="00A161BB" w:rsidRPr="00CC0DCD" w:rsidRDefault="00A161BB" w:rsidP="00A161BB">
      <w:pPr>
        <w:spacing w:after="0"/>
        <w:ind w:right="168"/>
        <w:rPr>
          <w:rFonts w:eastAsia="Times New Roman" w:cs="Arial"/>
          <w:iCs/>
          <w:lang w:val="en-AU"/>
        </w:rPr>
      </w:pPr>
      <w:r w:rsidRPr="00CC0DCD">
        <w:t xml:space="preserve">The Department of Regional </w:t>
      </w:r>
      <w:r w:rsidRPr="00CC0DCD">
        <w:rPr>
          <w:spacing w:val="-3"/>
        </w:rPr>
        <w:t xml:space="preserve">NSW </w:t>
      </w:r>
      <w:r w:rsidRPr="00CC0DCD">
        <w:t>was formed in 2020 as a central agency for regional issues.</w:t>
      </w:r>
      <w:r w:rsidRPr="00CC0DCD">
        <w:rPr>
          <w:spacing w:val="-11"/>
        </w:rPr>
        <w:t xml:space="preserve"> </w:t>
      </w:r>
      <w:r w:rsidRPr="00CC0DCD">
        <w:t>The Department is responsible for building resilient regional economies and communities, strengthening</w:t>
      </w:r>
      <w:r w:rsidRPr="00CC0DCD">
        <w:rPr>
          <w:spacing w:val="-29"/>
        </w:rPr>
        <w:t xml:space="preserve"> </w:t>
      </w:r>
      <w:r w:rsidRPr="00CC0DCD">
        <w:t xml:space="preserve">primary </w:t>
      </w:r>
      <w:r w:rsidRPr="00CC0DCD">
        <w:rPr>
          <w:rFonts w:cs="Arial"/>
        </w:rPr>
        <w:t xml:space="preserve">industries, managing the use of regional land, overseeing the state’s mineral and mining </w:t>
      </w:r>
      <w:proofErr w:type="gramStart"/>
      <w:r w:rsidRPr="00CC0DCD">
        <w:rPr>
          <w:rFonts w:cs="Arial"/>
        </w:rPr>
        <w:t>resources</w:t>
      </w:r>
      <w:proofErr w:type="gramEnd"/>
      <w:r w:rsidRPr="00CC0DCD">
        <w:rPr>
          <w:rFonts w:cs="Arial"/>
          <w:spacing w:val="-23"/>
        </w:rPr>
        <w:t xml:space="preserve"> </w:t>
      </w:r>
      <w:r w:rsidRPr="00CC0DCD">
        <w:rPr>
          <w:rFonts w:cs="Arial"/>
        </w:rPr>
        <w:t xml:space="preserve">and </w:t>
      </w:r>
      <w:r w:rsidRPr="00CC0DCD">
        <w:t xml:space="preserve">ensuring government investment in regional </w:t>
      </w:r>
      <w:r w:rsidRPr="00CC0DCD">
        <w:rPr>
          <w:spacing w:val="-3"/>
        </w:rPr>
        <w:t xml:space="preserve">NSW </w:t>
      </w:r>
      <w:r w:rsidRPr="00CC0DCD">
        <w:t>is fair and delivers positive outcomes for local</w:t>
      </w:r>
      <w:r w:rsidRPr="00CC0DCD">
        <w:rPr>
          <w:spacing w:val="-16"/>
        </w:rPr>
        <w:t xml:space="preserve"> </w:t>
      </w:r>
      <w:r w:rsidRPr="00CC0DCD">
        <w:t>communities and</w:t>
      </w:r>
      <w:r w:rsidRPr="00CC0DCD">
        <w:rPr>
          <w:spacing w:val="1"/>
        </w:rPr>
        <w:t xml:space="preserve"> </w:t>
      </w:r>
      <w:r w:rsidRPr="00CC0DCD">
        <w:t>businesses.</w:t>
      </w:r>
    </w:p>
    <w:p w14:paraId="68FC6FD6" w14:textId="77777777" w:rsidR="00A161BB" w:rsidRDefault="00A161BB" w:rsidP="00A161BB">
      <w:pPr>
        <w:pStyle w:val="Default"/>
        <w:rPr>
          <w:b/>
          <w:bCs/>
          <w:sz w:val="22"/>
          <w:szCs w:val="22"/>
        </w:rPr>
      </w:pPr>
    </w:p>
    <w:p w14:paraId="375B4912" w14:textId="77777777" w:rsidR="0081050C" w:rsidRDefault="0081050C" w:rsidP="00D072B5">
      <w:pPr>
        <w:tabs>
          <w:tab w:val="left" w:pos="2925"/>
        </w:tabs>
        <w:ind w:right="168"/>
        <w:jc w:val="both"/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440F19B2" w14:textId="239A5162" w:rsidR="0081050C" w:rsidRDefault="0081050C" w:rsidP="00D072B5">
      <w:pPr>
        <w:widowControl w:val="0"/>
        <w:kinsoku w:val="0"/>
        <w:overflowPunct w:val="0"/>
        <w:spacing w:before="205" w:after="0" w:line="290" w:lineRule="exact"/>
        <w:ind w:right="168"/>
        <w:jc w:val="both"/>
        <w:textAlignment w:val="baseline"/>
        <w:rPr>
          <w:rFonts w:cs="Arial"/>
          <w:lang w:eastAsia="en-AU"/>
        </w:rPr>
      </w:pPr>
      <w:r w:rsidRPr="00B501F7">
        <w:rPr>
          <w:rFonts w:cs="Arial"/>
          <w:lang w:eastAsia="en-AU"/>
        </w:rPr>
        <w:t xml:space="preserve">The </w:t>
      </w:r>
      <w:r>
        <w:rPr>
          <w:rFonts w:cs="Arial"/>
          <w:lang w:eastAsia="en-AU"/>
        </w:rPr>
        <w:t xml:space="preserve">Manager </w:t>
      </w:r>
      <w:r w:rsidR="00FA3570">
        <w:rPr>
          <w:rFonts w:cs="Arial"/>
          <w:lang w:eastAsia="en-AU"/>
        </w:rPr>
        <w:t>Information and Privacy</w:t>
      </w:r>
      <w:r w:rsidRPr="00B501F7">
        <w:rPr>
          <w:rFonts w:cs="Arial"/>
          <w:lang w:eastAsia="en-AU"/>
        </w:rPr>
        <w:t xml:space="preserve"> </w:t>
      </w:r>
      <w:r>
        <w:rPr>
          <w:rFonts w:cs="Arial"/>
          <w:lang w:eastAsia="en-AU"/>
        </w:rPr>
        <w:t xml:space="preserve">manages the </w:t>
      </w:r>
      <w:proofErr w:type="gramStart"/>
      <w:r>
        <w:rPr>
          <w:rFonts w:cs="Arial"/>
          <w:lang w:eastAsia="en-AU"/>
        </w:rPr>
        <w:t>day to day</w:t>
      </w:r>
      <w:proofErr w:type="gramEnd"/>
      <w:r>
        <w:rPr>
          <w:rFonts w:cs="Arial"/>
          <w:lang w:eastAsia="en-AU"/>
        </w:rPr>
        <w:t xml:space="preserve"> activities of the Information Requests team to deliver </w:t>
      </w:r>
      <w:r w:rsidRPr="00B501F7">
        <w:rPr>
          <w:rFonts w:cs="Arial"/>
          <w:lang w:eastAsia="en-AU"/>
        </w:rPr>
        <w:t>Right to Information</w:t>
      </w:r>
      <w:r>
        <w:rPr>
          <w:rFonts w:cs="Arial"/>
          <w:lang w:eastAsia="en-AU"/>
        </w:rPr>
        <w:t xml:space="preserve"> and </w:t>
      </w:r>
      <w:r w:rsidRPr="00B501F7">
        <w:rPr>
          <w:rFonts w:cs="Arial"/>
          <w:lang w:eastAsia="en-AU"/>
        </w:rPr>
        <w:t xml:space="preserve">Privacy </w:t>
      </w:r>
      <w:r>
        <w:rPr>
          <w:rFonts w:cs="Arial"/>
          <w:lang w:eastAsia="en-AU"/>
        </w:rPr>
        <w:t xml:space="preserve">advice and services across the Agency which </w:t>
      </w:r>
      <w:r w:rsidRPr="00B501F7">
        <w:rPr>
          <w:rFonts w:cs="Arial"/>
          <w:lang w:eastAsia="en-AU"/>
        </w:rPr>
        <w:t>ensure</w:t>
      </w:r>
      <w:r>
        <w:rPr>
          <w:rFonts w:cs="Arial"/>
          <w:lang w:eastAsia="en-AU"/>
        </w:rPr>
        <w:t>s</w:t>
      </w:r>
      <w:r w:rsidRPr="00B501F7">
        <w:rPr>
          <w:rFonts w:cs="Arial"/>
          <w:lang w:eastAsia="en-AU"/>
        </w:rPr>
        <w:t xml:space="preserve"> the Department’s interests are protected while meeting legislative requirements and the expectations of the Government, Ministers, Departmental Executive and the public.</w:t>
      </w:r>
      <w:r>
        <w:rPr>
          <w:rFonts w:cs="Arial"/>
          <w:lang w:eastAsia="en-AU"/>
        </w:rPr>
        <w:t xml:space="preserve"> This role also assists the Director Governance &amp; Information Requests in the management of Governance related matters such as Public Interest Disclosures, allegations of corruption or misconduct and interacti</w:t>
      </w:r>
      <w:r w:rsidR="007E1C82">
        <w:rPr>
          <w:rFonts w:cs="Arial"/>
          <w:lang w:eastAsia="en-AU"/>
        </w:rPr>
        <w:t>ons with the Ombudsman and ICAC.</w:t>
      </w:r>
      <w:r>
        <w:rPr>
          <w:rFonts w:cs="Arial"/>
          <w:lang w:eastAsia="en-AU"/>
        </w:rPr>
        <w:t xml:space="preserve"> </w:t>
      </w:r>
    </w:p>
    <w:p w14:paraId="1259998F" w14:textId="77777777" w:rsidR="00877674" w:rsidRDefault="0081050C" w:rsidP="00877674">
      <w:pPr>
        <w:widowControl w:val="0"/>
        <w:kinsoku w:val="0"/>
        <w:overflowPunct w:val="0"/>
        <w:spacing w:before="205" w:after="0" w:line="290" w:lineRule="exact"/>
        <w:ind w:right="168"/>
        <w:jc w:val="both"/>
        <w:textAlignment w:val="baseline"/>
        <w:rPr>
          <w:rFonts w:cs="Arial"/>
          <w:b/>
          <w:sz w:val="26"/>
          <w:szCs w:val="26"/>
          <w:lang w:eastAsia="en-AU"/>
        </w:rPr>
      </w:pPr>
      <w:r w:rsidRPr="006C129B">
        <w:rPr>
          <w:b/>
          <w:sz w:val="26"/>
          <w:szCs w:val="26"/>
        </w:rPr>
        <w:t xml:space="preserve">Key accountabilities </w:t>
      </w:r>
    </w:p>
    <w:p w14:paraId="1264B8E7" w14:textId="77777777" w:rsidR="00877674" w:rsidRDefault="0081050C" w:rsidP="00877674">
      <w:pPr>
        <w:pStyle w:val="ListParagraph"/>
        <w:widowControl w:val="0"/>
        <w:numPr>
          <w:ilvl w:val="0"/>
          <w:numId w:val="31"/>
        </w:numPr>
        <w:kinsoku w:val="0"/>
        <w:overflowPunct w:val="0"/>
        <w:spacing w:before="205" w:after="0" w:line="290" w:lineRule="exact"/>
        <w:ind w:right="168"/>
        <w:jc w:val="both"/>
        <w:textAlignment w:val="baseline"/>
        <w:rPr>
          <w:lang w:eastAsia="en-AU"/>
        </w:rPr>
      </w:pPr>
      <w:r w:rsidRPr="00B501F7">
        <w:rPr>
          <w:lang w:eastAsia="en-AU"/>
        </w:rPr>
        <w:t xml:space="preserve">Provide </w:t>
      </w:r>
      <w:r w:rsidR="007E1C82">
        <w:rPr>
          <w:lang w:eastAsia="en-AU"/>
        </w:rPr>
        <w:t xml:space="preserve">expert </w:t>
      </w:r>
      <w:r w:rsidR="00877674">
        <w:rPr>
          <w:lang w:eastAsia="en-AU"/>
        </w:rPr>
        <w:t xml:space="preserve">and timely </w:t>
      </w:r>
      <w:r w:rsidRPr="00B501F7">
        <w:rPr>
          <w:lang w:eastAsia="en-AU"/>
        </w:rPr>
        <w:t>policy advice and ensure informed decisions for the release of information are made in accordance with policy and legislative</w:t>
      </w:r>
      <w:r>
        <w:rPr>
          <w:lang w:eastAsia="en-AU"/>
        </w:rPr>
        <w:t xml:space="preserve"> </w:t>
      </w:r>
      <w:r w:rsidR="007E1C82">
        <w:rPr>
          <w:lang w:eastAsia="en-AU"/>
        </w:rPr>
        <w:t xml:space="preserve">requirements and </w:t>
      </w:r>
      <w:r w:rsidRPr="00B501F7">
        <w:rPr>
          <w:lang w:eastAsia="en-AU"/>
        </w:rPr>
        <w:t>able to withstand rigorous external scrutiny</w:t>
      </w:r>
      <w:r>
        <w:rPr>
          <w:lang w:eastAsia="en-AU"/>
        </w:rPr>
        <w:t>.</w:t>
      </w:r>
    </w:p>
    <w:p w14:paraId="3D162101" w14:textId="77777777" w:rsidR="00877674" w:rsidRDefault="0081050C" w:rsidP="00877674">
      <w:pPr>
        <w:pStyle w:val="ListParagraph"/>
        <w:widowControl w:val="0"/>
        <w:numPr>
          <w:ilvl w:val="0"/>
          <w:numId w:val="31"/>
        </w:numPr>
        <w:kinsoku w:val="0"/>
        <w:overflowPunct w:val="0"/>
        <w:spacing w:before="205" w:after="0" w:line="290" w:lineRule="exact"/>
        <w:ind w:right="168"/>
        <w:jc w:val="both"/>
        <w:textAlignment w:val="baseline"/>
        <w:rPr>
          <w:lang w:eastAsia="en-AU"/>
        </w:rPr>
      </w:pPr>
      <w:r>
        <w:rPr>
          <w:lang w:eastAsia="en-AU"/>
        </w:rPr>
        <w:t xml:space="preserve">Contribute to </w:t>
      </w:r>
      <w:r w:rsidRPr="00B501F7">
        <w:rPr>
          <w:lang w:eastAsia="en-AU"/>
        </w:rPr>
        <w:t xml:space="preserve">the development of policy and procedures to support the </w:t>
      </w:r>
      <w:r>
        <w:rPr>
          <w:lang w:eastAsia="en-AU"/>
        </w:rPr>
        <w:t xml:space="preserve">appropriate </w:t>
      </w:r>
      <w:r w:rsidRPr="00B501F7">
        <w:rPr>
          <w:lang w:eastAsia="en-AU"/>
        </w:rPr>
        <w:t>release of information, ensuring appropriate and transparent processes and systems are in place to effectively manage requests for information while supporting the Department’s interests</w:t>
      </w:r>
      <w:r>
        <w:rPr>
          <w:lang w:eastAsia="en-AU"/>
        </w:rPr>
        <w:t>.</w:t>
      </w:r>
    </w:p>
    <w:p w14:paraId="14FCE7DA" w14:textId="77777777" w:rsidR="00877674" w:rsidRPr="00877674" w:rsidRDefault="0081050C" w:rsidP="00877674">
      <w:pPr>
        <w:pStyle w:val="ListParagraph"/>
        <w:widowControl w:val="0"/>
        <w:numPr>
          <w:ilvl w:val="0"/>
          <w:numId w:val="31"/>
        </w:numPr>
        <w:kinsoku w:val="0"/>
        <w:overflowPunct w:val="0"/>
        <w:spacing w:before="205" w:after="0" w:line="290" w:lineRule="exact"/>
        <w:ind w:right="168"/>
        <w:jc w:val="both"/>
        <w:textAlignment w:val="baseline"/>
        <w:rPr>
          <w:lang w:eastAsia="en-AU"/>
        </w:rPr>
      </w:pPr>
      <w:r w:rsidRPr="00877674">
        <w:rPr>
          <w:spacing w:val="-1"/>
          <w:lang w:eastAsia="en-AU"/>
        </w:rPr>
        <w:t xml:space="preserve">Ensure personal information is managed in accordance with the requirements of the Privacy &amp; Personal Information Protection Act 1998, and alleged breaches of privacy are </w:t>
      </w:r>
      <w:r w:rsidR="007E1C82" w:rsidRPr="00877674">
        <w:rPr>
          <w:spacing w:val="-1"/>
          <w:lang w:eastAsia="en-AU"/>
        </w:rPr>
        <w:t xml:space="preserve">fully </w:t>
      </w:r>
      <w:r w:rsidRPr="00877674">
        <w:rPr>
          <w:spacing w:val="-1"/>
          <w:lang w:eastAsia="en-AU"/>
        </w:rPr>
        <w:t>investigated and addressed.</w:t>
      </w:r>
    </w:p>
    <w:p w14:paraId="45574A6C" w14:textId="77777777" w:rsidR="00877674" w:rsidRDefault="007E1C82" w:rsidP="00877674">
      <w:pPr>
        <w:pStyle w:val="ListParagraph"/>
        <w:widowControl w:val="0"/>
        <w:numPr>
          <w:ilvl w:val="0"/>
          <w:numId w:val="31"/>
        </w:numPr>
        <w:kinsoku w:val="0"/>
        <w:overflowPunct w:val="0"/>
        <w:spacing w:before="205" w:after="0" w:line="290" w:lineRule="exact"/>
        <w:ind w:right="168"/>
        <w:jc w:val="both"/>
        <w:textAlignment w:val="baseline"/>
        <w:rPr>
          <w:lang w:eastAsia="en-AU"/>
        </w:rPr>
      </w:pPr>
      <w:r>
        <w:rPr>
          <w:lang w:eastAsia="en-AU"/>
        </w:rPr>
        <w:t xml:space="preserve">Work closely with the Director, </w:t>
      </w:r>
      <w:r w:rsidR="0081050C">
        <w:rPr>
          <w:lang w:eastAsia="en-AU"/>
        </w:rPr>
        <w:t>in</w:t>
      </w:r>
      <w:r w:rsidR="0081050C" w:rsidRPr="00B501F7">
        <w:rPr>
          <w:lang w:eastAsia="en-AU"/>
        </w:rPr>
        <w:t xml:space="preserve"> assess</w:t>
      </w:r>
      <w:r>
        <w:rPr>
          <w:lang w:eastAsia="en-AU"/>
        </w:rPr>
        <w:t>ing</w:t>
      </w:r>
      <w:r w:rsidR="0081050C" w:rsidRPr="00B501F7">
        <w:rPr>
          <w:lang w:eastAsia="en-AU"/>
        </w:rPr>
        <w:t xml:space="preserve"> and review</w:t>
      </w:r>
      <w:r>
        <w:rPr>
          <w:lang w:eastAsia="en-AU"/>
        </w:rPr>
        <w:t>ing</w:t>
      </w:r>
      <w:r w:rsidR="0081050C" w:rsidRPr="00B501F7">
        <w:rPr>
          <w:lang w:eastAsia="en-AU"/>
        </w:rPr>
        <w:t xml:space="preserve"> requests and orders </w:t>
      </w:r>
      <w:proofErr w:type="gramStart"/>
      <w:r w:rsidR="0081050C" w:rsidRPr="00B501F7">
        <w:rPr>
          <w:lang w:eastAsia="en-AU"/>
        </w:rPr>
        <w:t>for the production of</w:t>
      </w:r>
      <w:proofErr w:type="gramEnd"/>
      <w:r w:rsidR="0081050C" w:rsidRPr="00B501F7">
        <w:rPr>
          <w:lang w:eastAsia="en-AU"/>
        </w:rPr>
        <w:t xml:space="preserve"> documents from the Ombudsman, Independent Commission Against Corruption and Parliament</w:t>
      </w:r>
      <w:r w:rsidR="0081050C">
        <w:rPr>
          <w:lang w:eastAsia="en-AU"/>
        </w:rPr>
        <w:t xml:space="preserve"> to ensure</w:t>
      </w:r>
      <w:r w:rsidR="0081050C" w:rsidRPr="00B501F7">
        <w:rPr>
          <w:lang w:eastAsia="en-AU"/>
        </w:rPr>
        <w:t xml:space="preserve"> the required information is provided and potential exposures identified</w:t>
      </w:r>
      <w:r w:rsidR="0081050C">
        <w:rPr>
          <w:lang w:eastAsia="en-AU"/>
        </w:rPr>
        <w:t>.</w:t>
      </w:r>
    </w:p>
    <w:p w14:paraId="40CEDBDD" w14:textId="77777777" w:rsidR="00877674" w:rsidRPr="00877674" w:rsidRDefault="00877674" w:rsidP="00877674">
      <w:pPr>
        <w:pStyle w:val="ListParagraph"/>
        <w:widowControl w:val="0"/>
        <w:numPr>
          <w:ilvl w:val="0"/>
          <w:numId w:val="31"/>
        </w:numPr>
        <w:kinsoku w:val="0"/>
        <w:overflowPunct w:val="0"/>
        <w:spacing w:before="205" w:after="0" w:line="290" w:lineRule="exact"/>
        <w:ind w:right="168"/>
        <w:jc w:val="both"/>
        <w:textAlignment w:val="baseline"/>
        <w:rPr>
          <w:lang w:eastAsia="en-AU"/>
        </w:rPr>
      </w:pPr>
      <w:r w:rsidRPr="00877674">
        <w:rPr>
          <w:rFonts w:cs="Arial"/>
        </w:rPr>
        <w:t xml:space="preserve">Develop team capabilities, share lessons learnt and support skill development and training initiatives to </w:t>
      </w:r>
      <w:r w:rsidRPr="00877674">
        <w:rPr>
          <w:rFonts w:cs="Arial"/>
        </w:rPr>
        <w:lastRenderedPageBreak/>
        <w:t xml:space="preserve">ensure staff have the breadth and depth of technical knowledge, </w:t>
      </w:r>
      <w:proofErr w:type="gramStart"/>
      <w:r w:rsidRPr="00877674">
        <w:rPr>
          <w:rFonts w:cs="Arial"/>
        </w:rPr>
        <w:t>skills</w:t>
      </w:r>
      <w:proofErr w:type="gramEnd"/>
      <w:r w:rsidRPr="00877674">
        <w:rPr>
          <w:rFonts w:cs="Arial"/>
        </w:rPr>
        <w:t xml:space="preserve"> and support to effectively deliver project and planning outcomes.</w:t>
      </w:r>
    </w:p>
    <w:p w14:paraId="5AD583D3" w14:textId="77777777" w:rsidR="00877674" w:rsidRPr="00877674" w:rsidRDefault="00877674" w:rsidP="00877674">
      <w:pPr>
        <w:pStyle w:val="ListParagraph"/>
        <w:widowControl w:val="0"/>
        <w:numPr>
          <w:ilvl w:val="0"/>
          <w:numId w:val="31"/>
        </w:numPr>
        <w:kinsoku w:val="0"/>
        <w:overflowPunct w:val="0"/>
        <w:spacing w:before="205" w:after="0" w:line="290" w:lineRule="exact"/>
        <w:ind w:right="168"/>
        <w:jc w:val="both"/>
        <w:textAlignment w:val="baseline"/>
        <w:rPr>
          <w:lang w:eastAsia="en-AU"/>
        </w:rPr>
      </w:pPr>
      <w:r w:rsidRPr="00877674">
        <w:rPr>
          <w:rFonts w:cs="Arial"/>
        </w:rPr>
        <w:t>Establish and maintain partnerships with internal and external stakeholders, at a senior level, providing advice and information on emerging project issues and presenting recommendations to support project delivery in line with established plans, budgets, timeframes, policy objectives and other project priorities.</w:t>
      </w:r>
    </w:p>
    <w:p w14:paraId="4C2F2DFD" w14:textId="77777777" w:rsidR="0081050C" w:rsidRDefault="0081050C" w:rsidP="00877674">
      <w:pPr>
        <w:pStyle w:val="ListParagraph"/>
        <w:widowControl w:val="0"/>
        <w:numPr>
          <w:ilvl w:val="0"/>
          <w:numId w:val="31"/>
        </w:numPr>
        <w:kinsoku w:val="0"/>
        <w:overflowPunct w:val="0"/>
        <w:spacing w:before="205" w:after="0" w:line="290" w:lineRule="exact"/>
        <w:ind w:right="168"/>
        <w:jc w:val="both"/>
        <w:textAlignment w:val="baseline"/>
        <w:rPr>
          <w:lang w:eastAsia="en-AU"/>
        </w:rPr>
      </w:pPr>
      <w:r>
        <w:rPr>
          <w:lang w:eastAsia="en-AU"/>
        </w:rPr>
        <w:t xml:space="preserve">Assists in the management of Governance related investigations, </w:t>
      </w:r>
      <w:proofErr w:type="gramStart"/>
      <w:r>
        <w:rPr>
          <w:lang w:eastAsia="en-AU"/>
        </w:rPr>
        <w:t>reviews</w:t>
      </w:r>
      <w:proofErr w:type="gramEnd"/>
      <w:r>
        <w:rPr>
          <w:lang w:eastAsia="en-AU"/>
        </w:rPr>
        <w:t xml:space="preserve"> and processes.</w:t>
      </w:r>
    </w:p>
    <w:p w14:paraId="490411CF" w14:textId="77777777" w:rsidR="00877674" w:rsidRDefault="00877674" w:rsidP="00877674">
      <w:pPr>
        <w:widowControl w:val="0"/>
        <w:kinsoku w:val="0"/>
        <w:overflowPunct w:val="0"/>
        <w:spacing w:before="205" w:after="0" w:line="290" w:lineRule="exact"/>
        <w:ind w:right="168"/>
        <w:jc w:val="both"/>
        <w:textAlignment w:val="baseline"/>
        <w:rPr>
          <w:lang w:eastAsia="en-AU"/>
        </w:rPr>
      </w:pPr>
    </w:p>
    <w:p w14:paraId="3C2C164E" w14:textId="77777777" w:rsidR="0081050C" w:rsidRDefault="0081050C" w:rsidP="00D072B5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02607B97" w14:textId="77777777" w:rsidR="0081050C" w:rsidRPr="00B501F7" w:rsidRDefault="0081050C" w:rsidP="0081050C">
      <w:pPr>
        <w:pStyle w:val="ListParagraph"/>
        <w:numPr>
          <w:ilvl w:val="0"/>
          <w:numId w:val="27"/>
        </w:numPr>
        <w:tabs>
          <w:tab w:val="clear" w:pos="934"/>
          <w:tab w:val="num" w:pos="567"/>
          <w:tab w:val="left" w:pos="2925"/>
        </w:tabs>
        <w:ind w:left="567" w:right="168"/>
        <w:jc w:val="both"/>
        <w:rPr>
          <w:rFonts w:eastAsia="Times New Roman" w:cs="Arial"/>
          <w:b/>
          <w:bCs/>
          <w:kern w:val="32"/>
          <w:sz w:val="26"/>
          <w:szCs w:val="32"/>
          <w:lang w:val="en-AU"/>
        </w:rPr>
      </w:pPr>
      <w:r w:rsidRPr="00B501F7">
        <w:rPr>
          <w:rFonts w:cs="Arial"/>
          <w:lang w:eastAsia="en-AU"/>
        </w:rPr>
        <w:t xml:space="preserve">Maintaining knowledge of current legislative, policy and process requirements to </w:t>
      </w:r>
      <w:r>
        <w:rPr>
          <w:rFonts w:cs="Arial"/>
          <w:lang w:eastAsia="en-AU"/>
        </w:rPr>
        <w:t>inform policy development</w:t>
      </w:r>
      <w:r w:rsidRPr="00B501F7">
        <w:rPr>
          <w:rFonts w:cs="Arial"/>
          <w:lang w:eastAsia="en-AU"/>
        </w:rPr>
        <w:t xml:space="preserve"> and provide advice to Executives, </w:t>
      </w:r>
      <w:proofErr w:type="gramStart"/>
      <w:r w:rsidRPr="00B501F7">
        <w:rPr>
          <w:rFonts w:cs="Arial"/>
          <w:lang w:eastAsia="en-AU"/>
        </w:rPr>
        <w:t>managers</w:t>
      </w:r>
      <w:proofErr w:type="gramEnd"/>
      <w:r w:rsidRPr="00B501F7">
        <w:rPr>
          <w:rFonts w:cs="Arial"/>
          <w:lang w:eastAsia="en-AU"/>
        </w:rPr>
        <w:t xml:space="preserve"> and staff across a range of specialist areas in GIPA, Privacy and Governance.</w:t>
      </w:r>
    </w:p>
    <w:p w14:paraId="4A720DBF" w14:textId="7230EF3F" w:rsidR="0081050C" w:rsidRPr="00B501F7" w:rsidRDefault="0081050C" w:rsidP="0081050C">
      <w:pPr>
        <w:pStyle w:val="ListParagraph"/>
        <w:numPr>
          <w:ilvl w:val="0"/>
          <w:numId w:val="27"/>
        </w:numPr>
        <w:tabs>
          <w:tab w:val="clear" w:pos="934"/>
          <w:tab w:val="num" w:pos="567"/>
          <w:tab w:val="left" w:pos="2925"/>
        </w:tabs>
        <w:ind w:left="567" w:right="168"/>
        <w:jc w:val="both"/>
        <w:rPr>
          <w:rFonts w:eastAsia="Times New Roman" w:cs="Arial"/>
          <w:b/>
          <w:bCs/>
          <w:kern w:val="32"/>
          <w:sz w:val="26"/>
          <w:szCs w:val="32"/>
          <w:lang w:val="en-AU"/>
        </w:rPr>
      </w:pPr>
      <w:r w:rsidRPr="00B501F7">
        <w:rPr>
          <w:rFonts w:cs="Arial"/>
          <w:lang w:eastAsia="en-AU"/>
        </w:rPr>
        <w:t xml:space="preserve">Managing the Information Requests </w:t>
      </w:r>
      <w:r>
        <w:rPr>
          <w:rFonts w:cs="Arial"/>
          <w:lang w:eastAsia="en-AU"/>
        </w:rPr>
        <w:t>team</w:t>
      </w:r>
      <w:r w:rsidRPr="00B501F7">
        <w:rPr>
          <w:rFonts w:cs="Arial"/>
          <w:lang w:eastAsia="en-AU"/>
        </w:rPr>
        <w:t xml:space="preserve"> to ensure a suitable level of service is provided to GIPA applicants, while delivering appropriate and defensible decisions in a complex, high volume work environment.</w:t>
      </w:r>
    </w:p>
    <w:p w14:paraId="14863394" w14:textId="5D1EC33E" w:rsidR="0081050C" w:rsidRPr="00B501F7" w:rsidRDefault="0081050C" w:rsidP="0081050C">
      <w:pPr>
        <w:pStyle w:val="ListParagraph"/>
        <w:numPr>
          <w:ilvl w:val="0"/>
          <w:numId w:val="27"/>
        </w:numPr>
        <w:tabs>
          <w:tab w:val="clear" w:pos="934"/>
          <w:tab w:val="num" w:pos="567"/>
          <w:tab w:val="left" w:pos="2925"/>
        </w:tabs>
        <w:ind w:left="567" w:right="168"/>
        <w:jc w:val="both"/>
        <w:rPr>
          <w:rFonts w:eastAsia="Times New Roman" w:cs="Arial"/>
          <w:b/>
          <w:bCs/>
          <w:kern w:val="32"/>
          <w:sz w:val="26"/>
          <w:szCs w:val="32"/>
          <w:lang w:val="en-AU"/>
        </w:rPr>
      </w:pPr>
      <w:r w:rsidRPr="00B501F7">
        <w:rPr>
          <w:rFonts w:cs="Arial"/>
          <w:lang w:eastAsia="en-AU"/>
        </w:rPr>
        <w:t xml:space="preserve">Identifying </w:t>
      </w:r>
      <w:r>
        <w:rPr>
          <w:rFonts w:cs="Arial"/>
          <w:lang w:eastAsia="en-AU"/>
        </w:rPr>
        <w:t xml:space="preserve">GIPA related </w:t>
      </w:r>
      <w:r w:rsidRPr="00B501F7">
        <w:rPr>
          <w:rFonts w:cs="Arial"/>
          <w:lang w:eastAsia="en-AU"/>
        </w:rPr>
        <w:t xml:space="preserve">information and emerging issues that may be contentious or sensitive, and ensuring </w:t>
      </w:r>
      <w:r>
        <w:rPr>
          <w:rFonts w:cs="Arial"/>
          <w:lang w:eastAsia="en-AU"/>
        </w:rPr>
        <w:t>these are appropriately flagged to the Director Governance</w:t>
      </w:r>
      <w:r w:rsidR="00AE2952">
        <w:rPr>
          <w:rFonts w:cs="Arial"/>
          <w:lang w:eastAsia="en-AU"/>
        </w:rPr>
        <w:t xml:space="preserve">, Information and </w:t>
      </w:r>
      <w:proofErr w:type="spellStart"/>
      <w:r w:rsidR="00AE2952">
        <w:rPr>
          <w:rFonts w:cs="Arial"/>
          <w:lang w:eastAsia="en-AU"/>
        </w:rPr>
        <w:t>Privacy</w:t>
      </w:r>
      <w:r>
        <w:rPr>
          <w:rFonts w:cs="Arial"/>
          <w:lang w:eastAsia="en-AU"/>
        </w:rPr>
        <w:t>for</w:t>
      </w:r>
      <w:proofErr w:type="spellEnd"/>
      <w:r>
        <w:rPr>
          <w:rFonts w:cs="Arial"/>
          <w:lang w:eastAsia="en-AU"/>
        </w:rPr>
        <w:t xml:space="preserve"> possible referral or attention of s</w:t>
      </w:r>
      <w:r w:rsidRPr="00B501F7">
        <w:rPr>
          <w:rFonts w:cs="Arial"/>
          <w:lang w:eastAsia="en-AU"/>
        </w:rPr>
        <w:t>enior officers, including the Secretary, Deputy Secretaries, Director General NSW Department of Primary Industries and Minister/s without compromising the integrity and independence of the decision making and/or investigation process</w:t>
      </w:r>
      <w:r>
        <w:rPr>
          <w:rFonts w:cs="Arial"/>
          <w:lang w:eastAsia="en-AU"/>
        </w:rPr>
        <w:t>.</w:t>
      </w:r>
    </w:p>
    <w:p w14:paraId="7B75816A" w14:textId="77777777" w:rsidR="0081050C" w:rsidRPr="00EC5C1D" w:rsidRDefault="0081050C" w:rsidP="00D072B5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587" w:type="dxa"/>
        <w:tblLayout w:type="fixed"/>
        <w:tblLook w:val="04A0" w:firstRow="1" w:lastRow="0" w:firstColumn="1" w:lastColumn="0" w:noHBand="0" w:noVBand="1"/>
      </w:tblPr>
      <w:tblGrid>
        <w:gridCol w:w="3601"/>
        <w:gridCol w:w="6986"/>
      </w:tblGrid>
      <w:tr w:rsidR="0081050C" w:rsidRPr="006C129B" w14:paraId="2031B8AF" w14:textId="77777777" w:rsidTr="000E0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01" w:type="dxa"/>
          </w:tcPr>
          <w:p w14:paraId="65F2B8BD" w14:textId="77777777" w:rsidR="0081050C" w:rsidRPr="006C129B" w:rsidRDefault="0081050C" w:rsidP="000E0E2B">
            <w:pPr>
              <w:pStyle w:val="TableTextWhite0"/>
              <w:ind w:left="-57"/>
              <w:rPr>
                <w:rFonts w:cs="Arial"/>
              </w:rPr>
            </w:pPr>
            <w:r w:rsidRPr="006C129B">
              <w:rPr>
                <w:rFonts w:cs="Arial"/>
              </w:rPr>
              <w:t>Who</w:t>
            </w:r>
          </w:p>
        </w:tc>
        <w:tc>
          <w:tcPr>
            <w:tcW w:w="6986" w:type="dxa"/>
          </w:tcPr>
          <w:p w14:paraId="2BA626F8" w14:textId="77777777" w:rsidR="0081050C" w:rsidRPr="006C129B" w:rsidRDefault="0081050C" w:rsidP="000E0E2B">
            <w:pPr>
              <w:pStyle w:val="TableTextWhite0"/>
              <w:rPr>
                <w:rFonts w:cs="Arial"/>
              </w:rPr>
            </w:pPr>
            <w:r w:rsidRPr="006C129B">
              <w:rPr>
                <w:rFonts w:cs="Arial"/>
              </w:rPr>
              <w:t>Why</w:t>
            </w:r>
          </w:p>
        </w:tc>
      </w:tr>
      <w:tr w:rsidR="0081050C" w:rsidRPr="006C129B" w14:paraId="47B078F0" w14:textId="77777777" w:rsidTr="000E0E2B">
        <w:tc>
          <w:tcPr>
            <w:tcW w:w="36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86DB15" w14:textId="77777777" w:rsidR="0081050C" w:rsidRPr="006C129B" w:rsidRDefault="0081050C" w:rsidP="000E0E2B">
            <w:pPr>
              <w:pStyle w:val="TableText"/>
              <w:keepNext/>
              <w:rPr>
                <w:rFonts w:cs="Arial"/>
                <w:b/>
              </w:rPr>
            </w:pPr>
            <w:r w:rsidRPr="006C129B">
              <w:rPr>
                <w:rFonts w:cs="Arial"/>
                <w:b/>
              </w:rPr>
              <w:t>Internal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68F6F60" w14:textId="77777777" w:rsidR="0081050C" w:rsidRPr="006C129B" w:rsidRDefault="0081050C" w:rsidP="000E0E2B">
            <w:pPr>
              <w:pStyle w:val="TableText"/>
              <w:keepNext/>
              <w:ind w:left="-154"/>
              <w:jc w:val="both"/>
              <w:rPr>
                <w:rFonts w:cs="Arial"/>
                <w:b/>
              </w:rPr>
            </w:pPr>
          </w:p>
        </w:tc>
      </w:tr>
      <w:tr w:rsidR="0081050C" w:rsidRPr="006C129B" w14:paraId="76449229" w14:textId="77777777" w:rsidTr="000E0E2B">
        <w:tc>
          <w:tcPr>
            <w:tcW w:w="3601" w:type="dxa"/>
            <w:tcBorders>
              <w:top w:val="single" w:sz="4" w:space="0" w:color="auto"/>
            </w:tcBorders>
          </w:tcPr>
          <w:p w14:paraId="581C5877" w14:textId="00350016" w:rsidR="0081050C" w:rsidRPr="006C129B" w:rsidRDefault="0081050C" w:rsidP="000E0E2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Director Governance</w:t>
            </w:r>
            <w:r w:rsidR="00AE2952">
              <w:rPr>
                <w:rFonts w:cs="Arial"/>
              </w:rPr>
              <w:t>, Information and Privacy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14:paraId="527ABFCC" w14:textId="77777777" w:rsidR="0081050C" w:rsidRPr="006C129B" w:rsidRDefault="0081050C" w:rsidP="0081050C">
            <w:pPr>
              <w:pStyle w:val="TableText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>Report on and discuss current work and any sensitive matters on foot.</w:t>
            </w:r>
          </w:p>
          <w:p w14:paraId="4A1CC488" w14:textId="77777777" w:rsidR="0081050C" w:rsidRDefault="0081050C" w:rsidP="0081050C">
            <w:pPr>
              <w:pStyle w:val="TableText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>Seek advice on current sensitive matters</w:t>
            </w:r>
            <w:r>
              <w:rPr>
                <w:rFonts w:cs="Arial"/>
              </w:rPr>
              <w:t>.</w:t>
            </w:r>
          </w:p>
          <w:p w14:paraId="4CAC83ED" w14:textId="77777777" w:rsidR="0081050C" w:rsidRDefault="0081050C" w:rsidP="0081050C">
            <w:pPr>
              <w:pStyle w:val="TableText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 xml:space="preserve">Identify </w:t>
            </w:r>
            <w:r>
              <w:rPr>
                <w:rFonts w:cs="Arial"/>
              </w:rPr>
              <w:t xml:space="preserve">contentious issues and emerging </w:t>
            </w:r>
            <w:r w:rsidRPr="006C129B">
              <w:rPr>
                <w:rFonts w:cs="Arial"/>
              </w:rPr>
              <w:t>risks and exposures</w:t>
            </w:r>
            <w:r>
              <w:rPr>
                <w:rFonts w:cs="Arial"/>
              </w:rPr>
              <w:t xml:space="preserve"> in current GIPA and Privacy matters, </w:t>
            </w:r>
            <w:proofErr w:type="gramStart"/>
            <w:r>
              <w:rPr>
                <w:rFonts w:cs="Arial"/>
              </w:rPr>
              <w:t>processes</w:t>
            </w:r>
            <w:proofErr w:type="gramEnd"/>
            <w:r>
              <w:rPr>
                <w:rFonts w:cs="Arial"/>
              </w:rPr>
              <w:t xml:space="preserve"> and systems.</w:t>
            </w:r>
          </w:p>
          <w:p w14:paraId="114DF1DE" w14:textId="77777777" w:rsidR="0081050C" w:rsidRPr="006C129B" w:rsidRDefault="0081050C" w:rsidP="0081050C">
            <w:pPr>
              <w:pStyle w:val="TableText"/>
              <w:numPr>
                <w:ilvl w:val="0"/>
                <w:numId w:val="2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Assist as required on Governance investigations and processes.</w:t>
            </w:r>
          </w:p>
        </w:tc>
      </w:tr>
      <w:tr w:rsidR="0081050C" w:rsidRPr="006C129B" w14:paraId="75274006" w14:textId="77777777" w:rsidTr="000E0E2B">
        <w:tc>
          <w:tcPr>
            <w:tcW w:w="3601" w:type="dxa"/>
          </w:tcPr>
          <w:p w14:paraId="3FA817CB" w14:textId="77777777" w:rsidR="0081050C" w:rsidRPr="006C129B" w:rsidRDefault="0081050C" w:rsidP="000E0E2B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Communication &amp; Engagement</w:t>
            </w:r>
          </w:p>
        </w:tc>
        <w:tc>
          <w:tcPr>
            <w:tcW w:w="6986" w:type="dxa"/>
          </w:tcPr>
          <w:p w14:paraId="2EA5ABFA" w14:textId="77777777" w:rsidR="0081050C" w:rsidRPr="006C129B" w:rsidRDefault="0081050C" w:rsidP="0081050C">
            <w:pPr>
              <w:pStyle w:val="TableText"/>
              <w:numPr>
                <w:ilvl w:val="0"/>
                <w:numId w:val="24"/>
              </w:numPr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6C129B">
              <w:rPr>
                <w:rFonts w:cs="Arial"/>
              </w:rPr>
              <w:t xml:space="preserve">dvise of sensitive or contentious </w:t>
            </w:r>
            <w:r>
              <w:rPr>
                <w:rFonts w:cs="Arial"/>
              </w:rPr>
              <w:t>GIPA applications</w:t>
            </w:r>
            <w:r w:rsidRPr="006C129B">
              <w:rPr>
                <w:rFonts w:cs="Arial"/>
              </w:rPr>
              <w:t>.</w:t>
            </w:r>
          </w:p>
          <w:p w14:paraId="24C35882" w14:textId="77777777" w:rsidR="0081050C" w:rsidRPr="006C129B" w:rsidRDefault="0081050C" w:rsidP="0081050C">
            <w:pPr>
              <w:pStyle w:val="TableText"/>
              <w:numPr>
                <w:ilvl w:val="0"/>
                <w:numId w:val="28"/>
              </w:numPr>
              <w:ind w:left="720" w:hanging="424"/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>Provide fortnightly report on current GIPA matters</w:t>
            </w:r>
            <w:r>
              <w:rPr>
                <w:rFonts w:cs="Arial"/>
              </w:rPr>
              <w:t>.</w:t>
            </w:r>
          </w:p>
        </w:tc>
      </w:tr>
      <w:tr w:rsidR="0081050C" w:rsidRPr="006C129B" w14:paraId="1AA9B9EA" w14:textId="77777777" w:rsidTr="000E0E2B">
        <w:tc>
          <w:tcPr>
            <w:tcW w:w="3601" w:type="dxa"/>
          </w:tcPr>
          <w:p w14:paraId="7DD02D59" w14:textId="77777777" w:rsidR="0081050C" w:rsidRPr="006C129B" w:rsidRDefault="0081050C" w:rsidP="000E0E2B">
            <w:pPr>
              <w:pStyle w:val="TableText"/>
              <w:rPr>
                <w:rFonts w:cs="Arial"/>
              </w:rPr>
            </w:pPr>
            <w:r w:rsidRPr="006C129B">
              <w:rPr>
                <w:rFonts w:cs="Arial"/>
              </w:rPr>
              <w:t>Managers and staff</w:t>
            </w:r>
          </w:p>
        </w:tc>
        <w:tc>
          <w:tcPr>
            <w:tcW w:w="6986" w:type="dxa"/>
          </w:tcPr>
          <w:p w14:paraId="3668A33F" w14:textId="77777777" w:rsidR="0081050C" w:rsidRPr="006C129B" w:rsidRDefault="0081050C" w:rsidP="0081050C">
            <w:pPr>
              <w:pStyle w:val="TableText"/>
              <w:numPr>
                <w:ilvl w:val="0"/>
                <w:numId w:val="28"/>
              </w:numPr>
              <w:ind w:left="720" w:hanging="424"/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>Provide accurate and timely advice and support regarding GIPA and requests for information.</w:t>
            </w:r>
          </w:p>
          <w:p w14:paraId="674B81B9" w14:textId="77777777" w:rsidR="0081050C" w:rsidRPr="006C129B" w:rsidRDefault="0081050C" w:rsidP="0081050C">
            <w:pPr>
              <w:pStyle w:val="TableText"/>
              <w:numPr>
                <w:ilvl w:val="0"/>
                <w:numId w:val="28"/>
              </w:numPr>
              <w:ind w:left="720" w:hanging="424"/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>Provide information regarding agency and sector wide policies and legislation on GIPA</w:t>
            </w:r>
            <w:r>
              <w:rPr>
                <w:rFonts w:cs="Arial"/>
              </w:rPr>
              <w:t xml:space="preserve"> and </w:t>
            </w:r>
            <w:r w:rsidRPr="006C129B">
              <w:rPr>
                <w:rFonts w:cs="Arial"/>
              </w:rPr>
              <w:t>Privacy</w:t>
            </w:r>
            <w:r>
              <w:rPr>
                <w:rFonts w:cs="Arial"/>
              </w:rPr>
              <w:t>.</w:t>
            </w:r>
          </w:p>
          <w:p w14:paraId="56BC8E3E" w14:textId="77777777" w:rsidR="0081050C" w:rsidRPr="006C129B" w:rsidRDefault="0081050C" w:rsidP="0081050C">
            <w:pPr>
              <w:pStyle w:val="TableText"/>
              <w:numPr>
                <w:ilvl w:val="0"/>
                <w:numId w:val="28"/>
              </w:numPr>
              <w:ind w:left="720" w:hanging="424"/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>Ensure compliance with agency and sector policies and legislation.</w:t>
            </w:r>
          </w:p>
        </w:tc>
      </w:tr>
      <w:tr w:rsidR="0081050C" w:rsidRPr="006C129B" w14:paraId="3570A18E" w14:textId="77777777" w:rsidTr="000E0E2B">
        <w:tc>
          <w:tcPr>
            <w:tcW w:w="3601" w:type="dxa"/>
          </w:tcPr>
          <w:p w14:paraId="7C4E143B" w14:textId="77777777" w:rsidR="0081050C" w:rsidRPr="006C129B" w:rsidRDefault="0081050C" w:rsidP="000E0E2B">
            <w:pPr>
              <w:pStyle w:val="TableText"/>
              <w:keepNext/>
              <w:rPr>
                <w:rFonts w:cs="Arial"/>
              </w:rPr>
            </w:pPr>
            <w:r w:rsidRPr="006C129B">
              <w:rPr>
                <w:rFonts w:cs="Arial"/>
              </w:rPr>
              <w:t>Members of the Governance and Information Requests Unit</w:t>
            </w:r>
          </w:p>
        </w:tc>
        <w:tc>
          <w:tcPr>
            <w:tcW w:w="6986" w:type="dxa"/>
          </w:tcPr>
          <w:p w14:paraId="5A6B0D8C" w14:textId="77777777" w:rsidR="0081050C" w:rsidRPr="006C129B" w:rsidRDefault="0081050C" w:rsidP="0081050C">
            <w:pPr>
              <w:pStyle w:val="TableText"/>
              <w:keepNext/>
              <w:numPr>
                <w:ilvl w:val="0"/>
                <w:numId w:val="25"/>
              </w:numPr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>Monitor workflow and potential problems/issues.</w:t>
            </w:r>
          </w:p>
          <w:p w14:paraId="57F3A646" w14:textId="77777777" w:rsidR="0081050C" w:rsidRPr="006C129B" w:rsidRDefault="0081050C" w:rsidP="0081050C">
            <w:pPr>
              <w:pStyle w:val="TableText"/>
              <w:keepNext/>
              <w:numPr>
                <w:ilvl w:val="0"/>
                <w:numId w:val="25"/>
              </w:numPr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>Direction and guidance to ensure quality and effective services are delivered.</w:t>
            </w:r>
          </w:p>
          <w:p w14:paraId="393EB348" w14:textId="77777777" w:rsidR="0081050C" w:rsidRPr="006C129B" w:rsidRDefault="0081050C" w:rsidP="0081050C">
            <w:pPr>
              <w:pStyle w:val="TableText"/>
              <w:keepNext/>
              <w:numPr>
                <w:ilvl w:val="0"/>
                <w:numId w:val="25"/>
              </w:numPr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>Discuss work process and methodologies to encourage development of alternative approaches and best practice.</w:t>
            </w:r>
          </w:p>
        </w:tc>
      </w:tr>
      <w:tr w:rsidR="0081050C" w:rsidRPr="006C129B" w14:paraId="2B955109" w14:textId="77777777" w:rsidTr="000E0E2B">
        <w:tc>
          <w:tcPr>
            <w:tcW w:w="3601" w:type="dxa"/>
            <w:shd w:val="clear" w:color="auto" w:fill="A6A6A6" w:themeFill="background1" w:themeFillShade="A6"/>
          </w:tcPr>
          <w:p w14:paraId="3CF29A9B" w14:textId="77777777" w:rsidR="0081050C" w:rsidRPr="006C129B" w:rsidRDefault="0081050C" w:rsidP="000E0E2B">
            <w:pPr>
              <w:pStyle w:val="TableText"/>
              <w:keepNext/>
              <w:rPr>
                <w:rFonts w:cs="Arial"/>
                <w:b/>
              </w:rPr>
            </w:pPr>
            <w:r w:rsidRPr="006C129B">
              <w:rPr>
                <w:rFonts w:cs="Arial"/>
                <w:b/>
              </w:rPr>
              <w:t>External</w:t>
            </w:r>
          </w:p>
        </w:tc>
        <w:tc>
          <w:tcPr>
            <w:tcW w:w="6986" w:type="dxa"/>
            <w:shd w:val="clear" w:color="auto" w:fill="A6A6A6" w:themeFill="background1" w:themeFillShade="A6"/>
          </w:tcPr>
          <w:p w14:paraId="4221F3DE" w14:textId="77777777" w:rsidR="0081050C" w:rsidRPr="006C129B" w:rsidRDefault="0081050C" w:rsidP="000E0E2B">
            <w:pPr>
              <w:pStyle w:val="TableText"/>
              <w:keepNext/>
              <w:ind w:left="720"/>
              <w:jc w:val="both"/>
              <w:rPr>
                <w:rFonts w:cs="Arial"/>
                <w:b/>
              </w:rPr>
            </w:pPr>
          </w:p>
        </w:tc>
      </w:tr>
      <w:tr w:rsidR="0081050C" w:rsidRPr="006C129B" w14:paraId="65BBC903" w14:textId="77777777" w:rsidTr="000E0E2B">
        <w:tc>
          <w:tcPr>
            <w:tcW w:w="3601" w:type="dxa"/>
          </w:tcPr>
          <w:p w14:paraId="1A528164" w14:textId="77777777" w:rsidR="0081050C" w:rsidRPr="006C129B" w:rsidRDefault="0081050C" w:rsidP="000E0E2B">
            <w:pPr>
              <w:pStyle w:val="TableText"/>
              <w:ind w:left="-57"/>
              <w:rPr>
                <w:rFonts w:cs="Arial"/>
              </w:rPr>
            </w:pPr>
            <w:r w:rsidRPr="006C129B">
              <w:rPr>
                <w:rFonts w:cs="Arial"/>
              </w:rPr>
              <w:t>Ministerial Offices</w:t>
            </w:r>
          </w:p>
        </w:tc>
        <w:tc>
          <w:tcPr>
            <w:tcW w:w="6986" w:type="dxa"/>
          </w:tcPr>
          <w:p w14:paraId="6A3A98DD" w14:textId="77777777" w:rsidR="0081050C" w:rsidRPr="006C129B" w:rsidRDefault="0081050C" w:rsidP="0081050C">
            <w:pPr>
              <w:pStyle w:val="TableText"/>
              <w:numPr>
                <w:ilvl w:val="0"/>
                <w:numId w:val="24"/>
              </w:numPr>
              <w:ind w:left="720"/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 xml:space="preserve">Discuss and advise of sensitive or contentious </w:t>
            </w:r>
            <w:r>
              <w:rPr>
                <w:rFonts w:cs="Arial"/>
              </w:rPr>
              <w:t>GIPA applications</w:t>
            </w:r>
            <w:r w:rsidRPr="006C129B">
              <w:rPr>
                <w:rFonts w:cs="Arial"/>
              </w:rPr>
              <w:t>.</w:t>
            </w:r>
          </w:p>
          <w:p w14:paraId="650757AF" w14:textId="77777777" w:rsidR="0081050C" w:rsidRPr="006C129B" w:rsidRDefault="0081050C" w:rsidP="0081050C">
            <w:pPr>
              <w:pStyle w:val="TableText"/>
              <w:numPr>
                <w:ilvl w:val="0"/>
                <w:numId w:val="24"/>
              </w:numPr>
              <w:ind w:left="720"/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lastRenderedPageBreak/>
              <w:t>Provide fortnightly report on current GIPA matters</w:t>
            </w:r>
            <w:r>
              <w:rPr>
                <w:rFonts w:cs="Arial"/>
              </w:rPr>
              <w:t>.</w:t>
            </w:r>
          </w:p>
        </w:tc>
      </w:tr>
      <w:tr w:rsidR="0081050C" w:rsidRPr="006C129B" w14:paraId="3F4BABA7" w14:textId="77777777" w:rsidTr="000E0E2B">
        <w:tc>
          <w:tcPr>
            <w:tcW w:w="3601" w:type="dxa"/>
          </w:tcPr>
          <w:p w14:paraId="701B5C44" w14:textId="77777777" w:rsidR="0081050C" w:rsidRPr="006C129B" w:rsidRDefault="0081050C" w:rsidP="000E0E2B">
            <w:pPr>
              <w:pStyle w:val="TableText"/>
              <w:ind w:left="-57"/>
              <w:rPr>
                <w:rFonts w:cs="Arial"/>
              </w:rPr>
            </w:pPr>
            <w:r w:rsidRPr="006C129B">
              <w:rPr>
                <w:rFonts w:cs="Arial"/>
              </w:rPr>
              <w:lastRenderedPageBreak/>
              <w:t>Government and other agencies</w:t>
            </w:r>
          </w:p>
        </w:tc>
        <w:tc>
          <w:tcPr>
            <w:tcW w:w="6986" w:type="dxa"/>
          </w:tcPr>
          <w:p w14:paraId="64AF9749" w14:textId="77777777" w:rsidR="0081050C" w:rsidRPr="006C129B" w:rsidRDefault="0081050C" w:rsidP="0081050C">
            <w:pPr>
              <w:pStyle w:val="TableText"/>
              <w:numPr>
                <w:ilvl w:val="0"/>
                <w:numId w:val="24"/>
              </w:numPr>
              <w:ind w:left="720"/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>Liaise with other Government agencies, including the Information and Privacy Commissioners and the Department of Premier and Cabinet regarding inquiries, appeals and reviews under GIPA and Privacy Legislation.</w:t>
            </w:r>
          </w:p>
        </w:tc>
      </w:tr>
      <w:tr w:rsidR="0081050C" w:rsidRPr="006C129B" w14:paraId="5BB5A76E" w14:textId="77777777" w:rsidTr="000E0E2B">
        <w:tc>
          <w:tcPr>
            <w:tcW w:w="3601" w:type="dxa"/>
          </w:tcPr>
          <w:p w14:paraId="5505013B" w14:textId="77777777" w:rsidR="0081050C" w:rsidRPr="006C129B" w:rsidRDefault="0081050C" w:rsidP="000E0E2B">
            <w:pPr>
              <w:pStyle w:val="TableText"/>
              <w:ind w:left="-57"/>
              <w:rPr>
                <w:rFonts w:cs="Arial"/>
              </w:rPr>
            </w:pPr>
            <w:r w:rsidRPr="006C129B">
              <w:rPr>
                <w:rFonts w:cs="Arial"/>
              </w:rPr>
              <w:t>GIPA Applicants and third parties</w:t>
            </w:r>
          </w:p>
        </w:tc>
        <w:tc>
          <w:tcPr>
            <w:tcW w:w="6986" w:type="dxa"/>
          </w:tcPr>
          <w:p w14:paraId="3C0D0CED" w14:textId="77777777" w:rsidR="0081050C" w:rsidRPr="006C129B" w:rsidRDefault="0081050C" w:rsidP="0081050C">
            <w:pPr>
              <w:pStyle w:val="TableText"/>
              <w:numPr>
                <w:ilvl w:val="0"/>
                <w:numId w:val="24"/>
              </w:numPr>
              <w:ind w:left="720"/>
              <w:jc w:val="both"/>
              <w:rPr>
                <w:rFonts w:cs="Arial"/>
              </w:rPr>
            </w:pPr>
            <w:r w:rsidRPr="006C129B">
              <w:rPr>
                <w:rFonts w:cs="Arial"/>
              </w:rPr>
              <w:t>Significant consultation and negotiation with GIPA applicants and third parties on requests for information.</w:t>
            </w:r>
          </w:p>
        </w:tc>
      </w:tr>
    </w:tbl>
    <w:p w14:paraId="62E4FDCD" w14:textId="77777777" w:rsidR="0081050C" w:rsidRDefault="0081050C" w:rsidP="0081050C">
      <w:pPr>
        <w:pStyle w:val="Heading1"/>
        <w:ind w:left="142" w:right="168"/>
        <w:jc w:val="both"/>
      </w:pPr>
    </w:p>
    <w:p w14:paraId="05E98F52" w14:textId="77777777" w:rsidR="0081050C" w:rsidRDefault="0081050C" w:rsidP="00D072B5">
      <w:pPr>
        <w:pStyle w:val="Heading1"/>
        <w:ind w:right="168"/>
        <w:jc w:val="both"/>
        <w:rPr>
          <w:sz w:val="28"/>
        </w:rPr>
      </w:pPr>
      <w:r w:rsidRPr="00614552">
        <w:t>Role dimensions</w:t>
      </w:r>
    </w:p>
    <w:p w14:paraId="6C2BFB34" w14:textId="77777777" w:rsidR="0081050C" w:rsidRDefault="0081050C" w:rsidP="00D072B5">
      <w:pPr>
        <w:pStyle w:val="Heading2"/>
        <w:ind w:right="168"/>
        <w:jc w:val="both"/>
      </w:pPr>
      <w:r w:rsidRPr="00614552">
        <w:t>Decision making</w:t>
      </w:r>
    </w:p>
    <w:p w14:paraId="6E50DF7E" w14:textId="77777777" w:rsidR="0081050C" w:rsidRPr="009D66D6" w:rsidRDefault="0081050C" w:rsidP="00877674">
      <w:pPr>
        <w:pStyle w:val="Heading2"/>
        <w:numPr>
          <w:ilvl w:val="0"/>
          <w:numId w:val="33"/>
        </w:numPr>
        <w:ind w:right="168"/>
        <w:jc w:val="both"/>
        <w:rPr>
          <w:b w:val="0"/>
          <w:color w:val="auto"/>
        </w:rPr>
      </w:pPr>
      <w:r w:rsidRPr="009D66D6">
        <w:rPr>
          <w:b w:val="0"/>
          <w:color w:val="auto"/>
          <w:sz w:val="22"/>
          <w:szCs w:val="22"/>
        </w:rPr>
        <w:t>Responsible for decisions on the release of information in response to GIPA applications and managing subsequent review requests – Internal Reviews and appeals to the Information Commissioner and NSW Civil &amp; Administrative Tribunal</w:t>
      </w:r>
      <w:r>
        <w:rPr>
          <w:b w:val="0"/>
          <w:color w:val="auto"/>
          <w:sz w:val="22"/>
          <w:szCs w:val="22"/>
        </w:rPr>
        <w:t>.</w:t>
      </w:r>
      <w:r w:rsidRPr="009D66D6">
        <w:rPr>
          <w:b w:val="0"/>
          <w:color w:val="auto"/>
          <w:sz w:val="22"/>
          <w:szCs w:val="22"/>
        </w:rPr>
        <w:t xml:space="preserve"> </w:t>
      </w:r>
    </w:p>
    <w:p w14:paraId="2F9ACA4D" w14:textId="77777777" w:rsidR="0081050C" w:rsidRPr="009D66D6" w:rsidRDefault="0081050C" w:rsidP="00877674">
      <w:pPr>
        <w:pStyle w:val="Heading2"/>
        <w:numPr>
          <w:ilvl w:val="0"/>
          <w:numId w:val="32"/>
        </w:numPr>
        <w:ind w:right="168"/>
        <w:jc w:val="both"/>
        <w:rPr>
          <w:b w:val="0"/>
          <w:color w:val="auto"/>
        </w:rPr>
      </w:pPr>
      <w:r w:rsidRPr="009D66D6">
        <w:rPr>
          <w:b w:val="0"/>
          <w:color w:val="auto"/>
          <w:sz w:val="22"/>
          <w:szCs w:val="22"/>
        </w:rPr>
        <w:t>Prioritises and manages multiple tasks and demands including matters with critical turnaround times</w:t>
      </w:r>
      <w:r>
        <w:rPr>
          <w:b w:val="0"/>
          <w:color w:val="auto"/>
        </w:rPr>
        <w:t>.</w:t>
      </w:r>
    </w:p>
    <w:p w14:paraId="604FCA9B" w14:textId="77777777" w:rsidR="0081050C" w:rsidRPr="009D66D6" w:rsidRDefault="0081050C" w:rsidP="00877674">
      <w:pPr>
        <w:pStyle w:val="Heading2"/>
        <w:numPr>
          <w:ilvl w:val="0"/>
          <w:numId w:val="32"/>
        </w:numPr>
        <w:ind w:right="168"/>
        <w:jc w:val="both"/>
        <w:rPr>
          <w:b w:val="0"/>
          <w:color w:val="auto"/>
        </w:rPr>
      </w:pPr>
      <w:r w:rsidRPr="009D66D6">
        <w:rPr>
          <w:b w:val="0"/>
          <w:color w:val="auto"/>
          <w:sz w:val="22"/>
          <w:szCs w:val="22"/>
        </w:rPr>
        <w:t>Exercises discretion in determining the approach to work undertaken and is responsible for the interpretation and recommendations made in delivering client and departmental outcomes</w:t>
      </w:r>
      <w:r>
        <w:rPr>
          <w:b w:val="0"/>
          <w:color w:val="auto"/>
          <w:sz w:val="22"/>
          <w:szCs w:val="22"/>
        </w:rPr>
        <w:t>.</w:t>
      </w:r>
    </w:p>
    <w:p w14:paraId="701C85F4" w14:textId="77777777" w:rsidR="0081050C" w:rsidRDefault="0081050C" w:rsidP="0081050C">
      <w:pPr>
        <w:pStyle w:val="NoSpacing"/>
        <w:ind w:right="168"/>
        <w:jc w:val="both"/>
      </w:pPr>
    </w:p>
    <w:p w14:paraId="114BE631" w14:textId="77777777" w:rsidR="0081050C" w:rsidRPr="00614552" w:rsidRDefault="0081050C" w:rsidP="00D072B5">
      <w:pPr>
        <w:pStyle w:val="Heading2"/>
        <w:ind w:right="168"/>
        <w:jc w:val="both"/>
      </w:pPr>
      <w:r w:rsidRPr="00614552">
        <w:t>Reporting line</w:t>
      </w:r>
    </w:p>
    <w:p w14:paraId="27CAA5B7" w14:textId="656866F6" w:rsidR="0081050C" w:rsidRPr="009D66D6" w:rsidRDefault="0081050C" w:rsidP="00D072B5">
      <w:pPr>
        <w:pStyle w:val="Heading2"/>
        <w:ind w:right="168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Director, Governance</w:t>
      </w:r>
      <w:r w:rsidR="00AE2952">
        <w:rPr>
          <w:b w:val="0"/>
          <w:color w:val="auto"/>
          <w:sz w:val="22"/>
          <w:szCs w:val="22"/>
        </w:rPr>
        <w:t>, Information and Privacy</w:t>
      </w:r>
    </w:p>
    <w:p w14:paraId="24443500" w14:textId="77777777" w:rsidR="0081050C" w:rsidRDefault="0081050C" w:rsidP="0081050C">
      <w:pPr>
        <w:pStyle w:val="NoSpacing"/>
        <w:ind w:right="168"/>
        <w:jc w:val="both"/>
      </w:pPr>
    </w:p>
    <w:p w14:paraId="67B1FA78" w14:textId="77777777" w:rsidR="0081050C" w:rsidRPr="00614552" w:rsidRDefault="0081050C" w:rsidP="00D072B5">
      <w:pPr>
        <w:pStyle w:val="Heading2"/>
        <w:ind w:right="168"/>
        <w:jc w:val="both"/>
      </w:pPr>
      <w:r w:rsidRPr="00614552">
        <w:t>Direct reports</w:t>
      </w:r>
    </w:p>
    <w:p w14:paraId="31E2B3A6" w14:textId="77777777" w:rsidR="0081050C" w:rsidRPr="009D66D6" w:rsidRDefault="0081050C" w:rsidP="00D072B5">
      <w:pPr>
        <w:pStyle w:val="Heading2"/>
        <w:ind w:right="168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TBC</w:t>
      </w:r>
    </w:p>
    <w:p w14:paraId="6112A9EA" w14:textId="77777777" w:rsidR="0081050C" w:rsidRDefault="0081050C" w:rsidP="0081050C">
      <w:pPr>
        <w:pStyle w:val="NoSpacing"/>
        <w:ind w:right="168"/>
        <w:jc w:val="both"/>
      </w:pPr>
    </w:p>
    <w:p w14:paraId="240D6235" w14:textId="77777777" w:rsidR="0081050C" w:rsidRPr="00614552" w:rsidRDefault="0081050C" w:rsidP="00D072B5">
      <w:pPr>
        <w:pStyle w:val="Heading2"/>
        <w:ind w:right="168"/>
        <w:jc w:val="both"/>
      </w:pPr>
      <w:r w:rsidRPr="00614552">
        <w:t>Budget/Expenditure</w:t>
      </w:r>
    </w:p>
    <w:p w14:paraId="307D49D2" w14:textId="77777777" w:rsidR="0081050C" w:rsidRDefault="0081050C" w:rsidP="00D072B5">
      <w:pPr>
        <w:tabs>
          <w:tab w:val="left" w:pos="2925"/>
        </w:tabs>
        <w:ind w:right="168"/>
        <w:jc w:val="both"/>
        <w:rPr>
          <w:rFonts w:cs="Arial"/>
          <w:szCs w:val="26"/>
        </w:rPr>
      </w:pPr>
      <w:r>
        <w:rPr>
          <w:rFonts w:cs="Arial"/>
          <w:szCs w:val="26"/>
        </w:rPr>
        <w:t>Nil</w:t>
      </w:r>
    </w:p>
    <w:p w14:paraId="5185CA77" w14:textId="77777777" w:rsidR="005E5D4A" w:rsidRPr="00C978B9" w:rsidRDefault="005E5D4A" w:rsidP="005E5D4A">
      <w:pPr>
        <w:pStyle w:val="Heading1"/>
      </w:pPr>
      <w:r w:rsidRPr="00C978B9">
        <w:t>Capabilities for the role</w:t>
      </w:r>
    </w:p>
    <w:p w14:paraId="14B51485" w14:textId="77777777" w:rsidR="005E5D4A" w:rsidRPr="00175AAF" w:rsidRDefault="005E5D4A" w:rsidP="005E5D4A">
      <w:r w:rsidRPr="00175AAF">
        <w:t xml:space="preserve">The </w:t>
      </w:r>
      <w:hyperlink r:id="rId12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proofErr w:type="gramStart"/>
      <w:r w:rsidRPr="00175AAF">
        <w:t>results</w:t>
      </w:r>
      <w:proofErr w:type="gramEnd"/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01E0EB44" w14:textId="77777777" w:rsidR="005E5D4A" w:rsidRPr="00175AAF" w:rsidRDefault="005E5D4A" w:rsidP="005E5D4A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2CAE44FB" w14:textId="77777777" w:rsidR="005E5D4A" w:rsidRPr="00C978B9" w:rsidRDefault="005E5D4A" w:rsidP="005E5D4A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34990A48" w14:textId="77777777" w:rsidR="005E5D4A" w:rsidRDefault="005E5D4A" w:rsidP="005E5D4A">
      <w:pPr>
        <w:pStyle w:val="PlainText"/>
        <w:spacing w:before="62" w:line="276" w:lineRule="auto"/>
        <w:rPr>
          <w:rFonts w:ascii="Arial" w:hAnsi="Arial"/>
          <w:szCs w:val="22"/>
          <w:lang w:val="en-US"/>
        </w:rPr>
      </w:pPr>
      <w:r>
        <w:rPr>
          <w:rFonts w:ascii="Arial" w:hAnsi="Arial"/>
          <w:i/>
          <w:szCs w:val="22"/>
          <w:lang w:val="en-US"/>
        </w:rPr>
        <w:t>Focus capabilities</w:t>
      </w:r>
      <w:r>
        <w:rPr>
          <w:rFonts w:ascii="Arial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6E2C465E" w14:textId="77777777" w:rsidR="005E5D4A" w:rsidRDefault="005E5D4A" w:rsidP="005E5D4A">
      <w:pPr>
        <w:pStyle w:val="PlainText"/>
        <w:spacing w:before="62" w:line="276" w:lineRule="auto"/>
        <w:rPr>
          <w:rFonts w:ascii="Arial" w:hAnsi="Arial"/>
          <w:szCs w:val="22"/>
          <w:lang w:val="en-US"/>
        </w:rPr>
      </w:pPr>
      <w:r w:rsidRPr="004D15E4">
        <w:rPr>
          <w:rFonts w:ascii="Arial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hAnsi="Arial"/>
          <w:szCs w:val="22"/>
          <w:lang w:val="en-US"/>
        </w:rPr>
        <w:t>behaviours</w:t>
      </w:r>
      <w:proofErr w:type="spellEnd"/>
      <w:r>
        <w:rPr>
          <w:rFonts w:ascii="Arial" w:hAnsi="Arial"/>
          <w:szCs w:val="22"/>
          <w:lang w:val="en-US"/>
        </w:rPr>
        <w:t xml:space="preserve"> </w:t>
      </w:r>
      <w:r w:rsidRPr="004D15E4">
        <w:rPr>
          <w:rFonts w:ascii="Arial" w:hAnsi="Arial"/>
          <w:szCs w:val="22"/>
          <w:lang w:val="en-US"/>
        </w:rPr>
        <w:t xml:space="preserve">expected at </w:t>
      </w:r>
      <w:r>
        <w:rPr>
          <w:rFonts w:ascii="Arial" w:hAnsi="Arial"/>
          <w:szCs w:val="22"/>
          <w:lang w:val="en-US"/>
        </w:rPr>
        <w:t>each</w:t>
      </w:r>
      <w:r w:rsidRPr="004D15E4">
        <w:rPr>
          <w:rFonts w:ascii="Arial" w:hAnsi="Arial"/>
          <w:szCs w:val="22"/>
          <w:lang w:val="en-US"/>
        </w:rPr>
        <w:t xml:space="preserve"> level.</w:t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2881"/>
        <w:gridCol w:w="90"/>
        <w:gridCol w:w="4770"/>
        <w:gridCol w:w="1606"/>
      </w:tblGrid>
      <w:tr w:rsidR="005E5D4A" w:rsidRPr="00803E47" w14:paraId="61E5D69D" w14:textId="77777777" w:rsidTr="000E0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339478AA" w14:textId="77777777" w:rsidR="005E5D4A" w:rsidRPr="00803E47" w:rsidRDefault="005E5D4A" w:rsidP="000E0E2B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5E5D4A" w:rsidRPr="00C978B9" w14:paraId="3E7E2EF0" w14:textId="77777777" w:rsidTr="000E0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49674277" w14:textId="77777777" w:rsidR="005E5D4A" w:rsidRPr="00C978B9" w:rsidRDefault="005E5D4A" w:rsidP="000E0E2B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196DAB9F" w14:textId="77777777" w:rsidR="005E5D4A" w:rsidRPr="00C978B9" w:rsidRDefault="005E5D4A" w:rsidP="000E0E2B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1F5DA4D1" w14:textId="77777777" w:rsidR="005E5D4A" w:rsidRDefault="005E5D4A" w:rsidP="000E0E2B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6688A64A" w14:textId="77777777" w:rsidR="005E5D4A" w:rsidRDefault="005E5D4A" w:rsidP="000E0E2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23603FD9" w14:textId="77777777" w:rsidR="005E5D4A" w:rsidRDefault="005E5D4A" w:rsidP="000E0E2B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5E5D4A" w:rsidRPr="00C978B9" w14:paraId="03B76BE6" w14:textId="77777777" w:rsidTr="000E0E2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9DB957E" w14:textId="77777777" w:rsidR="005E5D4A" w:rsidRDefault="005E5D4A" w:rsidP="000E0E2B">
            <w:pPr>
              <w:keepNext/>
            </w:pPr>
          </w:p>
          <w:p w14:paraId="4802B041" w14:textId="77777777" w:rsidR="005E5D4A" w:rsidRPr="00C978B9" w:rsidRDefault="005E5D4A" w:rsidP="000E0E2B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667B5D44" wp14:editId="25B5EC1F">
                  <wp:extent cx="847725" cy="8477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attribu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A309145" w14:textId="77777777" w:rsidR="005E5D4A" w:rsidRPr="00A8226F" w:rsidRDefault="005E5D4A" w:rsidP="000E0E2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Display Resilience and Courage</w:t>
            </w:r>
          </w:p>
          <w:p w14:paraId="2441CDDF" w14:textId="77777777" w:rsidR="005E5D4A" w:rsidRPr="00AA57E3" w:rsidRDefault="005E5D4A" w:rsidP="000E0E2B">
            <w:pPr>
              <w:pStyle w:val="TableText"/>
              <w:keepNext/>
            </w:pPr>
            <w:r>
              <w:t>Be open and honest, prepared to express your views, and willing to accept and commit to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B83BAA2" w14:textId="77777777" w:rsidR="005E5D4A" w:rsidRPr="00AA57E3" w:rsidRDefault="005E5D4A" w:rsidP="000E0E2B">
            <w:pPr>
              <w:pStyle w:val="TableBullet"/>
            </w:pPr>
            <w:r>
              <w:t>Remain composed and calm and act constructively in highly pressured and unpredictable environments</w:t>
            </w:r>
          </w:p>
          <w:p w14:paraId="579B8B6D" w14:textId="77777777" w:rsidR="005E5D4A" w:rsidRPr="00AA57E3" w:rsidRDefault="005E5D4A" w:rsidP="000E0E2B">
            <w:pPr>
              <w:pStyle w:val="TableBullet"/>
            </w:pPr>
            <w:r>
              <w:t>Give frank, honest advice in response to strong contrary views</w:t>
            </w:r>
          </w:p>
          <w:p w14:paraId="0540C5BE" w14:textId="77777777" w:rsidR="005E5D4A" w:rsidRPr="00AA57E3" w:rsidRDefault="005E5D4A" w:rsidP="000E0E2B">
            <w:pPr>
              <w:pStyle w:val="TableBullet"/>
            </w:pPr>
            <w:r>
              <w:t>Accept criticism of own ideas and respond in a thoughtful and considered way</w:t>
            </w:r>
          </w:p>
          <w:p w14:paraId="20EEC824" w14:textId="77777777" w:rsidR="005E5D4A" w:rsidRPr="00AA57E3" w:rsidRDefault="005E5D4A" w:rsidP="000E0E2B">
            <w:pPr>
              <w:pStyle w:val="TableBullet"/>
            </w:pPr>
            <w:r>
              <w:t>Welcome new challenges and persist in raising and working through novel and difficult issues</w:t>
            </w:r>
          </w:p>
          <w:p w14:paraId="0380D6D0" w14:textId="77777777" w:rsidR="005E5D4A" w:rsidRPr="00AA57E3" w:rsidRDefault="005E5D4A" w:rsidP="000E0E2B">
            <w:pPr>
              <w:pStyle w:val="TableBullet"/>
            </w:pPr>
            <w:r>
              <w:t>Develop effective strategies and show decisiveness in dealing with emotionally charged situations and difficult or controversial issues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0BD92DA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5E5D4A" w:rsidRPr="00C978B9" w14:paraId="7D6D53E0" w14:textId="77777777" w:rsidTr="000E0E2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EB2FA99" w14:textId="77777777" w:rsidR="005E5D4A" w:rsidRDefault="005E5D4A" w:rsidP="000E0E2B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3448CB8" w14:textId="77777777" w:rsidR="005E5D4A" w:rsidRPr="00A8226F" w:rsidRDefault="005E5D4A" w:rsidP="000E0E2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14:paraId="17D72DD3" w14:textId="77777777" w:rsidR="005E5D4A" w:rsidRPr="00A8226F" w:rsidRDefault="005E5D4A" w:rsidP="000E0E2B">
            <w:pPr>
              <w:pStyle w:val="TableText"/>
              <w:keepNext/>
              <w:rPr>
                <w:b/>
              </w:rPr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505B19C" w14:textId="77777777" w:rsidR="005E5D4A" w:rsidRDefault="005E5D4A" w:rsidP="000E0E2B">
            <w:pPr>
              <w:pStyle w:val="TableBullet"/>
            </w:pPr>
            <w:r>
              <w:t xml:space="preserve">Represent the organisation in an honest, </w:t>
            </w:r>
            <w:proofErr w:type="gramStart"/>
            <w:r>
              <w:t>ethical</w:t>
            </w:r>
            <w:proofErr w:type="gramEnd"/>
            <w:r>
              <w:t xml:space="preserve"> and professional way and encourage others to do so</w:t>
            </w:r>
          </w:p>
          <w:p w14:paraId="367B8779" w14:textId="77777777" w:rsidR="005E5D4A" w:rsidRDefault="005E5D4A" w:rsidP="000E0E2B">
            <w:pPr>
              <w:pStyle w:val="TableBullet"/>
            </w:pPr>
            <w:r>
              <w:t>Act professionally and support a culture of integrity</w:t>
            </w:r>
          </w:p>
          <w:p w14:paraId="3C090E54" w14:textId="77777777" w:rsidR="005E5D4A" w:rsidRDefault="005E5D4A" w:rsidP="000E0E2B">
            <w:pPr>
              <w:pStyle w:val="TableBullet"/>
            </w:pPr>
            <w:r>
              <w:t>Identify and explain ethical issues and set an example for others to follow</w:t>
            </w:r>
          </w:p>
          <w:p w14:paraId="427774BF" w14:textId="77777777" w:rsidR="005E5D4A" w:rsidRDefault="005E5D4A" w:rsidP="000E0E2B">
            <w:pPr>
              <w:pStyle w:val="TableBullet"/>
            </w:pPr>
            <w:r>
              <w:t>Ensure that others are aware of and understand the legislation and policy framework within which they operate</w:t>
            </w:r>
          </w:p>
          <w:p w14:paraId="7BC6A11E" w14:textId="77777777" w:rsidR="005E5D4A" w:rsidRDefault="005E5D4A" w:rsidP="000E0E2B">
            <w:pPr>
              <w:pStyle w:val="TableBullet"/>
            </w:pPr>
            <w:r>
              <w:t>Act to prevent and report misconduct and illegal and inappropriate behaviour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E200505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E5D4A" w:rsidRPr="00C978B9" w14:paraId="6BB49AFC" w14:textId="77777777" w:rsidTr="000E0E2B">
        <w:tc>
          <w:tcPr>
            <w:tcW w:w="1406" w:type="dxa"/>
            <w:tcBorders>
              <w:bottom w:val="single" w:sz="4" w:space="0" w:color="BCBEC0"/>
            </w:tcBorders>
          </w:tcPr>
          <w:p w14:paraId="6637A804" w14:textId="77777777" w:rsidR="005E5D4A" w:rsidRDefault="005E5D4A" w:rsidP="000E0E2B">
            <w:pPr>
              <w:keepNext/>
            </w:pPr>
          </w:p>
          <w:p w14:paraId="0035942C" w14:textId="77777777" w:rsidR="005E5D4A" w:rsidRPr="00C978B9" w:rsidRDefault="005E5D4A" w:rsidP="000E0E2B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4F3022C0" wp14:editId="04B1F027">
                  <wp:extent cx="847725" cy="8477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ionsh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28212FC" w14:textId="77777777" w:rsidR="005E5D4A" w:rsidRPr="00A8226F" w:rsidRDefault="005E5D4A" w:rsidP="000E0E2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14:paraId="731F0D76" w14:textId="77777777" w:rsidR="005E5D4A" w:rsidRPr="00AA57E3" w:rsidRDefault="005E5D4A" w:rsidP="000E0E2B">
            <w:pPr>
              <w:pStyle w:val="TableText"/>
              <w:keepNext/>
            </w:pPr>
            <w:r>
              <w:t>Provide customer-focused services in line with public sector and organisational objectives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9544DC6" w14:textId="77777777" w:rsidR="005E5D4A" w:rsidRPr="00AA57E3" w:rsidRDefault="005E5D4A" w:rsidP="000E0E2B">
            <w:pPr>
              <w:pStyle w:val="TableBullet"/>
            </w:pPr>
            <w:r>
              <w:t>Promote a customer-focused culture in the organisation and consider new ways of working to improve customer experience</w:t>
            </w:r>
          </w:p>
          <w:p w14:paraId="0238599C" w14:textId="77777777" w:rsidR="005E5D4A" w:rsidRPr="00AA57E3" w:rsidRDefault="005E5D4A" w:rsidP="000E0E2B">
            <w:pPr>
              <w:pStyle w:val="TableBullet"/>
            </w:pPr>
            <w:r>
              <w:t>Ensure systems are in place to capture customer service insights to improve services</w:t>
            </w:r>
          </w:p>
          <w:p w14:paraId="46D25D62" w14:textId="77777777" w:rsidR="005E5D4A" w:rsidRPr="00AA57E3" w:rsidRDefault="005E5D4A" w:rsidP="000E0E2B">
            <w:pPr>
              <w:pStyle w:val="TableBullet"/>
            </w:pPr>
            <w:r>
              <w:t>Initiate and develop partnerships with customers to define and evaluate service performance outcomes</w:t>
            </w:r>
          </w:p>
          <w:p w14:paraId="0F555CC9" w14:textId="77777777" w:rsidR="005E5D4A" w:rsidRPr="00AA57E3" w:rsidRDefault="005E5D4A" w:rsidP="000E0E2B">
            <w:pPr>
              <w:pStyle w:val="TableBullet"/>
            </w:pPr>
            <w:r>
              <w:t>Promote and manage alliances within the organisation and across the public, private and community sectors</w:t>
            </w:r>
          </w:p>
          <w:p w14:paraId="58D54FE1" w14:textId="77777777" w:rsidR="005E5D4A" w:rsidRPr="00AA57E3" w:rsidRDefault="005E5D4A" w:rsidP="000E0E2B">
            <w:pPr>
              <w:pStyle w:val="TableBullet"/>
            </w:pPr>
            <w:r>
              <w:t>Liaise with senior stakeholders on key issues and provide expert and influential advice</w:t>
            </w:r>
          </w:p>
          <w:p w14:paraId="0A6641CF" w14:textId="77777777" w:rsidR="005E5D4A" w:rsidRPr="00AA57E3" w:rsidRDefault="005E5D4A" w:rsidP="000E0E2B">
            <w:pPr>
              <w:pStyle w:val="TableBullet"/>
            </w:pPr>
            <w:r>
              <w:t>Identify and incorporate the interests and needs of customers in business process design and encourage new ideas and innovative approaches</w:t>
            </w:r>
          </w:p>
          <w:p w14:paraId="0FF7583A" w14:textId="77777777" w:rsidR="005E5D4A" w:rsidRPr="00AA57E3" w:rsidRDefault="005E5D4A" w:rsidP="000E0E2B">
            <w:pPr>
              <w:pStyle w:val="TableBullet"/>
            </w:pPr>
            <w:r>
              <w:t xml:space="preserve">Ensure that the organisation’s systems, processes, </w:t>
            </w:r>
            <w:proofErr w:type="gramStart"/>
            <w:r>
              <w:t>policies</w:t>
            </w:r>
            <w:proofErr w:type="gramEnd"/>
            <w:r>
              <w:t xml:space="preserve"> and programs respond to customer needs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F005B20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5E5D4A" w:rsidRPr="00C978B9" w14:paraId="292A8DE0" w14:textId="77777777" w:rsidTr="000E0E2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AAAB6E0" w14:textId="77777777" w:rsidR="005E5D4A" w:rsidRDefault="005E5D4A" w:rsidP="000E0E2B">
            <w:pPr>
              <w:keepNext/>
            </w:pPr>
          </w:p>
          <w:p w14:paraId="523676A2" w14:textId="77777777" w:rsidR="005E5D4A" w:rsidRPr="00C978B9" w:rsidRDefault="005E5D4A" w:rsidP="000E0E2B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3956B7D3" wp14:editId="4ED6E135">
                  <wp:extent cx="847725" cy="8477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ul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E71F4BA" w14:textId="77777777" w:rsidR="005E5D4A" w:rsidRPr="00A8226F" w:rsidRDefault="005E5D4A" w:rsidP="000E0E2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14:paraId="44C64F2C" w14:textId="77777777" w:rsidR="005E5D4A" w:rsidRPr="00AA57E3" w:rsidRDefault="005E5D4A" w:rsidP="000E0E2B">
            <w:pPr>
              <w:pStyle w:val="TableText"/>
              <w:keepNext/>
            </w:pPr>
            <w:r>
              <w:t xml:space="preserve">Think, </w:t>
            </w:r>
            <w:proofErr w:type="gramStart"/>
            <w:r>
              <w:t>analyse</w:t>
            </w:r>
            <w:proofErr w:type="gramEnd"/>
            <w:r>
              <w:t xml:space="preserve"> and consider the broader context to develop practical solutions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6D82F64" w14:textId="77777777" w:rsidR="005E5D4A" w:rsidRPr="00AA57E3" w:rsidRDefault="005E5D4A" w:rsidP="000E0E2B">
            <w:pPr>
              <w:pStyle w:val="TableBullet"/>
            </w:pPr>
            <w:r>
              <w:t>Research and apply critical-thinking techniques in analysing information, identify interrelationships and make recommendations based on relevant evidence</w:t>
            </w:r>
          </w:p>
          <w:p w14:paraId="2E9ED217" w14:textId="77777777" w:rsidR="005E5D4A" w:rsidRPr="00AA57E3" w:rsidRDefault="005E5D4A" w:rsidP="000E0E2B">
            <w:pPr>
              <w:pStyle w:val="TableBullet"/>
            </w:pPr>
            <w:r>
              <w:t xml:space="preserve">Anticipate, </w:t>
            </w:r>
            <w:proofErr w:type="gramStart"/>
            <w:r>
              <w:t>identify</w:t>
            </w:r>
            <w:proofErr w:type="gramEnd"/>
            <w:r>
              <w:t xml:space="preserve"> and address issues and potential problems that may have an impact on organisational objectives and the user experience</w:t>
            </w:r>
          </w:p>
          <w:p w14:paraId="1DEE9021" w14:textId="77777777" w:rsidR="005E5D4A" w:rsidRPr="00AA57E3" w:rsidRDefault="005E5D4A" w:rsidP="000E0E2B">
            <w:pPr>
              <w:pStyle w:val="TableBullet"/>
            </w:pPr>
            <w:r>
              <w:t>Apply creative-thinking techniques to generate new ideas and options to address issues and improve the user experience</w:t>
            </w:r>
          </w:p>
          <w:p w14:paraId="641BF84F" w14:textId="77777777" w:rsidR="005E5D4A" w:rsidRPr="00AA57E3" w:rsidRDefault="005E5D4A" w:rsidP="000E0E2B">
            <w:pPr>
              <w:pStyle w:val="TableBullet"/>
            </w:pPr>
            <w:r>
              <w:t>Seek contributions and ideas from people with diverse backgrounds and experience</w:t>
            </w:r>
          </w:p>
          <w:p w14:paraId="2011E2FD" w14:textId="77777777" w:rsidR="005E5D4A" w:rsidRPr="00AA57E3" w:rsidRDefault="005E5D4A" w:rsidP="000E0E2B">
            <w:pPr>
              <w:pStyle w:val="TableBullet"/>
            </w:pPr>
            <w:r>
              <w:t>Participate in and contribute to team or unit initiatives to resolve common issues or barriers to effectiveness</w:t>
            </w:r>
          </w:p>
          <w:p w14:paraId="693DDA27" w14:textId="77777777" w:rsidR="005E5D4A" w:rsidRPr="00AA57E3" w:rsidRDefault="005E5D4A" w:rsidP="000E0E2B">
            <w:pPr>
              <w:pStyle w:val="TableBullet"/>
            </w:pPr>
            <w:r>
              <w:t>Identify and share business process improvements to enhance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4E6E6A2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E5D4A" w:rsidRPr="00C978B9" w14:paraId="77D2FC20" w14:textId="77777777" w:rsidTr="000E0E2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091869E" w14:textId="77777777" w:rsidR="005E5D4A" w:rsidRDefault="005E5D4A" w:rsidP="000E0E2B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9E636BC" w14:textId="77777777" w:rsidR="005E5D4A" w:rsidRPr="00A8226F" w:rsidRDefault="005E5D4A" w:rsidP="000E0E2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Demonstrate Accountability</w:t>
            </w:r>
          </w:p>
          <w:p w14:paraId="1FCEB43F" w14:textId="77777777" w:rsidR="005E5D4A" w:rsidRPr="00A8226F" w:rsidRDefault="005E5D4A" w:rsidP="000E0E2B">
            <w:pPr>
              <w:pStyle w:val="TableText"/>
              <w:keepNext/>
              <w:rPr>
                <w:b/>
              </w:rPr>
            </w:pPr>
            <w:r>
              <w:t xml:space="preserve">Be proactive and responsible for own actions, and adhere to legislation, </w:t>
            </w:r>
            <w:proofErr w:type="gramStart"/>
            <w:r>
              <w:t>policy</w:t>
            </w:r>
            <w:proofErr w:type="gramEnd"/>
            <w:r>
              <w:t xml:space="preserve"> and guidelines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7E5A895" w14:textId="77777777" w:rsidR="005E5D4A" w:rsidRDefault="005E5D4A" w:rsidP="000E0E2B">
            <w:pPr>
              <w:pStyle w:val="TableBullet"/>
            </w:pPr>
            <w:r>
              <w:t>Assess work outcomes and identify and share learnings to inform future actions</w:t>
            </w:r>
          </w:p>
          <w:p w14:paraId="208131D9" w14:textId="77777777" w:rsidR="005E5D4A" w:rsidRDefault="005E5D4A" w:rsidP="000E0E2B">
            <w:pPr>
              <w:pStyle w:val="TableBullet"/>
            </w:pPr>
            <w:r>
              <w:t>Ensure that own actions and those of others are focused on achieving organisational outcomes</w:t>
            </w:r>
          </w:p>
          <w:p w14:paraId="176223E2" w14:textId="77777777" w:rsidR="005E5D4A" w:rsidRDefault="005E5D4A" w:rsidP="000E0E2B">
            <w:pPr>
              <w:pStyle w:val="TableBullet"/>
            </w:pPr>
            <w:r>
              <w:t>Exercise delegations responsibly</w:t>
            </w:r>
          </w:p>
          <w:p w14:paraId="2B07449C" w14:textId="77777777" w:rsidR="005E5D4A" w:rsidRDefault="005E5D4A" w:rsidP="000E0E2B">
            <w:pPr>
              <w:pStyle w:val="TableBullet"/>
            </w:pPr>
            <w:r>
              <w:t>Understand and apply high standards of financial probity with public monies and other resources</w:t>
            </w:r>
          </w:p>
          <w:p w14:paraId="50DFCE4B" w14:textId="77777777" w:rsidR="005E5D4A" w:rsidRDefault="005E5D4A" w:rsidP="000E0E2B">
            <w:pPr>
              <w:pStyle w:val="TableBullet"/>
            </w:pPr>
            <w:r>
              <w:t>Identify and implement safe work practices, taking a systematic risk management approach to ensure own and others’ health and safety</w:t>
            </w:r>
          </w:p>
          <w:p w14:paraId="34F9E0DF" w14:textId="77777777" w:rsidR="005E5D4A" w:rsidRDefault="005E5D4A" w:rsidP="000E0E2B">
            <w:pPr>
              <w:pStyle w:val="TableBullet"/>
            </w:pPr>
            <w:r>
              <w:t>Conduct and report on quality control audits</w:t>
            </w:r>
          </w:p>
          <w:p w14:paraId="7134ABBE" w14:textId="77777777" w:rsidR="005E5D4A" w:rsidRDefault="005E5D4A" w:rsidP="000E0E2B">
            <w:pPr>
              <w:pStyle w:val="TableBullet"/>
            </w:pPr>
            <w:r>
              <w:t>Identify risks to successfully achieving goals, and take appropriate steps to mitigate those risks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CAD84F9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E5D4A" w:rsidRPr="00C978B9" w14:paraId="3894745B" w14:textId="77777777" w:rsidTr="000E0E2B">
        <w:tc>
          <w:tcPr>
            <w:tcW w:w="1406" w:type="dxa"/>
            <w:tcBorders>
              <w:bottom w:val="single" w:sz="4" w:space="0" w:color="BCBEC0"/>
            </w:tcBorders>
          </w:tcPr>
          <w:p w14:paraId="741F5640" w14:textId="77777777" w:rsidR="005E5D4A" w:rsidRDefault="005E5D4A" w:rsidP="000E0E2B">
            <w:pPr>
              <w:keepNext/>
            </w:pPr>
          </w:p>
          <w:p w14:paraId="713CD48D" w14:textId="77777777" w:rsidR="005E5D4A" w:rsidRPr="00C978B9" w:rsidRDefault="005E5D4A" w:rsidP="000E0E2B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248A9A01" wp14:editId="7442D37B">
                  <wp:extent cx="847725" cy="847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-enabl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5B31670" w14:textId="77777777" w:rsidR="005E5D4A" w:rsidRPr="00A8226F" w:rsidRDefault="005E5D4A" w:rsidP="000E0E2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Project Management</w:t>
            </w:r>
          </w:p>
          <w:p w14:paraId="0270B237" w14:textId="77777777" w:rsidR="005E5D4A" w:rsidRPr="00AA57E3" w:rsidRDefault="005E5D4A" w:rsidP="000E0E2B">
            <w:pPr>
              <w:pStyle w:val="TableText"/>
              <w:keepNext/>
            </w:pPr>
            <w:r>
              <w:t xml:space="preserve">Understand and apply effective planning, </w:t>
            </w:r>
            <w:proofErr w:type="gramStart"/>
            <w:r>
              <w:t>coordination</w:t>
            </w:r>
            <w:proofErr w:type="gramEnd"/>
            <w:r>
              <w:t xml:space="preserve"> and control methods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8718E32" w14:textId="77777777" w:rsidR="005E5D4A" w:rsidRPr="00AA57E3" w:rsidRDefault="005E5D4A" w:rsidP="000E0E2B">
            <w:pPr>
              <w:pStyle w:val="TableBullet"/>
            </w:pPr>
            <w:r>
              <w:t>Understand all components of the project management process, including the need to consider change management to realise business benefits</w:t>
            </w:r>
          </w:p>
          <w:p w14:paraId="7768E011" w14:textId="77777777" w:rsidR="005E5D4A" w:rsidRPr="00AA57E3" w:rsidRDefault="005E5D4A" w:rsidP="000E0E2B">
            <w:pPr>
              <w:pStyle w:val="TableBullet"/>
            </w:pPr>
            <w:r>
              <w:t>Prepare clear project proposals and accurate estimates of required costs and resources</w:t>
            </w:r>
          </w:p>
          <w:p w14:paraId="0D68DD19" w14:textId="77777777" w:rsidR="005E5D4A" w:rsidRPr="00AA57E3" w:rsidRDefault="005E5D4A" w:rsidP="000E0E2B">
            <w:pPr>
              <w:pStyle w:val="TableBullet"/>
            </w:pPr>
            <w:r>
              <w:t>Establish performance outcomes and measures for key project goals, and define monitoring, reporting and communication requirements</w:t>
            </w:r>
          </w:p>
          <w:p w14:paraId="0AF6B15F" w14:textId="77777777" w:rsidR="005E5D4A" w:rsidRPr="00AA57E3" w:rsidRDefault="005E5D4A" w:rsidP="000E0E2B">
            <w:pPr>
              <w:pStyle w:val="TableBullet"/>
            </w:pPr>
            <w:r>
              <w:t>Identify and evaluate risks associated with the project and develop mitigation strategies</w:t>
            </w:r>
          </w:p>
          <w:p w14:paraId="34FF4036" w14:textId="77777777" w:rsidR="005E5D4A" w:rsidRPr="00AA57E3" w:rsidRDefault="005E5D4A" w:rsidP="000E0E2B">
            <w:pPr>
              <w:pStyle w:val="TableBullet"/>
            </w:pPr>
            <w:r>
              <w:t>Identify and consult stakeholders to inform the project strategy</w:t>
            </w:r>
          </w:p>
          <w:p w14:paraId="3F4F2205" w14:textId="77777777" w:rsidR="005E5D4A" w:rsidRPr="00AA57E3" w:rsidRDefault="005E5D4A" w:rsidP="000E0E2B">
            <w:pPr>
              <w:pStyle w:val="TableBullet"/>
            </w:pPr>
            <w:r>
              <w:t>Communicate the project’s objectives and its expected benefits</w:t>
            </w:r>
          </w:p>
          <w:p w14:paraId="59D901D1" w14:textId="77777777" w:rsidR="005E5D4A" w:rsidRPr="00AA57E3" w:rsidRDefault="005E5D4A" w:rsidP="000E0E2B">
            <w:pPr>
              <w:pStyle w:val="TableBullet"/>
            </w:pPr>
            <w:r>
              <w:t>Monitor the completion of project milestones against goals and take necessary action</w:t>
            </w:r>
          </w:p>
          <w:p w14:paraId="75278D42" w14:textId="77777777" w:rsidR="005E5D4A" w:rsidRPr="00AA57E3" w:rsidRDefault="005E5D4A" w:rsidP="000E0E2B">
            <w:pPr>
              <w:pStyle w:val="TableBullet"/>
            </w:pPr>
            <w:r>
              <w:t>Evaluate progress and identify improvements to inform future projects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963111E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E5D4A" w:rsidRPr="00C978B9" w14:paraId="765C0428" w14:textId="77777777" w:rsidTr="000E0E2B">
        <w:tc>
          <w:tcPr>
            <w:tcW w:w="1406" w:type="dxa"/>
            <w:tcBorders>
              <w:bottom w:val="single" w:sz="4" w:space="0" w:color="BCBEC0"/>
            </w:tcBorders>
          </w:tcPr>
          <w:p w14:paraId="32409356" w14:textId="77777777" w:rsidR="005E5D4A" w:rsidRDefault="005E5D4A" w:rsidP="000E0E2B">
            <w:pPr>
              <w:keepNext/>
            </w:pPr>
          </w:p>
          <w:p w14:paraId="726120A2" w14:textId="77777777" w:rsidR="005E5D4A" w:rsidRPr="00C978B9" w:rsidRDefault="005E5D4A" w:rsidP="000E0E2B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42B7FB96" wp14:editId="273B8488">
                  <wp:extent cx="838200" cy="838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-mana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32DD141" w14:textId="77777777" w:rsidR="005E5D4A" w:rsidRPr="00A8226F" w:rsidRDefault="005E5D4A" w:rsidP="000E0E2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and Develop People</w:t>
            </w:r>
          </w:p>
          <w:p w14:paraId="5FC15B64" w14:textId="77777777" w:rsidR="005E5D4A" w:rsidRPr="00AA57E3" w:rsidRDefault="005E5D4A" w:rsidP="000E0E2B">
            <w:pPr>
              <w:pStyle w:val="TableText"/>
              <w:keepNext/>
            </w:pPr>
            <w:r>
              <w:t>Engage and motivate staff, and develop capability and potential in others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7DBEEB0" w14:textId="77777777" w:rsidR="005E5D4A" w:rsidRPr="00AA57E3" w:rsidRDefault="005E5D4A" w:rsidP="000E0E2B">
            <w:pPr>
              <w:pStyle w:val="TableBullet"/>
            </w:pPr>
            <w:r>
              <w:t xml:space="preserve">Define and clearly communicate roles, </w:t>
            </w:r>
            <w:proofErr w:type="gramStart"/>
            <w:r>
              <w:t>responsibilities</w:t>
            </w:r>
            <w:proofErr w:type="gramEnd"/>
            <w:r>
              <w:t xml:space="preserve"> and performance standards to achieve team outcomes</w:t>
            </w:r>
          </w:p>
          <w:p w14:paraId="6B6083DE" w14:textId="77777777" w:rsidR="005E5D4A" w:rsidRPr="00AA57E3" w:rsidRDefault="005E5D4A" w:rsidP="000E0E2B">
            <w:pPr>
              <w:pStyle w:val="TableBullet"/>
            </w:pPr>
            <w:r>
              <w:t>Adjust performance development processes to meet the diverse abilities and needs of individuals and teams</w:t>
            </w:r>
          </w:p>
          <w:p w14:paraId="70AFC2BF" w14:textId="77777777" w:rsidR="005E5D4A" w:rsidRPr="00AA57E3" w:rsidRDefault="005E5D4A" w:rsidP="000E0E2B">
            <w:pPr>
              <w:pStyle w:val="TableBullet"/>
            </w:pPr>
            <w:r>
              <w:t xml:space="preserve">Develop work plans that consider capability, </w:t>
            </w:r>
            <w:proofErr w:type="gramStart"/>
            <w:r>
              <w:t>strengths</w:t>
            </w:r>
            <w:proofErr w:type="gramEnd"/>
            <w:r>
              <w:t xml:space="preserve"> and opportunities for development</w:t>
            </w:r>
          </w:p>
          <w:p w14:paraId="21CF1732" w14:textId="77777777" w:rsidR="005E5D4A" w:rsidRPr="00AA57E3" w:rsidRDefault="005E5D4A" w:rsidP="000E0E2B">
            <w:pPr>
              <w:pStyle w:val="TableBullet"/>
            </w:pPr>
            <w:r>
              <w:t>Be aware of the influences of bias when managing team members</w:t>
            </w:r>
          </w:p>
          <w:p w14:paraId="20B98BBE" w14:textId="77777777" w:rsidR="005E5D4A" w:rsidRPr="00AA57E3" w:rsidRDefault="005E5D4A" w:rsidP="000E0E2B">
            <w:pPr>
              <w:pStyle w:val="TableBullet"/>
            </w:pPr>
            <w:r>
              <w:t>Seek feedback on own management capabilities and develop strategies to address any gaps</w:t>
            </w:r>
          </w:p>
          <w:p w14:paraId="0932C2CE" w14:textId="77777777" w:rsidR="005E5D4A" w:rsidRPr="00AA57E3" w:rsidRDefault="005E5D4A" w:rsidP="000E0E2B">
            <w:pPr>
              <w:pStyle w:val="TableBullet"/>
            </w:pPr>
            <w:r>
              <w:t>Address and resolve team and individual performance issues, including unsatisfactory performance, in a timely and effective way</w:t>
            </w:r>
          </w:p>
          <w:p w14:paraId="7B6816F3" w14:textId="77777777" w:rsidR="005E5D4A" w:rsidRPr="00AA57E3" w:rsidRDefault="005E5D4A" w:rsidP="000E0E2B">
            <w:pPr>
              <w:pStyle w:val="TableBullet"/>
            </w:pPr>
            <w:r>
              <w:t>Monitor and report on team performance in line with established performance development frameworks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345585E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</w:tbl>
    <w:p w14:paraId="431875F5" w14:textId="77777777" w:rsidR="005E5D4A" w:rsidRDefault="005E5D4A" w:rsidP="005E5D4A"/>
    <w:p w14:paraId="1C72028F" w14:textId="77777777" w:rsidR="005E5D4A" w:rsidRDefault="005E5D4A" w:rsidP="005E5D4A">
      <w:pPr>
        <w:pStyle w:val="Heading1"/>
      </w:pPr>
      <w:r>
        <w:t>Complementary capabilities</w:t>
      </w:r>
    </w:p>
    <w:p w14:paraId="5CD8F786" w14:textId="77777777" w:rsidR="005E5D4A" w:rsidRPr="003927AE" w:rsidRDefault="005E5D4A" w:rsidP="005E5D4A">
      <w:pPr>
        <w:pStyle w:val="PlainText"/>
        <w:spacing w:before="62" w:line="276" w:lineRule="auto"/>
        <w:rPr>
          <w:rFonts w:ascii="Arial" w:hAnsi="Arial"/>
          <w:szCs w:val="22"/>
          <w:lang w:val="en-US"/>
        </w:rPr>
      </w:pPr>
      <w:r w:rsidRPr="003927AE">
        <w:rPr>
          <w:rFonts w:ascii="Arial" w:hAnsi="Arial"/>
          <w:i/>
          <w:szCs w:val="22"/>
          <w:lang w:val="en-US"/>
        </w:rPr>
        <w:t>Complementary capabilities</w:t>
      </w:r>
      <w:r w:rsidRPr="003927AE">
        <w:rPr>
          <w:rFonts w:ascii="Arial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0A9CA5C7" w14:textId="77777777" w:rsidR="005E5D4A" w:rsidRDefault="005E5D4A" w:rsidP="005E5D4A">
      <w:pPr>
        <w:pStyle w:val="PlainText"/>
        <w:spacing w:before="62" w:line="276" w:lineRule="auto"/>
        <w:rPr>
          <w:rFonts w:ascii="Arial" w:hAnsi="Arial"/>
          <w:szCs w:val="22"/>
          <w:lang w:val="en-US"/>
        </w:rPr>
      </w:pPr>
      <w:r w:rsidRPr="003927AE">
        <w:rPr>
          <w:rFonts w:ascii="Arial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36906B75" w14:textId="77777777" w:rsidR="005E5D4A" w:rsidRDefault="005E5D4A" w:rsidP="005E5D4A">
      <w:pPr>
        <w:pStyle w:val="PlainText"/>
        <w:spacing w:before="62" w:line="276" w:lineRule="auto"/>
        <w:rPr>
          <w:rFonts w:ascii="Arial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2881"/>
        <w:gridCol w:w="90"/>
        <w:gridCol w:w="4770"/>
        <w:gridCol w:w="1606"/>
      </w:tblGrid>
      <w:tr w:rsidR="005E5D4A" w:rsidRPr="00803E47" w14:paraId="3F63C90F" w14:textId="77777777" w:rsidTr="000E0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5D7728C4" w14:textId="77777777" w:rsidR="005E5D4A" w:rsidRPr="00803E47" w:rsidRDefault="005E5D4A" w:rsidP="000E0E2B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5E5D4A" w:rsidRPr="00C978B9" w14:paraId="69CD39D9" w14:textId="77777777" w:rsidTr="000E0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722526D4" w14:textId="77777777" w:rsidR="005E5D4A" w:rsidRPr="00C978B9" w:rsidRDefault="005E5D4A" w:rsidP="000E0E2B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164F7FD0" w14:textId="77777777" w:rsidR="005E5D4A" w:rsidRPr="00C978B9" w:rsidRDefault="005E5D4A" w:rsidP="000E0E2B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02E71E84" w14:textId="77777777" w:rsidR="005E5D4A" w:rsidRDefault="005E5D4A" w:rsidP="000E0E2B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778A5A28" w14:textId="77777777" w:rsidR="005E5D4A" w:rsidRDefault="005E5D4A" w:rsidP="000E0E2B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11B1B72F" w14:textId="77777777" w:rsidR="005E5D4A" w:rsidRDefault="005E5D4A" w:rsidP="000E0E2B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5E5D4A" w:rsidRPr="00C978B9" w14:paraId="564980E7" w14:textId="77777777" w:rsidTr="000E0E2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1312762" w14:textId="77777777" w:rsidR="005E5D4A" w:rsidRDefault="005E5D4A" w:rsidP="000E0E2B">
            <w:pPr>
              <w:keepNext/>
            </w:pPr>
          </w:p>
          <w:p w14:paraId="55C07D24" w14:textId="77777777" w:rsidR="005E5D4A" w:rsidRPr="00C978B9" w:rsidRDefault="005E5D4A" w:rsidP="000E0E2B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3158237C" wp14:editId="1D5609DD">
                  <wp:extent cx="847725" cy="8477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al-attribu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48DC42A" w14:textId="77777777" w:rsidR="005E5D4A" w:rsidRPr="00AA57E3" w:rsidRDefault="005E5D4A" w:rsidP="000E0E2B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DAB6EC0" w14:textId="77777777" w:rsidR="005E5D4A" w:rsidRPr="00AA57E3" w:rsidRDefault="005E5D4A" w:rsidP="000E0E2B">
            <w:r>
              <w:t>Show drive and motivation, an ability to self-reflect and a commitment to learning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4C4A062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E5D4A" w:rsidRPr="00C978B9" w14:paraId="33AF6A3C" w14:textId="77777777" w:rsidTr="000E0E2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CE30BB0" w14:textId="77777777" w:rsidR="005E5D4A" w:rsidRDefault="005E5D4A" w:rsidP="000E0E2B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D443CC0" w14:textId="77777777" w:rsidR="005E5D4A" w:rsidRPr="00A8226F" w:rsidRDefault="005E5D4A" w:rsidP="000E0E2B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DDB551D" w14:textId="77777777" w:rsidR="005E5D4A" w:rsidRDefault="005E5D4A" w:rsidP="000E0E2B">
            <w:r>
              <w:t xml:space="preserve">Demonstrate inclusive behaviour and show respect for diverse backgrounds, </w:t>
            </w:r>
            <w:proofErr w:type="gramStart"/>
            <w:r>
              <w:t>experiences</w:t>
            </w:r>
            <w:proofErr w:type="gramEnd"/>
            <w:r>
              <w:t xml:space="preserve">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25CF854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E5D4A" w:rsidRPr="00C978B9" w14:paraId="6EC49AFB" w14:textId="77777777" w:rsidTr="000E0E2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B8B50B8" w14:textId="77777777" w:rsidR="005E5D4A" w:rsidRDefault="005E5D4A" w:rsidP="000E0E2B">
            <w:pPr>
              <w:keepNext/>
            </w:pPr>
          </w:p>
          <w:p w14:paraId="5AA48346" w14:textId="77777777" w:rsidR="005E5D4A" w:rsidRPr="00C978B9" w:rsidRDefault="005E5D4A" w:rsidP="000E0E2B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08C53782" wp14:editId="10EF3000">
                  <wp:extent cx="847725" cy="8477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lationsh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44D0BF0" w14:textId="77777777" w:rsidR="005E5D4A" w:rsidRPr="00AA57E3" w:rsidRDefault="005E5D4A" w:rsidP="000E0E2B">
            <w:r>
              <w:t>Communicate Effectively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ACFEB86" w14:textId="77777777" w:rsidR="005E5D4A" w:rsidRPr="00AA57E3" w:rsidRDefault="005E5D4A" w:rsidP="000E0E2B">
            <w:r>
              <w:t>Communicate clearly, actively listen to others, and respond with understanding and respect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58B5EE7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5E5D4A" w:rsidRPr="00C978B9" w14:paraId="559D1E45" w14:textId="77777777" w:rsidTr="000E0E2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77A91F0" w14:textId="77777777" w:rsidR="005E5D4A" w:rsidRDefault="005E5D4A" w:rsidP="000E0E2B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43D5652" w14:textId="77777777" w:rsidR="005E5D4A" w:rsidRPr="00A8226F" w:rsidRDefault="005E5D4A" w:rsidP="000E0E2B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02528C2" w14:textId="77777777" w:rsidR="005E5D4A" w:rsidRDefault="005E5D4A" w:rsidP="000E0E2B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C997151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E5D4A" w:rsidRPr="00C978B9" w14:paraId="416CBC96" w14:textId="77777777" w:rsidTr="000E0E2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79F2200" w14:textId="77777777" w:rsidR="005E5D4A" w:rsidRDefault="005E5D4A" w:rsidP="000E0E2B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EE800CF" w14:textId="77777777" w:rsidR="005E5D4A" w:rsidRPr="00A8226F" w:rsidRDefault="005E5D4A" w:rsidP="000E0E2B">
            <w:r>
              <w:t xml:space="preserve">Influence and </w:t>
            </w:r>
            <w:proofErr w:type="gramStart"/>
            <w:r>
              <w:t>Negotiate</w:t>
            </w:r>
            <w:proofErr w:type="gramEnd"/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57408DA" w14:textId="77777777" w:rsidR="005E5D4A" w:rsidRDefault="005E5D4A" w:rsidP="000E0E2B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F844C37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E5D4A" w:rsidRPr="00C978B9" w14:paraId="662109D3" w14:textId="77777777" w:rsidTr="000E0E2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38BA1D5" w14:textId="77777777" w:rsidR="005E5D4A" w:rsidRDefault="005E5D4A" w:rsidP="000E0E2B">
            <w:pPr>
              <w:keepNext/>
            </w:pPr>
          </w:p>
          <w:p w14:paraId="1ECC2BF7" w14:textId="77777777" w:rsidR="005E5D4A" w:rsidRPr="00C978B9" w:rsidRDefault="005E5D4A" w:rsidP="000E0E2B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43112533" wp14:editId="03CCEE06">
                  <wp:extent cx="847725" cy="847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ul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9BF766E" w14:textId="77777777" w:rsidR="005E5D4A" w:rsidRPr="00AA57E3" w:rsidRDefault="005E5D4A" w:rsidP="000E0E2B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12F0950" w14:textId="77777777" w:rsidR="005E5D4A" w:rsidRPr="00AA57E3" w:rsidRDefault="005E5D4A" w:rsidP="000E0E2B">
            <w:r>
              <w:t>Achieve results through the efficient use of resources and a commitment to quality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4853A78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E5D4A" w:rsidRPr="00C978B9" w14:paraId="5F93B0D2" w14:textId="77777777" w:rsidTr="000E0E2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C82C3A3" w14:textId="77777777" w:rsidR="005E5D4A" w:rsidRDefault="005E5D4A" w:rsidP="000E0E2B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F9811D7" w14:textId="77777777" w:rsidR="005E5D4A" w:rsidRPr="00A8226F" w:rsidRDefault="005E5D4A" w:rsidP="000E0E2B">
            <w:r>
              <w:t xml:space="preserve">Plan and </w:t>
            </w:r>
            <w:proofErr w:type="gramStart"/>
            <w:r>
              <w:t>Prioritise</w:t>
            </w:r>
            <w:proofErr w:type="gramEnd"/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7F145D6" w14:textId="77777777" w:rsidR="005E5D4A" w:rsidRDefault="005E5D4A" w:rsidP="000E0E2B">
            <w:r>
              <w:t>Plan to achieve priority outcomes and respond flexibly to changing circumstances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E110FB0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E5D4A" w:rsidRPr="00C978B9" w14:paraId="27F0FF4E" w14:textId="77777777" w:rsidTr="000E0E2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FF358FB" w14:textId="77777777" w:rsidR="005E5D4A" w:rsidRDefault="005E5D4A" w:rsidP="000E0E2B">
            <w:pPr>
              <w:keepNext/>
            </w:pPr>
          </w:p>
          <w:p w14:paraId="75A97636" w14:textId="77777777" w:rsidR="005E5D4A" w:rsidRPr="00C978B9" w:rsidRDefault="005E5D4A" w:rsidP="000E0E2B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67D3FD25" wp14:editId="4AA371A5">
                  <wp:extent cx="847725" cy="8477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iness-enabl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128FE71" w14:textId="77777777" w:rsidR="005E5D4A" w:rsidRPr="00AA57E3" w:rsidRDefault="005E5D4A" w:rsidP="000E0E2B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CB5DC3E" w14:textId="77777777" w:rsidR="005E5D4A" w:rsidRPr="00AA57E3" w:rsidRDefault="005E5D4A" w:rsidP="000E0E2B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7CEE9EE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5E5D4A" w:rsidRPr="00C978B9" w14:paraId="4487752D" w14:textId="77777777" w:rsidTr="000E0E2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37F1921" w14:textId="77777777" w:rsidR="005E5D4A" w:rsidRDefault="005E5D4A" w:rsidP="000E0E2B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DF3FB9E" w14:textId="77777777" w:rsidR="005E5D4A" w:rsidRPr="00A8226F" w:rsidRDefault="005E5D4A" w:rsidP="000E0E2B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408987E" w14:textId="77777777" w:rsidR="005E5D4A" w:rsidRDefault="005E5D4A" w:rsidP="000E0E2B">
            <w:r>
              <w:t>Understand and use available technologies to maximise efficiencies and effectiveness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8CEE72D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E5D4A" w:rsidRPr="00C978B9" w14:paraId="4B17A8CF" w14:textId="77777777" w:rsidTr="000E0E2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BA7124C" w14:textId="77777777" w:rsidR="005E5D4A" w:rsidRDefault="005E5D4A" w:rsidP="000E0E2B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375A401" w14:textId="77777777" w:rsidR="005E5D4A" w:rsidRPr="00A8226F" w:rsidRDefault="005E5D4A" w:rsidP="000E0E2B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321B5A0" w14:textId="77777777" w:rsidR="005E5D4A" w:rsidRDefault="005E5D4A" w:rsidP="000E0E2B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F4166F5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5E5D4A" w:rsidRPr="00C978B9" w14:paraId="1CD31C29" w14:textId="77777777" w:rsidTr="000E0E2B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65B3FBF1" w14:textId="77777777" w:rsidR="005E5D4A" w:rsidRDefault="005E5D4A" w:rsidP="000E0E2B">
            <w:pPr>
              <w:keepNext/>
            </w:pPr>
          </w:p>
          <w:p w14:paraId="44D53839" w14:textId="77777777" w:rsidR="005E5D4A" w:rsidRPr="00C978B9" w:rsidRDefault="005E5D4A" w:rsidP="000E0E2B">
            <w:pPr>
              <w:keepNext/>
            </w:pPr>
            <w:r>
              <w:rPr>
                <w:noProof/>
                <w:lang w:eastAsia="en-AU"/>
              </w:rPr>
              <w:drawing>
                <wp:inline distT="0" distB="0" distL="0" distR="0" wp14:anchorId="7B4BB4C8" wp14:editId="226367CD">
                  <wp:extent cx="838200" cy="838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ople-mana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2DABD38" w14:textId="77777777" w:rsidR="005E5D4A" w:rsidRPr="00AA57E3" w:rsidRDefault="005E5D4A" w:rsidP="000E0E2B">
            <w:r>
              <w:t>Inspire Direction and Purpose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C99F75E" w14:textId="77777777" w:rsidR="005E5D4A" w:rsidRPr="00AA57E3" w:rsidRDefault="005E5D4A" w:rsidP="000E0E2B">
            <w:r>
              <w:t xml:space="preserve">Communicate goals, </w:t>
            </w:r>
            <w:proofErr w:type="gramStart"/>
            <w:r>
              <w:t>priorities</w:t>
            </w:r>
            <w:proofErr w:type="gramEnd"/>
            <w:r>
              <w:t xml:space="preserve"> and vision, and recognise achievements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9B3ABD0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5E5D4A" w:rsidRPr="00C978B9" w14:paraId="64A18CA6" w14:textId="77777777" w:rsidTr="000E0E2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9EC2350" w14:textId="77777777" w:rsidR="005E5D4A" w:rsidRDefault="005E5D4A" w:rsidP="000E0E2B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313ACC6" w14:textId="77777777" w:rsidR="005E5D4A" w:rsidRPr="00A8226F" w:rsidRDefault="005E5D4A" w:rsidP="000E0E2B">
            <w:r>
              <w:t>Optimise Business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4D7F34F" w14:textId="77777777" w:rsidR="005E5D4A" w:rsidRDefault="005E5D4A" w:rsidP="000E0E2B">
            <w:r>
              <w:t>Manage people and resources effectively to achieve public value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B9DED33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E5D4A" w:rsidRPr="00C978B9" w14:paraId="00E2BF69" w14:textId="77777777" w:rsidTr="000E0E2B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49DB551" w14:textId="77777777" w:rsidR="005E5D4A" w:rsidRDefault="005E5D4A" w:rsidP="000E0E2B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141A550" w14:textId="77777777" w:rsidR="005E5D4A" w:rsidRPr="00A8226F" w:rsidRDefault="005E5D4A" w:rsidP="000E0E2B">
            <w:r>
              <w:t>Manage Reform and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E6FD370" w14:textId="77777777" w:rsidR="005E5D4A" w:rsidRDefault="005E5D4A" w:rsidP="000E0E2B">
            <w:r>
              <w:t>Support, promote and champion change, and assist others to engage with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30F66AD" w14:textId="77777777" w:rsidR="005E5D4A" w:rsidRDefault="005E5D4A" w:rsidP="000E0E2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</w:tbl>
    <w:p w14:paraId="15D5DA58" w14:textId="77777777" w:rsidR="005E5D4A" w:rsidRPr="003927AE" w:rsidRDefault="005E5D4A" w:rsidP="005E5D4A"/>
    <w:p w14:paraId="4826191C" w14:textId="77777777" w:rsidR="005E5D4A" w:rsidRDefault="005E5D4A" w:rsidP="00D072B5">
      <w:pPr>
        <w:tabs>
          <w:tab w:val="left" w:pos="2925"/>
        </w:tabs>
        <w:ind w:right="168"/>
        <w:jc w:val="both"/>
        <w:rPr>
          <w:rFonts w:cs="Arial"/>
          <w:szCs w:val="26"/>
        </w:rPr>
      </w:pPr>
    </w:p>
    <w:bookmarkEnd w:id="2"/>
    <w:p w14:paraId="789E2842" w14:textId="77777777" w:rsidR="0081050C" w:rsidRDefault="0081050C" w:rsidP="00A161BB">
      <w:pPr>
        <w:pStyle w:val="Default"/>
        <w:rPr>
          <w:b/>
          <w:bCs/>
          <w:sz w:val="22"/>
          <w:szCs w:val="22"/>
        </w:rPr>
      </w:pPr>
    </w:p>
    <w:sectPr w:rsidR="0081050C" w:rsidSect="009D747B"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E984" w14:textId="77777777" w:rsidR="00AE247D" w:rsidRDefault="00AE247D" w:rsidP="00BB532F">
      <w:pPr>
        <w:spacing w:after="0" w:line="240" w:lineRule="auto"/>
      </w:pPr>
      <w:r>
        <w:separator/>
      </w:r>
    </w:p>
  </w:endnote>
  <w:endnote w:type="continuationSeparator" w:id="0">
    <w:p w14:paraId="0184D4CE" w14:textId="77777777" w:rsidR="00AE247D" w:rsidRDefault="00AE247D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6582A9BF" w14:textId="77777777" w:rsidTr="00C03AFD">
      <w:tc>
        <w:tcPr>
          <w:tcW w:w="2250" w:type="pct"/>
          <w:vAlign w:val="center"/>
        </w:tcPr>
        <w:p w14:paraId="21F0CF4F" w14:textId="29065DE7" w:rsidR="00C03AFD" w:rsidRDefault="00C03AFD" w:rsidP="0081050C">
          <w:pPr>
            <w:pStyle w:val="Footer"/>
          </w:pPr>
          <w:r w:rsidRPr="00C03AFD">
            <w:rPr>
              <w:color w:val="928B81"/>
              <w:sz w:val="18"/>
            </w:rPr>
            <w:t xml:space="preserve">Role </w:t>
          </w:r>
          <w:proofErr w:type="gramStart"/>
          <w:r w:rsidRPr="00C03AFD">
            <w:rPr>
              <w:color w:val="928B81"/>
              <w:sz w:val="18"/>
            </w:rPr>
            <w:t>Description</w:t>
          </w:r>
          <w:r w:rsidR="00443BCB">
            <w:rPr>
              <w:color w:val="928B81"/>
              <w:sz w:val="18"/>
            </w:rPr>
            <w:t xml:space="preserve">  </w:t>
          </w:r>
          <w:r w:rsidR="0081050C">
            <w:rPr>
              <w:b/>
              <w:color w:val="928B81"/>
              <w:sz w:val="18"/>
            </w:rPr>
            <w:t>Manager</w:t>
          </w:r>
          <w:proofErr w:type="gramEnd"/>
          <w:r w:rsidR="0081050C">
            <w:rPr>
              <w:b/>
              <w:color w:val="928B81"/>
              <w:sz w:val="18"/>
            </w:rPr>
            <w:t xml:space="preserve"> </w:t>
          </w:r>
          <w:r w:rsidR="005F67A7">
            <w:rPr>
              <w:b/>
              <w:color w:val="928B81"/>
              <w:sz w:val="18"/>
            </w:rPr>
            <w:t>Information and Privacy</w:t>
          </w:r>
        </w:p>
      </w:tc>
      <w:tc>
        <w:tcPr>
          <w:tcW w:w="250" w:type="pct"/>
          <w:vAlign w:val="center"/>
        </w:tcPr>
        <w:p w14:paraId="2E4DC472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0E0514">
            <w:rPr>
              <w:noProof/>
              <w:color w:val="928B81"/>
              <w:sz w:val="18"/>
              <w:lang w:eastAsia="en-AU"/>
            </w:rPr>
            <w:t>5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787617F9" w14:textId="77777777" w:rsidR="00C03AFD" w:rsidRDefault="00C03AFD" w:rsidP="00C03AFD">
          <w:pPr>
            <w:pStyle w:val="Footer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29E86ABA" wp14:editId="54533D35">
                <wp:extent cx="432000" cy="452144"/>
                <wp:effectExtent l="0" t="0" r="635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B6F766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22366EFC" w14:textId="77777777" w:rsidTr="0047547E">
      <w:trPr>
        <w:trHeight w:val="811"/>
      </w:trPr>
      <w:tc>
        <w:tcPr>
          <w:tcW w:w="10005" w:type="dxa"/>
          <w:vAlign w:val="bottom"/>
        </w:tcPr>
        <w:p w14:paraId="284731B5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0E0514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4E4AAF5D" w14:textId="77777777" w:rsidR="00BB532F" w:rsidRDefault="003A1185" w:rsidP="00BD7BA7">
          <w:pPr>
            <w:pStyle w:val="Footer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34FBA4B1" wp14:editId="34E9F185">
                <wp:extent cx="555625" cy="581660"/>
                <wp:effectExtent l="0" t="0" r="0" b="889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_Work_For_NSW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4C781D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6319" w14:textId="77777777" w:rsidR="00AE247D" w:rsidRDefault="00AE247D" w:rsidP="00BB532F">
      <w:pPr>
        <w:spacing w:after="0" w:line="240" w:lineRule="auto"/>
      </w:pPr>
      <w:r>
        <w:separator/>
      </w:r>
    </w:p>
  </w:footnote>
  <w:footnote w:type="continuationSeparator" w:id="0">
    <w:p w14:paraId="5F41CC4E" w14:textId="77777777" w:rsidR="00AE247D" w:rsidRDefault="00AE247D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78"/>
      <w:gridCol w:w="222"/>
    </w:tblGrid>
    <w:tr w:rsidR="007E2FB7" w14:paraId="4EA7F2D7" w14:textId="77777777" w:rsidTr="00894A73">
      <w:trPr>
        <w:trHeight w:val="813"/>
      </w:trPr>
      <w:tc>
        <w:tcPr>
          <w:tcW w:w="7082" w:type="dxa"/>
        </w:tcPr>
        <w:tbl>
          <w:tblPr>
            <w:tblStyle w:val="TableGrid"/>
            <w:tblW w:w="107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82"/>
            <w:gridCol w:w="3688"/>
          </w:tblGrid>
          <w:tr w:rsidR="000E0514" w:rsidRPr="000477E1" w14:paraId="7D7E1943" w14:textId="77777777" w:rsidTr="000E0E44">
            <w:trPr>
              <w:trHeight w:val="813"/>
            </w:trPr>
            <w:tc>
              <w:tcPr>
                <w:tcW w:w="7082" w:type="dxa"/>
              </w:tcPr>
              <w:p w14:paraId="732AD5AC" w14:textId="77777777" w:rsidR="000E0514" w:rsidRDefault="000E0514" w:rsidP="000E0E44">
                <w:pPr>
                  <w:pStyle w:val="TitleSub"/>
                  <w:spacing w:after="0"/>
                  <w:rPr>
                    <w:rFonts w:ascii="Arial" w:hAnsi="Arial" w:cs="Arial"/>
                  </w:rPr>
                </w:pPr>
                <w:r w:rsidRPr="001E49B2">
                  <w:rPr>
                    <w:rFonts w:ascii="Arial" w:hAnsi="Arial" w:cs="Arial"/>
                  </w:rPr>
                  <w:t>Role Description</w:t>
                </w:r>
              </w:p>
              <w:p w14:paraId="4D5426DD" w14:textId="7142D833" w:rsidR="000E0514" w:rsidRPr="00935EE2" w:rsidRDefault="000E0514" w:rsidP="000E0E44">
                <w:pPr>
                  <w:pStyle w:val="TitleSub"/>
                  <w:spacing w:after="0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 xml:space="preserve">Manager </w:t>
                </w:r>
                <w:r w:rsidR="00FA3570">
                  <w:rPr>
                    <w:rFonts w:ascii="Arial" w:hAnsi="Arial" w:cs="Arial"/>
                    <w:b/>
                  </w:rPr>
                  <w:t xml:space="preserve">Information and Privacy </w:t>
                </w:r>
              </w:p>
            </w:tc>
            <w:tc>
              <w:tcPr>
                <w:tcW w:w="3688" w:type="dxa"/>
              </w:tcPr>
              <w:p w14:paraId="3063BE08" w14:textId="77777777" w:rsidR="000E0514" w:rsidRPr="000477E1" w:rsidRDefault="000E0514" w:rsidP="000E0E44">
                <w:pPr>
                  <w:jc w:val="right"/>
                </w:pPr>
                <w:r>
                  <w:object w:dxaOrig="3345" w:dyaOrig="1095" w14:anchorId="185FF9B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67.25pt;height:54.75pt">
                      <v:imagedata r:id="rId1" o:title=""/>
                    </v:shape>
                    <o:OLEObject Type="Embed" ProgID="PBrush" ShapeID="_x0000_i1025" DrawAspect="Content" ObjectID="_1743401773" r:id="rId2"/>
                  </w:object>
                </w:r>
              </w:p>
            </w:tc>
          </w:tr>
        </w:tbl>
        <w:p w14:paraId="699C0FCE" w14:textId="77777777"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</w:p>
      </w:tc>
      <w:tc>
        <w:tcPr>
          <w:tcW w:w="3688" w:type="dxa"/>
        </w:tcPr>
        <w:p w14:paraId="23174467" w14:textId="77777777" w:rsidR="000477E1" w:rsidRPr="000477E1" w:rsidRDefault="000477E1" w:rsidP="00030565">
          <w:pPr>
            <w:jc w:val="right"/>
          </w:pPr>
        </w:p>
      </w:tc>
    </w:tr>
  </w:tbl>
  <w:p w14:paraId="1C1C10A1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F083D"/>
    <w:multiLevelType w:val="hybridMultilevel"/>
    <w:tmpl w:val="751AF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81DA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718"/>
    <w:multiLevelType w:val="hybridMultilevel"/>
    <w:tmpl w:val="97AABB7E"/>
    <w:lvl w:ilvl="0" w:tplc="52C4837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2DCC"/>
    <w:multiLevelType w:val="hybridMultilevel"/>
    <w:tmpl w:val="6C8E0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14FE6"/>
    <w:multiLevelType w:val="hybridMultilevel"/>
    <w:tmpl w:val="ECF050AC"/>
    <w:lvl w:ilvl="0" w:tplc="52C4837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5D47"/>
    <w:multiLevelType w:val="hybridMultilevel"/>
    <w:tmpl w:val="8FD8C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A7768"/>
    <w:multiLevelType w:val="hybridMultilevel"/>
    <w:tmpl w:val="6784BC70"/>
    <w:lvl w:ilvl="0" w:tplc="7CE51F34">
      <w:numFmt w:val="bullet"/>
      <w:lvlText w:val="·"/>
      <w:lvlJc w:val="left"/>
      <w:pPr>
        <w:tabs>
          <w:tab w:val="num" w:pos="934"/>
        </w:tabs>
        <w:ind w:left="934" w:hanging="360"/>
      </w:pPr>
      <w:rPr>
        <w:rFonts w:ascii="Symbol" w:hAnsi="Symbol"/>
        <w:snapToGrid/>
        <w:sz w:val="22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48306E"/>
    <w:multiLevelType w:val="hybridMultilevel"/>
    <w:tmpl w:val="69BE3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D5F9B"/>
    <w:multiLevelType w:val="hybridMultilevel"/>
    <w:tmpl w:val="F9A01510"/>
    <w:lvl w:ilvl="0" w:tplc="7F207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9771D"/>
    <w:multiLevelType w:val="hybridMultilevel"/>
    <w:tmpl w:val="C8480E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94405"/>
    <w:multiLevelType w:val="hybridMultilevel"/>
    <w:tmpl w:val="74264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16FE8"/>
    <w:multiLevelType w:val="hybridMultilevel"/>
    <w:tmpl w:val="DC927BB2"/>
    <w:lvl w:ilvl="0" w:tplc="7CE51F34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/>
        <w:snapToGrid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92251"/>
    <w:multiLevelType w:val="hybridMultilevel"/>
    <w:tmpl w:val="79DEC16E"/>
    <w:lvl w:ilvl="0" w:tplc="7CE51F34">
      <w:numFmt w:val="bullet"/>
      <w:lvlText w:val="·"/>
      <w:lvlJc w:val="left"/>
      <w:pPr>
        <w:tabs>
          <w:tab w:val="num" w:pos="574"/>
        </w:tabs>
        <w:ind w:left="574" w:hanging="360"/>
      </w:pPr>
      <w:rPr>
        <w:rFonts w:ascii="Symbol" w:hAnsi="Symbol"/>
        <w:snapToGrid/>
        <w:sz w:val="22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92D759C"/>
    <w:multiLevelType w:val="hybridMultilevel"/>
    <w:tmpl w:val="720CC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F80"/>
    <w:multiLevelType w:val="hybridMultilevel"/>
    <w:tmpl w:val="C6A09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B682F"/>
    <w:multiLevelType w:val="hybridMultilevel"/>
    <w:tmpl w:val="38C65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446BF"/>
    <w:multiLevelType w:val="hybridMultilevel"/>
    <w:tmpl w:val="B46E64D8"/>
    <w:lvl w:ilvl="0" w:tplc="52C4837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C4D39"/>
    <w:multiLevelType w:val="hybridMultilevel"/>
    <w:tmpl w:val="7C88E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F1435"/>
    <w:multiLevelType w:val="hybridMultilevel"/>
    <w:tmpl w:val="5DD298F6"/>
    <w:lvl w:ilvl="0" w:tplc="52C4837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84B48"/>
    <w:multiLevelType w:val="hybridMultilevel"/>
    <w:tmpl w:val="8BBC3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B5BBB"/>
    <w:multiLevelType w:val="hybridMultilevel"/>
    <w:tmpl w:val="E0C47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D3307"/>
    <w:multiLevelType w:val="hybridMultilevel"/>
    <w:tmpl w:val="B9E0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28C8"/>
    <w:multiLevelType w:val="hybridMultilevel"/>
    <w:tmpl w:val="55622484"/>
    <w:lvl w:ilvl="0" w:tplc="52C4837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60136"/>
    <w:multiLevelType w:val="hybridMultilevel"/>
    <w:tmpl w:val="25EAC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81CED"/>
    <w:multiLevelType w:val="hybridMultilevel"/>
    <w:tmpl w:val="E42AC094"/>
    <w:lvl w:ilvl="0" w:tplc="52C4837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9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7"/>
  </w:num>
  <w:num w:numId="11">
    <w:abstractNumId w:val="21"/>
  </w:num>
  <w:num w:numId="12">
    <w:abstractNumId w:val="25"/>
  </w:num>
  <w:num w:numId="13">
    <w:abstractNumId w:val="27"/>
  </w:num>
  <w:num w:numId="14">
    <w:abstractNumId w:val="2"/>
  </w:num>
  <w:num w:numId="15">
    <w:abstractNumId w:val="18"/>
  </w:num>
  <w:num w:numId="16">
    <w:abstractNumId w:val="4"/>
  </w:num>
  <w:num w:numId="17">
    <w:abstractNumId w:val="26"/>
  </w:num>
  <w:num w:numId="18">
    <w:abstractNumId w:val="22"/>
  </w:num>
  <w:num w:numId="19">
    <w:abstractNumId w:val="23"/>
  </w:num>
  <w:num w:numId="20">
    <w:abstractNumId w:val="11"/>
  </w:num>
  <w:num w:numId="21">
    <w:abstractNumId w:val="10"/>
  </w:num>
  <w:num w:numId="22">
    <w:abstractNumId w:val="5"/>
  </w:num>
  <w:num w:numId="23">
    <w:abstractNumId w:val="24"/>
  </w:num>
  <w:num w:numId="24">
    <w:abstractNumId w:val="12"/>
  </w:num>
  <w:num w:numId="25">
    <w:abstractNumId w:val="1"/>
  </w:num>
  <w:num w:numId="26">
    <w:abstractNumId w:val="14"/>
  </w:num>
  <w:num w:numId="27">
    <w:abstractNumId w:val="7"/>
  </w:num>
  <w:num w:numId="28">
    <w:abstractNumId w:val="13"/>
  </w:num>
  <w:num w:numId="29">
    <w:abstractNumId w:val="3"/>
  </w:num>
  <w:num w:numId="30">
    <w:abstractNumId w:val="16"/>
  </w:num>
  <w:num w:numId="31">
    <w:abstractNumId w:val="20"/>
  </w:num>
  <w:num w:numId="32">
    <w:abstractNumId w:val="1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1AA8"/>
    <w:rsid w:val="00022223"/>
    <w:rsid w:val="00024E73"/>
    <w:rsid w:val="000251AE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7161"/>
    <w:rsid w:val="00071332"/>
    <w:rsid w:val="000A2621"/>
    <w:rsid w:val="000C00E5"/>
    <w:rsid w:val="000C3CC8"/>
    <w:rsid w:val="000D12B3"/>
    <w:rsid w:val="000D799A"/>
    <w:rsid w:val="000E0514"/>
    <w:rsid w:val="000F231F"/>
    <w:rsid w:val="00104EC7"/>
    <w:rsid w:val="001336E8"/>
    <w:rsid w:val="0013413E"/>
    <w:rsid w:val="00134F5E"/>
    <w:rsid w:val="00153F10"/>
    <w:rsid w:val="00156B62"/>
    <w:rsid w:val="00162560"/>
    <w:rsid w:val="00165754"/>
    <w:rsid w:val="001671DC"/>
    <w:rsid w:val="00171F26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7421"/>
    <w:rsid w:val="00240A8E"/>
    <w:rsid w:val="00263ACB"/>
    <w:rsid w:val="00266912"/>
    <w:rsid w:val="00272D54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2E1A50"/>
    <w:rsid w:val="00300C40"/>
    <w:rsid w:val="00301747"/>
    <w:rsid w:val="00325E9D"/>
    <w:rsid w:val="00327F5C"/>
    <w:rsid w:val="00336011"/>
    <w:rsid w:val="00340ADC"/>
    <w:rsid w:val="00343298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7AF5"/>
    <w:rsid w:val="005D4AF1"/>
    <w:rsid w:val="005D71EA"/>
    <w:rsid w:val="005E4991"/>
    <w:rsid w:val="005E5D4A"/>
    <w:rsid w:val="005E6C59"/>
    <w:rsid w:val="005E75FC"/>
    <w:rsid w:val="005F4B69"/>
    <w:rsid w:val="005F5FD1"/>
    <w:rsid w:val="005F67A7"/>
    <w:rsid w:val="005F7EE8"/>
    <w:rsid w:val="00600C7E"/>
    <w:rsid w:val="006022B4"/>
    <w:rsid w:val="00603D53"/>
    <w:rsid w:val="006121BE"/>
    <w:rsid w:val="00612673"/>
    <w:rsid w:val="00612AFA"/>
    <w:rsid w:val="00614552"/>
    <w:rsid w:val="00621D45"/>
    <w:rsid w:val="00623950"/>
    <w:rsid w:val="00626492"/>
    <w:rsid w:val="0063544E"/>
    <w:rsid w:val="00635D59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E2E"/>
    <w:rsid w:val="007E1C82"/>
    <w:rsid w:val="007E2FB7"/>
    <w:rsid w:val="007E77DC"/>
    <w:rsid w:val="00801E41"/>
    <w:rsid w:val="008044BB"/>
    <w:rsid w:val="00805561"/>
    <w:rsid w:val="00806FE1"/>
    <w:rsid w:val="00807ED1"/>
    <w:rsid w:val="0081050C"/>
    <w:rsid w:val="00817B11"/>
    <w:rsid w:val="008203EE"/>
    <w:rsid w:val="008267A0"/>
    <w:rsid w:val="008308A7"/>
    <w:rsid w:val="0083547C"/>
    <w:rsid w:val="00837FCF"/>
    <w:rsid w:val="00843197"/>
    <w:rsid w:val="008476E6"/>
    <w:rsid w:val="0085706D"/>
    <w:rsid w:val="00860904"/>
    <w:rsid w:val="00861804"/>
    <w:rsid w:val="00877674"/>
    <w:rsid w:val="00894A73"/>
    <w:rsid w:val="00895190"/>
    <w:rsid w:val="008A0EBB"/>
    <w:rsid w:val="008A13AC"/>
    <w:rsid w:val="008B2BE2"/>
    <w:rsid w:val="008B74C1"/>
    <w:rsid w:val="008C0B4D"/>
    <w:rsid w:val="008C37C8"/>
    <w:rsid w:val="008D7766"/>
    <w:rsid w:val="008E08E3"/>
    <w:rsid w:val="008E3495"/>
    <w:rsid w:val="008F23E9"/>
    <w:rsid w:val="008F4A4C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1716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161BB"/>
    <w:rsid w:val="00A2122C"/>
    <w:rsid w:val="00A24264"/>
    <w:rsid w:val="00A32CD7"/>
    <w:rsid w:val="00A33236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742D"/>
    <w:rsid w:val="00AC7DC9"/>
    <w:rsid w:val="00AE14D7"/>
    <w:rsid w:val="00AE247D"/>
    <w:rsid w:val="00AE2952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5696A"/>
    <w:rsid w:val="00B635E3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072B5"/>
    <w:rsid w:val="00D312DA"/>
    <w:rsid w:val="00D351CC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D170C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A3570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F56F7"/>
  <w15:docId w15:val="{0B1BBD0F-B9BC-4FEC-857D-76DF8D48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A50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5E4991"/>
    <w:pPr>
      <w:widowControl w:val="0"/>
      <w:spacing w:after="0" w:line="240" w:lineRule="auto"/>
      <w:ind w:left="840" w:hanging="36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E4991"/>
    <w:rPr>
      <w:rFonts w:eastAsia="Times New Roman" w:cs="Times New Roman"/>
    </w:rPr>
  </w:style>
  <w:style w:type="paragraph" w:customStyle="1" w:styleId="Default">
    <w:name w:val="Default"/>
    <w:rsid w:val="00A161B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en-AU"/>
    </w:rPr>
  </w:style>
  <w:style w:type="paragraph" w:styleId="NoSpacing">
    <w:name w:val="No Spacing"/>
    <w:uiPriority w:val="1"/>
    <w:qFormat/>
    <w:rsid w:val="0081050C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sc.nsw.gov.au/workforce-management/capability-framework/the-capability-framework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nsw.nsw.gov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C21FFA1B472429755470288D67054" ma:contentTypeVersion="12" ma:contentTypeDescription="Create a new document." ma:contentTypeScope="" ma:versionID="ceda6e5f2e08f863774aa0c9cd30a8d0">
  <xsd:schema xmlns:xsd="http://www.w3.org/2001/XMLSchema" xmlns:xs="http://www.w3.org/2001/XMLSchema" xmlns:p="http://schemas.microsoft.com/office/2006/metadata/properties" xmlns:ns2="61124d02-a506-4a4e-a704-85d172cd7910" xmlns:ns3="177b1aba-bed7-4f49-b2c9-012e54c0234e" targetNamespace="http://schemas.microsoft.com/office/2006/metadata/properties" ma:root="true" ma:fieldsID="41c6749665e8dad57bdbc4699101c5df" ns2:_="" ns3:_="">
    <xsd:import namespace="61124d02-a506-4a4e-a704-85d172cd7910"/>
    <xsd:import namespace="177b1aba-bed7-4f49-b2c9-012e54c02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4d02-a506-4a4e-a704-85d172cd7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b1aba-bed7-4f49-b2c9-012e54c02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EB7F-972C-4229-94DB-5837A690D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4d02-a506-4a4e-a704-85d172cd7910"/>
    <ds:schemaRef ds:uri="177b1aba-bed7-4f49-b2c9-012e54c02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7FEF9-C8B2-430E-92AC-D0C34B198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79F3E-24C3-4630-BB03-9FCE3CD26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427987-6916-480D-93AC-A75C9FA2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PSC_Basic_Template.dotx</Template>
  <TotalTime>1</TotalTime>
  <Pages>7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Clarinda Sheeley</cp:lastModifiedBy>
  <cp:revision>3</cp:revision>
  <dcterms:created xsi:type="dcterms:W3CDTF">2023-04-18T23:29:00Z</dcterms:created>
  <dcterms:modified xsi:type="dcterms:W3CDTF">2023-04-18T23:30:00Z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0x0101000A4C21FFA1B472429755470288D67054</vt:lpwstr>
  </property>
</Properties>
</file>