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261CE5" w:rsidP="00DC0173">
            <w:pPr>
              <w:pStyle w:val="TableTextWhite"/>
            </w:pPr>
            <w:r>
              <w:t>Premier and Cabinet</w:t>
            </w:r>
          </w:p>
        </w:tc>
      </w:tr>
      <w:tr w:rsidR="00261CE5" w:rsidRPr="00DC0173" w:rsidTr="008476E6">
        <w:tc>
          <w:tcPr>
            <w:tcW w:w="4026" w:type="dxa"/>
            <w:vAlign w:val="center"/>
          </w:tcPr>
          <w:p w:rsidR="00261CE5" w:rsidRPr="00DC0173" w:rsidRDefault="00261CE5" w:rsidP="00261CE5">
            <w:pPr>
              <w:pStyle w:val="TableTextWhite"/>
              <w:rPr>
                <w:b/>
              </w:rPr>
            </w:pPr>
            <w:r>
              <w:rPr>
                <w:b/>
              </w:rPr>
              <w:t>Agency</w:t>
            </w:r>
          </w:p>
        </w:tc>
        <w:tc>
          <w:tcPr>
            <w:tcW w:w="6561" w:type="dxa"/>
          </w:tcPr>
          <w:p w:rsidR="00261CE5" w:rsidRPr="00DC0173" w:rsidRDefault="00261CE5" w:rsidP="00261CE5">
            <w:pPr>
              <w:pStyle w:val="TableTextWhite"/>
            </w:pPr>
            <w:r>
              <w:t>Department of Premier and Cabinet</w:t>
            </w:r>
          </w:p>
        </w:tc>
      </w:tr>
      <w:tr w:rsidR="00261CE5" w:rsidRPr="00DC0173" w:rsidTr="008476E6">
        <w:tc>
          <w:tcPr>
            <w:tcW w:w="4026" w:type="dxa"/>
            <w:vAlign w:val="center"/>
          </w:tcPr>
          <w:p w:rsidR="00261CE5" w:rsidRPr="00DC0173" w:rsidRDefault="00261CE5" w:rsidP="00261CE5">
            <w:pPr>
              <w:pStyle w:val="TableTextWhite"/>
              <w:rPr>
                <w:b/>
              </w:rPr>
            </w:pPr>
            <w:r>
              <w:rPr>
                <w:b/>
              </w:rPr>
              <w:t>Division/Branch/Unit</w:t>
            </w:r>
          </w:p>
        </w:tc>
        <w:tc>
          <w:tcPr>
            <w:tcW w:w="6561" w:type="dxa"/>
          </w:tcPr>
          <w:p w:rsidR="00261CE5" w:rsidRPr="00DC0173" w:rsidRDefault="00261CE5" w:rsidP="00261CE5">
            <w:pPr>
              <w:pStyle w:val="TableTextWhite"/>
            </w:pPr>
            <w:r>
              <w:t>Heritage Division/Heritage Operations/Specialist Services</w:t>
            </w:r>
          </w:p>
        </w:tc>
      </w:tr>
      <w:tr w:rsidR="00261CE5" w:rsidRPr="00DC0173" w:rsidTr="008476E6">
        <w:tc>
          <w:tcPr>
            <w:tcW w:w="4026" w:type="dxa"/>
            <w:vAlign w:val="center"/>
          </w:tcPr>
          <w:p w:rsidR="00261CE5" w:rsidRPr="00DC0173" w:rsidRDefault="00261CE5" w:rsidP="00261CE5">
            <w:pPr>
              <w:pStyle w:val="TableTextWhite"/>
              <w:rPr>
                <w:b/>
              </w:rPr>
            </w:pPr>
            <w:r>
              <w:rPr>
                <w:b/>
              </w:rPr>
              <w:t>Location</w:t>
            </w:r>
          </w:p>
        </w:tc>
        <w:tc>
          <w:tcPr>
            <w:tcW w:w="6561" w:type="dxa"/>
          </w:tcPr>
          <w:p w:rsidR="00261CE5" w:rsidRPr="00DC0173" w:rsidRDefault="00261CE5" w:rsidP="00261CE5">
            <w:pPr>
              <w:pStyle w:val="TableTextWhite"/>
            </w:pPr>
            <w:r>
              <w:t>Various</w:t>
            </w:r>
          </w:p>
        </w:tc>
      </w:tr>
      <w:tr w:rsidR="00261CE5" w:rsidRPr="00DC0173" w:rsidTr="008476E6">
        <w:tc>
          <w:tcPr>
            <w:tcW w:w="4026" w:type="dxa"/>
            <w:vAlign w:val="center"/>
          </w:tcPr>
          <w:p w:rsidR="00261CE5" w:rsidRPr="00DC0173" w:rsidRDefault="00261CE5" w:rsidP="00261CE5">
            <w:pPr>
              <w:pStyle w:val="TableTextWhite"/>
              <w:rPr>
                <w:b/>
              </w:rPr>
            </w:pPr>
            <w:r>
              <w:rPr>
                <w:b/>
              </w:rPr>
              <w:t>Classification/Grade/Band</w:t>
            </w:r>
          </w:p>
        </w:tc>
        <w:tc>
          <w:tcPr>
            <w:tcW w:w="6561" w:type="dxa"/>
          </w:tcPr>
          <w:p w:rsidR="00261CE5" w:rsidRPr="00DC0173" w:rsidRDefault="00261CE5" w:rsidP="00261CE5">
            <w:pPr>
              <w:pStyle w:val="TableTextWhite"/>
            </w:pPr>
            <w:r>
              <w:t>Environment Officer Class 9</w:t>
            </w:r>
          </w:p>
        </w:tc>
      </w:tr>
      <w:tr w:rsidR="00261CE5" w:rsidRPr="00DC0173" w:rsidTr="008476E6">
        <w:tc>
          <w:tcPr>
            <w:tcW w:w="4026" w:type="dxa"/>
            <w:vAlign w:val="center"/>
          </w:tcPr>
          <w:p w:rsidR="00261CE5" w:rsidRPr="00DC0173" w:rsidRDefault="00261CE5" w:rsidP="00261CE5">
            <w:pPr>
              <w:pStyle w:val="TableTextWhite"/>
              <w:rPr>
                <w:b/>
              </w:rPr>
            </w:pPr>
            <w:r>
              <w:rPr>
                <w:b/>
              </w:rPr>
              <w:t>Role Number</w:t>
            </w:r>
          </w:p>
        </w:tc>
        <w:tc>
          <w:tcPr>
            <w:tcW w:w="6561" w:type="dxa"/>
          </w:tcPr>
          <w:p w:rsidR="00261CE5" w:rsidRPr="00DC0173" w:rsidRDefault="00261CE5" w:rsidP="00261CE5">
            <w:pPr>
              <w:pStyle w:val="TableTextWhite"/>
            </w:pPr>
            <w:r>
              <w:t>Various</w:t>
            </w:r>
          </w:p>
        </w:tc>
      </w:tr>
      <w:tr w:rsidR="00261CE5" w:rsidRPr="00DC0173" w:rsidTr="008476E6">
        <w:tc>
          <w:tcPr>
            <w:tcW w:w="4026" w:type="dxa"/>
            <w:vAlign w:val="center"/>
          </w:tcPr>
          <w:p w:rsidR="00261CE5" w:rsidRPr="00DC0173" w:rsidRDefault="00261CE5" w:rsidP="00261CE5">
            <w:pPr>
              <w:pStyle w:val="TableTextWhite"/>
              <w:rPr>
                <w:b/>
              </w:rPr>
            </w:pPr>
            <w:r>
              <w:rPr>
                <w:b/>
              </w:rPr>
              <w:t>ANZSCO Code</w:t>
            </w:r>
          </w:p>
        </w:tc>
        <w:tc>
          <w:tcPr>
            <w:tcW w:w="6561" w:type="dxa"/>
          </w:tcPr>
          <w:p w:rsidR="00261CE5" w:rsidRPr="00DC0173" w:rsidRDefault="00261CE5" w:rsidP="00261CE5">
            <w:pPr>
              <w:pStyle w:val="TableTextWhite"/>
            </w:pPr>
            <w:r>
              <w:t>1119192</w:t>
            </w:r>
          </w:p>
        </w:tc>
      </w:tr>
      <w:tr w:rsidR="00261CE5" w:rsidRPr="00DC0173" w:rsidTr="008476E6">
        <w:tc>
          <w:tcPr>
            <w:tcW w:w="4026" w:type="dxa"/>
            <w:vAlign w:val="center"/>
          </w:tcPr>
          <w:p w:rsidR="00261CE5" w:rsidRPr="00DC0173" w:rsidRDefault="00261CE5" w:rsidP="00261CE5">
            <w:pPr>
              <w:pStyle w:val="TableTextWhite"/>
              <w:rPr>
                <w:b/>
              </w:rPr>
            </w:pPr>
            <w:r>
              <w:rPr>
                <w:b/>
              </w:rPr>
              <w:t>PCAT Code</w:t>
            </w:r>
          </w:p>
        </w:tc>
        <w:tc>
          <w:tcPr>
            <w:tcW w:w="6561" w:type="dxa"/>
          </w:tcPr>
          <w:p w:rsidR="00261CE5" w:rsidRPr="00DC0173" w:rsidRDefault="00261CE5" w:rsidP="00261CE5">
            <w:pPr>
              <w:pStyle w:val="TableTextWhite"/>
            </w:pPr>
            <w:r>
              <w:t>2119192</w:t>
            </w:r>
          </w:p>
        </w:tc>
      </w:tr>
      <w:tr w:rsidR="00261CE5" w:rsidRPr="00DC0173" w:rsidTr="008476E6">
        <w:tc>
          <w:tcPr>
            <w:tcW w:w="4026" w:type="dxa"/>
            <w:vAlign w:val="center"/>
          </w:tcPr>
          <w:p w:rsidR="00261CE5" w:rsidRPr="00DC0173" w:rsidRDefault="00261CE5" w:rsidP="00261CE5">
            <w:pPr>
              <w:pStyle w:val="TableTextWhite"/>
              <w:rPr>
                <w:b/>
              </w:rPr>
            </w:pPr>
            <w:r>
              <w:rPr>
                <w:b/>
              </w:rPr>
              <w:t>Date of Approval</w:t>
            </w:r>
          </w:p>
        </w:tc>
        <w:tc>
          <w:tcPr>
            <w:tcW w:w="6561" w:type="dxa"/>
          </w:tcPr>
          <w:p w:rsidR="00261CE5" w:rsidRPr="00DC0173" w:rsidRDefault="00261CE5" w:rsidP="00261CE5">
            <w:pPr>
              <w:pStyle w:val="TableTextWhite"/>
            </w:pPr>
            <w:r>
              <w:t>30 August 2017</w:t>
            </w:r>
          </w:p>
        </w:tc>
      </w:tr>
      <w:tr w:rsidR="00261CE5" w:rsidRPr="00DC0173" w:rsidTr="008476E6">
        <w:tc>
          <w:tcPr>
            <w:tcW w:w="4026" w:type="dxa"/>
            <w:vAlign w:val="center"/>
          </w:tcPr>
          <w:p w:rsidR="00261CE5" w:rsidRPr="00DC0173" w:rsidRDefault="00261CE5" w:rsidP="00261CE5">
            <w:pPr>
              <w:pStyle w:val="TableTextWhite"/>
              <w:rPr>
                <w:b/>
              </w:rPr>
            </w:pPr>
            <w:r>
              <w:rPr>
                <w:b/>
              </w:rPr>
              <w:t>Agency Website</w:t>
            </w:r>
          </w:p>
        </w:tc>
        <w:tc>
          <w:tcPr>
            <w:tcW w:w="6561" w:type="dxa"/>
          </w:tcPr>
          <w:p w:rsidR="00261CE5" w:rsidRPr="00DC0173" w:rsidRDefault="00693F00" w:rsidP="00261CE5">
            <w:pPr>
              <w:pStyle w:val="TableTextWhite"/>
            </w:pPr>
            <w:hyperlink r:id="rId8" w:history="1">
              <w:r w:rsidR="00261CE5" w:rsidRPr="000F5CCC">
                <w:rPr>
                  <w:rStyle w:val="Hyperlink"/>
                </w:rPr>
                <w:t>www.dpc.nsw.gov.au</w:t>
              </w:r>
            </w:hyperlink>
            <w:r w:rsidR="00261CE5">
              <w:t xml:space="preserve"> </w:t>
            </w:r>
          </w:p>
        </w:tc>
        <w:bookmarkStart w:id="1" w:name="Cluster"/>
        <w:bookmarkEnd w:id="1"/>
      </w:tr>
    </w:tbl>
    <w:p w:rsidR="00621AFB" w:rsidRDefault="00621AFB" w:rsidP="006A2280">
      <w:pPr>
        <w:tabs>
          <w:tab w:val="left" w:pos="2925"/>
        </w:tabs>
      </w:pPr>
    </w:p>
    <w:p w:rsidR="00261CE5" w:rsidRPr="00261CE5" w:rsidRDefault="00F47143" w:rsidP="00261CE5">
      <w:pPr>
        <w:tabs>
          <w:tab w:val="left" w:pos="2925"/>
        </w:tabs>
        <w:rPr>
          <w:rFonts w:eastAsiaTheme="minorHAnsi" w:cs="Arial"/>
          <w:b/>
          <w:bCs/>
          <w:kern w:val="32"/>
          <w:sz w:val="26"/>
          <w:szCs w:val="32"/>
          <w:lang w:val="en-AU"/>
        </w:rPr>
      </w:pPr>
      <w:r w:rsidRPr="00614552">
        <w:rPr>
          <w:rStyle w:val="Heading1Char"/>
        </w:rPr>
        <w:t>Agency overview</w:t>
      </w:r>
      <w:r w:rsidR="00261CE5">
        <w:rPr>
          <w:rStyle w:val="Heading1Char"/>
        </w:rPr>
        <w:br/>
      </w:r>
      <w:r w:rsidR="00261CE5" w:rsidRPr="008B2592">
        <w:rPr>
          <w:rFonts w:cs="Arial"/>
        </w:rPr>
        <w:t xml:space="preserve">The NSW Department of Premier and Cabinet (DPC) is the lead central agency in the NSW Government. </w:t>
      </w:r>
    </w:p>
    <w:p w:rsidR="00261CE5" w:rsidRPr="008B2592" w:rsidRDefault="00261CE5" w:rsidP="00261CE5">
      <w:pPr>
        <w:rPr>
          <w:rFonts w:cs="Arial"/>
        </w:rPr>
      </w:pPr>
      <w:r w:rsidRPr="008B2592">
        <w:rPr>
          <w:rFonts w:cs="Arial"/>
        </w:rPr>
        <w:t xml:space="preserve">We support the Premier and the Special Minister of State, the Cabinet, Ministers and agencies by coordinating policies and services across government. We lead policy development, provide innovative ideas and support Government plans and projects. </w:t>
      </w:r>
    </w:p>
    <w:p w:rsidR="00261CE5" w:rsidRPr="008B2592" w:rsidRDefault="00261CE5" w:rsidP="00261CE5">
      <w:pPr>
        <w:rPr>
          <w:rFonts w:cs="Arial"/>
        </w:rPr>
      </w:pPr>
      <w:r w:rsidRPr="008B2592">
        <w:rPr>
          <w:rFonts w:cs="Arial"/>
        </w:rPr>
        <w:t>Working with us will give you a broad overview in areas such as public policy formulation, public administration and state administrative matters and an opportunity to be involved in a range of state-wide policies, issues and projects.</w:t>
      </w:r>
    </w:p>
    <w:p w:rsidR="00261CE5" w:rsidRPr="008B2592" w:rsidRDefault="00261CE5" w:rsidP="00261CE5">
      <w:pPr>
        <w:rPr>
          <w:rFonts w:cs="Arial"/>
        </w:rPr>
      </w:pPr>
      <w:r w:rsidRPr="008B2592">
        <w:rPr>
          <w:rFonts w:cs="Arial"/>
        </w:rPr>
        <w:t xml:space="preserve">For more information go to </w:t>
      </w:r>
      <w:hyperlink r:id="rId9" w:history="1">
        <w:r w:rsidRPr="008B2592">
          <w:rPr>
            <w:rFonts w:cs="Arial"/>
          </w:rPr>
          <w:t>http://www.dpc.nsw.gov.au/about/about_the_department</w:t>
        </w:r>
      </w:hyperlink>
      <w:r w:rsidRPr="008B2592">
        <w:rPr>
          <w:rFonts w:cs="Arial"/>
        </w:rPr>
        <w:t>.</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Contribute to the implementation of the Government’s heritage policy objectives and statutory requirements for heritage conservation within NSW; provide professional, archaeological focused advice on diverse heritage and conservation issues to the Minister, Government, local government, State agencies and the community.</w:t>
      </w:r>
      <w:r w:rsidR="00D96D8F">
        <w:rPr>
          <w:rFonts w:cs="Arial"/>
        </w:rPr>
        <w:t xml:space="preserve"> </w:t>
      </w:r>
      <w:r w:rsidR="00D96D8F" w:rsidRPr="00130950">
        <w:rPr>
          <w:rFonts w:cs="Arial"/>
        </w:rPr>
        <w:t>The role contributes to the delivery of the Heritage Division’s vision of Celebrating, Sharing and Connecting our stories, our history and places in NSW.</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timely, well-</w:t>
      </w:r>
      <w:proofErr w:type="spellStart"/>
      <w:r w:rsidRPr="00614552">
        <w:rPr>
          <w:rFonts w:cs="Arial"/>
        </w:rPr>
        <w:t>analysed</w:t>
      </w:r>
      <w:proofErr w:type="spellEnd"/>
      <w:r w:rsidRPr="00614552">
        <w:rPr>
          <w:rFonts w:cs="Arial"/>
        </w:rPr>
        <w:t xml:space="preserve"> </w:t>
      </w:r>
      <w:r w:rsidR="00D96D8F">
        <w:rPr>
          <w:rFonts w:cs="Arial"/>
        </w:rPr>
        <w:t>p</w:t>
      </w:r>
      <w:r w:rsidRPr="00614552">
        <w:rPr>
          <w:rFonts w:cs="Arial"/>
        </w:rPr>
        <w:t xml:space="preserve">olicy and technical archaeological focused advice to key internal and external stakeholders including the Minister, the Heritage Council, local councils, private landowners, community representatives, government agencies and non-government </w:t>
      </w:r>
      <w:proofErr w:type="spellStart"/>
      <w:r w:rsidRPr="00614552">
        <w:rPr>
          <w:rFonts w:cs="Arial"/>
        </w:rPr>
        <w:t>organisations</w:t>
      </w:r>
      <w:proofErr w:type="spellEnd"/>
      <w:r w:rsidRPr="00614552">
        <w:rPr>
          <w:rFonts w:cs="Arial"/>
        </w:rPr>
        <w:t xml:space="preserve"> on archaeological heritage matters across the State to ensure best practice management and conservation of archaeological heritage sites and ‘relics’.</w:t>
      </w:r>
    </w:p>
    <w:p w:rsidR="00F339CD" w:rsidRPr="00D96D8F" w:rsidRDefault="00F339CD" w:rsidP="00F339CD">
      <w:pPr>
        <w:pStyle w:val="ListParagraph"/>
        <w:numPr>
          <w:ilvl w:val="0"/>
          <w:numId w:val="3"/>
        </w:numPr>
        <w:tabs>
          <w:tab w:val="left" w:pos="2925"/>
        </w:tabs>
        <w:rPr>
          <w:rFonts w:ascii="Georgia" w:hAnsi="Georgia"/>
        </w:rPr>
      </w:pPr>
      <w:r w:rsidRPr="00614552">
        <w:rPr>
          <w:rFonts w:cs="Arial"/>
        </w:rPr>
        <w:lastRenderedPageBreak/>
        <w:t>Prepare assessment reports to the Heritage Council and its committees including assessing and processing of statutory applications and referrals under the Heritage Act 1977 for archaeological sites, within statutory timeframes.</w:t>
      </w:r>
    </w:p>
    <w:p w:rsidR="002263F6" w:rsidRPr="00F339CD" w:rsidRDefault="002263F6" w:rsidP="00F339CD">
      <w:pPr>
        <w:pStyle w:val="ListParagraph"/>
        <w:numPr>
          <w:ilvl w:val="0"/>
          <w:numId w:val="3"/>
        </w:numPr>
        <w:tabs>
          <w:tab w:val="left" w:pos="2925"/>
        </w:tabs>
        <w:rPr>
          <w:rFonts w:ascii="Georgia" w:hAnsi="Georgia"/>
        </w:rPr>
      </w:pPr>
      <w:r>
        <w:rPr>
          <w:rFonts w:cs="Arial"/>
        </w:rPr>
        <w:t>Provide heritage regulatory and advisory services to support timely and effective implementation of the statutory and non-statutory requirements of the Division including Archaeological relics provisions of the Heritage Act.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Comment on local council development applications, State Significant Development and State Significant Infrastructure projects, environmental planning instruments, environmental impact studies and conservation management plans.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Source specialist services as required for the Heritage Division.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Draft and present reports, briefing notes, correspondence and committee submissions on heritage issues that may be contentious or politically sensitive.</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Extremely High volume of work within statutory timeframes and other competing deadlines.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Senior Team Leader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informed, advise and receive instructions.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internal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Participate as a member to deliver the agency's mission, strategies and key priorities from an operational perspective.</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Heritage Division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Guide and support, and develop and maintain, effective working relationships to facilitate information exchange and ensure enhanced staff engagement by gaining commitment and cooperation.</w:t>
            </w:r>
          </w:p>
          <w:p w:rsidR="00BB532F" w:rsidRPr="00A15CDB" w:rsidRDefault="001336E8" w:rsidP="00022223">
            <w:pPr>
              <w:pStyle w:val="TableText"/>
              <w:numPr>
                <w:ilvl w:val="0"/>
                <w:numId w:val="3"/>
              </w:numPr>
            </w:pPr>
            <w:r>
              <w:t>Identify regional staff to build capacity and foster skills transfer and knowledge exchange.</w:t>
            </w:r>
          </w:p>
          <w:p w:rsidR="00BB532F" w:rsidRPr="00A15CDB" w:rsidRDefault="001336E8" w:rsidP="00022223">
            <w:pPr>
              <w:pStyle w:val="TableText"/>
              <w:numPr>
                <w:ilvl w:val="0"/>
                <w:numId w:val="3"/>
              </w:numPr>
            </w:pPr>
            <w:r>
              <w:t>Provide expert timely advice to Heritage Division and Management on issues, trends and risks with the potential to significantly impact on the area.</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Guide and support, and develop and maintain, effective working relationships including government agencies, community groups, industry, landholders and water users to facilitate information exchange and ensure enhanced stakeholder engagement by gaining commitment and cooperation.</w:t>
            </w:r>
          </w:p>
        </w:tc>
      </w:tr>
      <w:tr w:rsidR="00BB532F" w:rsidRPr="00C978B9" w:rsidTr="003C6C8E">
        <w:tc>
          <w:tcPr>
            <w:tcW w:w="3601" w:type="dxa"/>
            <w:tcBorders>
              <w:top w:val="single" w:sz="8" w:space="0" w:color="auto"/>
              <w:bottom w:val="single" w:sz="8" w:space="0" w:color="auto"/>
            </w:tcBorders>
          </w:tcPr>
          <w:p w:rsidR="00BB532F" w:rsidRPr="00A15CDB" w:rsidRDefault="001336E8" w:rsidP="002B1F76">
            <w:pPr>
              <w:pStyle w:val="TableText"/>
            </w:pPr>
            <w:r>
              <w:t>Range of forums including committees and working groups</w:t>
            </w:r>
          </w:p>
        </w:tc>
        <w:tc>
          <w:tcPr>
            <w:tcW w:w="6986" w:type="dxa"/>
            <w:tcBorders>
              <w:top w:val="single" w:sz="8" w:space="0" w:color="auto"/>
              <w:bottom w:val="single" w:sz="8" w:space="0" w:color="auto"/>
            </w:tcBorders>
          </w:tcPr>
          <w:p w:rsidR="00BB532F" w:rsidRPr="00A15CDB" w:rsidRDefault="001336E8" w:rsidP="00022223">
            <w:pPr>
              <w:pStyle w:val="TableText"/>
              <w:numPr>
                <w:ilvl w:val="0"/>
                <w:numId w:val="3"/>
              </w:numPr>
            </w:pPr>
            <w:r>
              <w:t>Represent to provide technical advice and influence positive decision making processes.</w:t>
            </w:r>
          </w:p>
        </w:tc>
      </w:tr>
      <w:tr w:rsidR="003C6C8E" w:rsidRPr="00C978B9" w:rsidTr="00CE105E">
        <w:tc>
          <w:tcPr>
            <w:tcW w:w="3601" w:type="dxa"/>
            <w:tcBorders>
              <w:top w:val="single" w:sz="8" w:space="0" w:color="auto"/>
              <w:bottom w:val="single" w:sz="8" w:space="0" w:color="BCBEC0"/>
            </w:tcBorders>
          </w:tcPr>
          <w:p w:rsidR="003C6C8E" w:rsidRDefault="003C6C8E" w:rsidP="003C6C8E">
            <w:pPr>
              <w:pStyle w:val="TableText"/>
            </w:pPr>
            <w:r>
              <w:t>Heritage Council</w:t>
            </w:r>
          </w:p>
        </w:tc>
        <w:tc>
          <w:tcPr>
            <w:tcW w:w="6986" w:type="dxa"/>
            <w:tcBorders>
              <w:top w:val="single" w:sz="8" w:space="0" w:color="auto"/>
              <w:bottom w:val="single" w:sz="8" w:space="0" w:color="BCBEC0"/>
            </w:tcBorders>
          </w:tcPr>
          <w:p w:rsidR="003C6C8E" w:rsidRDefault="003C6C8E" w:rsidP="003C6C8E">
            <w:pPr>
              <w:pStyle w:val="TableText"/>
              <w:numPr>
                <w:ilvl w:val="0"/>
                <w:numId w:val="3"/>
              </w:numPr>
            </w:pPr>
            <w:r>
              <w:t>Provide advice, prepare reports</w:t>
            </w:r>
          </w:p>
        </w:tc>
      </w:tr>
    </w:tbl>
    <w:p w:rsidR="00BB532F" w:rsidRDefault="00BB532F"/>
    <w:p w:rsidR="00603D53" w:rsidRDefault="00603D53" w:rsidP="00614552">
      <w:pPr>
        <w:pStyle w:val="Heading1"/>
        <w:rPr>
          <w:sz w:val="28"/>
        </w:rPr>
      </w:pPr>
      <w:r w:rsidRPr="00614552">
        <w:lastRenderedPageBreak/>
        <w:t>Role dimensions</w:t>
      </w:r>
    </w:p>
    <w:p w:rsidR="00603D53" w:rsidRPr="00614552" w:rsidRDefault="00603D53" w:rsidP="00614552">
      <w:pPr>
        <w:pStyle w:val="Heading2"/>
      </w:pPr>
      <w:r w:rsidRPr="00614552">
        <w:t>Decision making</w:t>
      </w:r>
    </w:p>
    <w:p w:rsidR="001231BD" w:rsidRDefault="001231BD" w:rsidP="00614552">
      <w:pPr>
        <w:pStyle w:val="Heading2"/>
        <w:rPr>
          <w:rFonts w:eastAsiaTheme="minorEastAsia"/>
          <w:b w:val="0"/>
          <w:bCs w:val="0"/>
          <w:iCs w:val="0"/>
          <w:color w:val="auto"/>
          <w:sz w:val="22"/>
          <w:szCs w:val="26"/>
          <w:lang w:val="en-US"/>
        </w:rPr>
      </w:pPr>
      <w:r w:rsidRPr="001231BD">
        <w:rPr>
          <w:rFonts w:eastAsiaTheme="minorEastAsia"/>
          <w:b w:val="0"/>
          <w:bCs w:val="0"/>
          <w:iCs w:val="0"/>
          <w:color w:val="auto"/>
          <w:sz w:val="22"/>
          <w:szCs w:val="26"/>
          <w:lang w:val="en-US"/>
        </w:rPr>
        <w:t xml:space="preserve">The role operates with a high level of autonomy in respect to their day to day activities including determining work priorities within the context of an agreed work plan and is accountable for the quality, integrity and accuracy of the content of advice provided. </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Senior Team Leader, Specialist Services.</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Tertiary qualifications in archaeology or equivalent or relevant practical experience, and accumulated knowledge and interest in heritage conservation; in particular, historical archaeology.</w:t>
      </w:r>
    </w:p>
    <w:p w:rsidR="00205A8A" w:rsidRDefault="00205A8A" w:rsidP="00205A8A">
      <w:pPr>
        <w:tabs>
          <w:tab w:val="left" w:pos="2925"/>
        </w:tabs>
        <w:rPr>
          <w:rFonts w:ascii="Georgia" w:hAnsi="Georgia"/>
        </w:rPr>
      </w:pPr>
      <w:r w:rsidRPr="00614552">
        <w:rPr>
          <w:rFonts w:cs="Arial"/>
        </w:rPr>
        <w:t>Experience in, and understanding of, the archaeological assessment process and experience in developing and implementing management strategies for archaeological sites.</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D96D8F" w:rsidRPr="00803E47" w:rsidTr="008B4111">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6D8F" w:rsidRPr="00803E47" w:rsidRDefault="00D96D8F" w:rsidP="008B4111">
            <w:pPr>
              <w:pStyle w:val="TableTextWhite0"/>
              <w:keepNext/>
            </w:pPr>
            <w:r>
              <w:lastRenderedPageBreak/>
              <w:t>NSW Public Sector Capability Framework</w:t>
            </w:r>
          </w:p>
        </w:tc>
      </w:tr>
      <w:tr w:rsidR="00D96D8F" w:rsidRPr="00C978B9" w:rsidTr="008B4111">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D96D8F" w:rsidRPr="00C978B9" w:rsidRDefault="00D96D8F" w:rsidP="008B4111">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D96D8F" w:rsidRPr="00C978B9" w:rsidRDefault="00D96D8F" w:rsidP="008B4111">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D96D8F" w:rsidRPr="00C978B9" w:rsidRDefault="00D96D8F" w:rsidP="008B4111">
            <w:pPr>
              <w:pStyle w:val="TableText"/>
              <w:keepNext/>
              <w:rPr>
                <w:b/>
                <w:sz w:val="24"/>
                <w:szCs w:val="24"/>
              </w:rPr>
            </w:pPr>
            <w:r>
              <w:rPr>
                <w:b/>
              </w:rPr>
              <w:t>Level</w:t>
            </w:r>
          </w:p>
        </w:tc>
      </w:tr>
      <w:tr w:rsidR="00D96D8F" w:rsidRPr="00C978B9" w:rsidTr="008B4111">
        <w:tc>
          <w:tcPr>
            <w:tcW w:w="2042" w:type="dxa"/>
            <w:vMerge w:val="restart"/>
            <w:tcBorders>
              <w:top w:val="gems" w:sz="8" w:space="0" w:color="BCBEC0"/>
              <w:bottom w:val="single" w:sz="8" w:space="0" w:color="BCBEC0"/>
            </w:tcBorders>
            <w:vAlign w:val="center"/>
          </w:tcPr>
          <w:p w:rsidR="00D96D8F" w:rsidRPr="00C978B9" w:rsidRDefault="00D96D8F" w:rsidP="008B4111">
            <w:pPr>
              <w:keepNext/>
            </w:pPr>
            <w:r w:rsidRPr="00C978B9">
              <w:rPr>
                <w:noProof/>
                <w:lang w:eastAsia="en-AU"/>
              </w:rPr>
              <w:drawing>
                <wp:inline distT="0" distB="0" distL="0" distR="0" wp14:anchorId="0021445A" wp14:editId="1747E96B">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D96D8F" w:rsidRPr="00610758" w:rsidRDefault="00D96D8F" w:rsidP="008B4111">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D96D8F" w:rsidRPr="00610758" w:rsidRDefault="00D96D8F" w:rsidP="008B4111">
            <w:pPr>
              <w:pStyle w:val="TableText"/>
              <w:keepNext/>
            </w:pPr>
            <w:r>
              <w:t>Intermediate</w:t>
            </w:r>
          </w:p>
        </w:tc>
      </w:tr>
      <w:tr w:rsidR="00D96D8F" w:rsidRPr="00C978B9" w:rsidTr="008B4111">
        <w:tc>
          <w:tcPr>
            <w:tcW w:w="2042" w:type="dxa"/>
            <w:vMerge/>
            <w:tcBorders>
              <w:bottom w:val="single" w:sz="4" w:space="0" w:color="BCBEC0"/>
            </w:tcBorders>
          </w:tcPr>
          <w:p w:rsidR="00D96D8F" w:rsidRPr="00C978B9" w:rsidRDefault="00D96D8F" w:rsidP="008B4111">
            <w:pPr>
              <w:keepNext/>
            </w:pPr>
          </w:p>
        </w:tc>
        <w:tc>
          <w:tcPr>
            <w:tcW w:w="5458" w:type="dxa"/>
            <w:tcBorders>
              <w:bottom w:val="single" w:sz="4" w:space="0" w:color="BCBEC0"/>
            </w:tcBorders>
          </w:tcPr>
          <w:p w:rsidR="00D96D8F" w:rsidRPr="00610758" w:rsidRDefault="00D96D8F" w:rsidP="008B4111">
            <w:pPr>
              <w:pStyle w:val="TableText"/>
              <w:keepNext/>
              <w:rPr>
                <w:b/>
                <w:sz w:val="24"/>
                <w:szCs w:val="24"/>
              </w:rPr>
            </w:pPr>
            <w:r>
              <w:rPr>
                <w:b/>
              </w:rPr>
              <w:t>Act with Integrity</w:t>
            </w:r>
          </w:p>
        </w:tc>
        <w:tc>
          <w:tcPr>
            <w:tcW w:w="3357" w:type="dxa"/>
            <w:tcBorders>
              <w:bottom w:val="single" w:sz="4" w:space="0" w:color="BCBEC0"/>
            </w:tcBorders>
          </w:tcPr>
          <w:p w:rsidR="00D96D8F" w:rsidRPr="00610758" w:rsidRDefault="00D96D8F" w:rsidP="008B4111">
            <w:pPr>
              <w:pStyle w:val="TableText"/>
              <w:keepNext/>
              <w:rPr>
                <w:b/>
              </w:rPr>
            </w:pPr>
            <w:r>
              <w:rPr>
                <w:b/>
              </w:rPr>
              <w:t>Adept</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Manage Self</w:t>
            </w:r>
          </w:p>
        </w:tc>
        <w:tc>
          <w:tcPr>
            <w:tcW w:w="3357" w:type="dxa"/>
            <w:tcBorders>
              <w:top w:val="single" w:sz="8" w:space="0" w:color="BCBEC0"/>
            </w:tcBorders>
          </w:tcPr>
          <w:p w:rsidR="00D96D8F" w:rsidRPr="00A15CDB" w:rsidRDefault="00D96D8F" w:rsidP="008B4111">
            <w:pPr>
              <w:pStyle w:val="TableText"/>
              <w:keepNext/>
            </w:pPr>
            <w:r>
              <w:t>Intermediate</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Value Diversity</w:t>
            </w:r>
          </w:p>
        </w:tc>
        <w:tc>
          <w:tcPr>
            <w:tcW w:w="3357" w:type="dxa"/>
            <w:tcBorders>
              <w:top w:val="single" w:sz="8" w:space="0" w:color="BCBEC0"/>
            </w:tcBorders>
          </w:tcPr>
          <w:p w:rsidR="00D96D8F" w:rsidRPr="00A15CDB" w:rsidRDefault="00D96D8F" w:rsidP="008B4111">
            <w:pPr>
              <w:pStyle w:val="TableText"/>
              <w:keepNext/>
            </w:pPr>
            <w:r>
              <w:t>Intermediate</w:t>
            </w:r>
          </w:p>
        </w:tc>
      </w:tr>
      <w:tr w:rsidR="00D96D8F" w:rsidRPr="00C978B9" w:rsidTr="008B4111">
        <w:tc>
          <w:tcPr>
            <w:tcW w:w="2042" w:type="dxa"/>
            <w:vMerge w:val="restart"/>
            <w:tcBorders>
              <w:top w:val="single" w:sz="12" w:space="0" w:color="auto"/>
              <w:bottom w:val="single" w:sz="8" w:space="0" w:color="BCBEC0"/>
            </w:tcBorders>
            <w:vAlign w:val="center"/>
          </w:tcPr>
          <w:p w:rsidR="00D96D8F" w:rsidRPr="00C978B9" w:rsidRDefault="00D96D8F" w:rsidP="008B4111">
            <w:pPr>
              <w:keepNext/>
            </w:pPr>
            <w:r w:rsidRPr="00C978B9">
              <w:rPr>
                <w:noProof/>
                <w:lang w:eastAsia="en-AU"/>
              </w:rPr>
              <w:drawing>
                <wp:inline distT="0" distB="0" distL="0" distR="0" wp14:anchorId="3CD2749B" wp14:editId="70D03222">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96D8F" w:rsidRPr="00610758" w:rsidRDefault="00D96D8F" w:rsidP="008B4111">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D96D8F" w:rsidRPr="00610758" w:rsidRDefault="00D96D8F" w:rsidP="008B4111">
            <w:pPr>
              <w:pStyle w:val="TableText"/>
              <w:keepNext/>
              <w:rPr>
                <w:b/>
              </w:rPr>
            </w:pPr>
            <w:r>
              <w:rPr>
                <w:b/>
              </w:rPr>
              <w:t>Adept</w:t>
            </w:r>
          </w:p>
        </w:tc>
      </w:tr>
      <w:tr w:rsidR="00D96D8F" w:rsidRPr="00C978B9" w:rsidTr="008B4111">
        <w:tc>
          <w:tcPr>
            <w:tcW w:w="2042" w:type="dxa"/>
            <w:vMerge/>
            <w:tcBorders>
              <w:bottom w:val="single" w:sz="4" w:space="0" w:color="BCBEC0"/>
            </w:tcBorders>
          </w:tcPr>
          <w:p w:rsidR="00D96D8F" w:rsidRPr="00C978B9" w:rsidRDefault="00D96D8F" w:rsidP="008B4111">
            <w:pPr>
              <w:keepNext/>
            </w:pPr>
          </w:p>
        </w:tc>
        <w:tc>
          <w:tcPr>
            <w:tcW w:w="5458" w:type="dxa"/>
            <w:tcBorders>
              <w:bottom w:val="single" w:sz="4" w:space="0" w:color="BCBEC0"/>
            </w:tcBorders>
          </w:tcPr>
          <w:p w:rsidR="00D96D8F" w:rsidRPr="00610758" w:rsidRDefault="00D96D8F" w:rsidP="008B4111">
            <w:pPr>
              <w:pStyle w:val="TableText"/>
              <w:keepNext/>
              <w:rPr>
                <w:b/>
                <w:sz w:val="24"/>
                <w:szCs w:val="24"/>
              </w:rPr>
            </w:pPr>
            <w:r>
              <w:rPr>
                <w:b/>
              </w:rPr>
              <w:t>Commit to Customer Service</w:t>
            </w:r>
          </w:p>
        </w:tc>
        <w:tc>
          <w:tcPr>
            <w:tcW w:w="3357" w:type="dxa"/>
            <w:tcBorders>
              <w:bottom w:val="single" w:sz="4" w:space="0" w:color="BCBEC0"/>
            </w:tcBorders>
          </w:tcPr>
          <w:p w:rsidR="00D96D8F" w:rsidRPr="00610758" w:rsidRDefault="00D96D8F" w:rsidP="008B4111">
            <w:pPr>
              <w:pStyle w:val="TableText"/>
              <w:keepNext/>
              <w:rPr>
                <w:b/>
              </w:rPr>
            </w:pPr>
            <w:r>
              <w:rPr>
                <w:b/>
              </w:rPr>
              <w:t>Adept</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Work Collaboratively</w:t>
            </w:r>
          </w:p>
        </w:tc>
        <w:tc>
          <w:tcPr>
            <w:tcW w:w="3357" w:type="dxa"/>
            <w:tcBorders>
              <w:top w:val="single" w:sz="8" w:space="0" w:color="BCBEC0"/>
            </w:tcBorders>
          </w:tcPr>
          <w:p w:rsidR="00D96D8F" w:rsidRPr="00A15CDB" w:rsidRDefault="00D96D8F" w:rsidP="008B4111">
            <w:pPr>
              <w:pStyle w:val="TableText"/>
              <w:keepNext/>
            </w:pPr>
            <w:r>
              <w:t>Adept</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209C7" w:rsidRDefault="00D96D8F" w:rsidP="008B4111">
            <w:pPr>
              <w:pStyle w:val="TableText"/>
              <w:keepNext/>
              <w:rPr>
                <w:sz w:val="24"/>
                <w:szCs w:val="24"/>
              </w:rPr>
            </w:pPr>
            <w:r w:rsidRPr="00C209C7">
              <w:t>Influence and Negotiate</w:t>
            </w:r>
          </w:p>
        </w:tc>
        <w:tc>
          <w:tcPr>
            <w:tcW w:w="3357" w:type="dxa"/>
            <w:tcBorders>
              <w:top w:val="single" w:sz="8" w:space="0" w:color="BCBEC0"/>
            </w:tcBorders>
          </w:tcPr>
          <w:p w:rsidR="00D96D8F" w:rsidRPr="00C209C7" w:rsidRDefault="00D96D8F" w:rsidP="008B4111">
            <w:pPr>
              <w:pStyle w:val="TableText"/>
              <w:keepNext/>
            </w:pPr>
            <w:r w:rsidRPr="00C209C7">
              <w:t>Adept</w:t>
            </w:r>
          </w:p>
        </w:tc>
      </w:tr>
      <w:tr w:rsidR="00D96D8F" w:rsidRPr="00C978B9" w:rsidTr="008B4111">
        <w:tc>
          <w:tcPr>
            <w:tcW w:w="2042" w:type="dxa"/>
            <w:vMerge w:val="restart"/>
            <w:tcBorders>
              <w:top w:val="single" w:sz="12" w:space="0" w:color="auto"/>
              <w:bottom w:val="single" w:sz="8" w:space="0" w:color="BCBEC0"/>
            </w:tcBorders>
            <w:vAlign w:val="center"/>
          </w:tcPr>
          <w:p w:rsidR="00D96D8F" w:rsidRPr="00C978B9" w:rsidRDefault="00D96D8F" w:rsidP="008B4111">
            <w:pPr>
              <w:keepNext/>
            </w:pPr>
            <w:r w:rsidRPr="00C978B9">
              <w:rPr>
                <w:noProof/>
                <w:lang w:eastAsia="en-AU"/>
              </w:rPr>
              <w:drawing>
                <wp:inline distT="0" distB="0" distL="0" distR="0" wp14:anchorId="7E202DDF" wp14:editId="338CB707">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96D8F" w:rsidRPr="00610758" w:rsidRDefault="00D96D8F" w:rsidP="008B4111">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D96D8F" w:rsidRPr="00610758" w:rsidRDefault="00D96D8F" w:rsidP="008B4111">
            <w:pPr>
              <w:pStyle w:val="TableText"/>
              <w:keepNext/>
              <w:rPr>
                <w:b/>
              </w:rPr>
            </w:pPr>
            <w:r>
              <w:rPr>
                <w:b/>
              </w:rPr>
              <w:t>Advanced</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Plan and Prioritise</w:t>
            </w:r>
          </w:p>
        </w:tc>
        <w:tc>
          <w:tcPr>
            <w:tcW w:w="3357" w:type="dxa"/>
            <w:tcBorders>
              <w:top w:val="single" w:sz="8" w:space="0" w:color="BCBEC0"/>
            </w:tcBorders>
          </w:tcPr>
          <w:p w:rsidR="00D96D8F" w:rsidRPr="00A15CDB" w:rsidRDefault="00D96D8F" w:rsidP="008B4111">
            <w:pPr>
              <w:pStyle w:val="TableText"/>
              <w:keepNext/>
            </w:pPr>
            <w:r>
              <w:t>Adept</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Think and Solve Problems</w:t>
            </w:r>
          </w:p>
        </w:tc>
        <w:tc>
          <w:tcPr>
            <w:tcW w:w="3357" w:type="dxa"/>
            <w:tcBorders>
              <w:top w:val="single" w:sz="8" w:space="0" w:color="BCBEC0"/>
            </w:tcBorders>
          </w:tcPr>
          <w:p w:rsidR="00D96D8F" w:rsidRPr="00A15CDB" w:rsidRDefault="00D96D8F" w:rsidP="008B4111">
            <w:pPr>
              <w:pStyle w:val="TableText"/>
              <w:keepNext/>
            </w:pPr>
            <w:r>
              <w:t>Intermediate</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Demonstrate Accountability</w:t>
            </w:r>
          </w:p>
        </w:tc>
        <w:tc>
          <w:tcPr>
            <w:tcW w:w="3357" w:type="dxa"/>
            <w:tcBorders>
              <w:top w:val="single" w:sz="8" w:space="0" w:color="BCBEC0"/>
            </w:tcBorders>
          </w:tcPr>
          <w:p w:rsidR="00D96D8F" w:rsidRPr="00A15CDB" w:rsidRDefault="00D96D8F" w:rsidP="008B4111">
            <w:pPr>
              <w:pStyle w:val="TableText"/>
              <w:keepNext/>
            </w:pPr>
            <w:r>
              <w:t>Intermediate</w:t>
            </w:r>
          </w:p>
        </w:tc>
      </w:tr>
      <w:tr w:rsidR="00D96D8F" w:rsidRPr="00C978B9" w:rsidTr="008B4111">
        <w:tc>
          <w:tcPr>
            <w:tcW w:w="2042" w:type="dxa"/>
            <w:vMerge w:val="restart"/>
            <w:tcBorders>
              <w:top w:val="single" w:sz="12" w:space="0" w:color="auto"/>
              <w:bottom w:val="single" w:sz="8" w:space="0" w:color="BCBEC0"/>
            </w:tcBorders>
            <w:vAlign w:val="center"/>
          </w:tcPr>
          <w:p w:rsidR="00D96D8F" w:rsidRPr="00C978B9" w:rsidRDefault="00D96D8F" w:rsidP="008B4111">
            <w:pPr>
              <w:keepNext/>
            </w:pPr>
            <w:r w:rsidRPr="00C978B9">
              <w:rPr>
                <w:noProof/>
                <w:lang w:eastAsia="en-AU"/>
              </w:rPr>
              <w:drawing>
                <wp:inline distT="0" distB="0" distL="0" distR="0" wp14:anchorId="38565A7D" wp14:editId="63DA4A2B">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96D8F" w:rsidRPr="00610758" w:rsidRDefault="00D96D8F" w:rsidP="008B4111">
            <w:pPr>
              <w:pStyle w:val="TableText"/>
              <w:keepNext/>
              <w:rPr>
                <w:sz w:val="24"/>
                <w:szCs w:val="24"/>
              </w:rPr>
            </w:pPr>
            <w:r>
              <w:t>Finance</w:t>
            </w:r>
          </w:p>
        </w:tc>
        <w:tc>
          <w:tcPr>
            <w:tcW w:w="3357" w:type="dxa"/>
            <w:tcBorders>
              <w:top w:val="single" w:sz="12" w:space="0" w:color="auto"/>
              <w:bottom w:val="single" w:sz="8" w:space="0" w:color="BCBEC0"/>
            </w:tcBorders>
          </w:tcPr>
          <w:p w:rsidR="00D96D8F" w:rsidRPr="00610758" w:rsidRDefault="00D96D8F" w:rsidP="008B4111">
            <w:pPr>
              <w:pStyle w:val="TableText"/>
              <w:keepNext/>
            </w:pPr>
            <w:r>
              <w:t>Foundational</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Technology</w:t>
            </w:r>
          </w:p>
        </w:tc>
        <w:tc>
          <w:tcPr>
            <w:tcW w:w="3357" w:type="dxa"/>
            <w:tcBorders>
              <w:top w:val="single" w:sz="8" w:space="0" w:color="BCBEC0"/>
            </w:tcBorders>
          </w:tcPr>
          <w:p w:rsidR="00D96D8F" w:rsidRPr="00A15CDB" w:rsidRDefault="00D96D8F" w:rsidP="008B4111">
            <w:pPr>
              <w:pStyle w:val="TableText"/>
              <w:keepNext/>
            </w:pPr>
            <w:r>
              <w:t>Intermediate</w:t>
            </w:r>
          </w:p>
        </w:tc>
      </w:tr>
      <w:tr w:rsidR="00D96D8F" w:rsidRPr="00C978B9" w:rsidTr="008B4111">
        <w:tc>
          <w:tcPr>
            <w:tcW w:w="2042" w:type="dxa"/>
            <w:vMerge/>
            <w:tcBorders>
              <w:top w:val="single" w:sz="8" w:space="0" w:color="BCBEC0"/>
            </w:tcBorders>
          </w:tcPr>
          <w:p w:rsidR="00D96D8F" w:rsidRPr="00C978B9" w:rsidRDefault="00D96D8F" w:rsidP="008B4111">
            <w:pPr>
              <w:keepNext/>
            </w:pPr>
          </w:p>
        </w:tc>
        <w:tc>
          <w:tcPr>
            <w:tcW w:w="5458" w:type="dxa"/>
            <w:tcBorders>
              <w:top w:val="single" w:sz="8" w:space="0" w:color="BCBEC0"/>
            </w:tcBorders>
          </w:tcPr>
          <w:p w:rsidR="00D96D8F" w:rsidRPr="00C978B9" w:rsidRDefault="00D96D8F" w:rsidP="008B4111">
            <w:pPr>
              <w:pStyle w:val="TableText"/>
              <w:keepNext/>
              <w:rPr>
                <w:sz w:val="24"/>
                <w:szCs w:val="24"/>
              </w:rPr>
            </w:pPr>
            <w:r>
              <w:t>Procurement and Contract Management</w:t>
            </w:r>
          </w:p>
        </w:tc>
        <w:tc>
          <w:tcPr>
            <w:tcW w:w="3357" w:type="dxa"/>
            <w:tcBorders>
              <w:top w:val="single" w:sz="8" w:space="0" w:color="BCBEC0"/>
            </w:tcBorders>
          </w:tcPr>
          <w:p w:rsidR="00D96D8F" w:rsidRPr="00A15CDB" w:rsidRDefault="00D96D8F" w:rsidP="008B4111">
            <w:pPr>
              <w:pStyle w:val="TableText"/>
              <w:keepNext/>
            </w:pPr>
            <w:r>
              <w:t>Foundational</w:t>
            </w:r>
          </w:p>
        </w:tc>
      </w:tr>
      <w:tr w:rsidR="00D96D8F" w:rsidRPr="00C978B9" w:rsidTr="008B4111">
        <w:tc>
          <w:tcPr>
            <w:tcW w:w="2042" w:type="dxa"/>
            <w:vMerge/>
            <w:tcBorders>
              <w:bottom w:val="single" w:sz="4" w:space="0" w:color="BCBEC0"/>
            </w:tcBorders>
          </w:tcPr>
          <w:p w:rsidR="00D96D8F" w:rsidRPr="00C978B9" w:rsidRDefault="00D96D8F" w:rsidP="008B4111">
            <w:pPr>
              <w:keepNext/>
            </w:pPr>
          </w:p>
        </w:tc>
        <w:tc>
          <w:tcPr>
            <w:tcW w:w="5458" w:type="dxa"/>
            <w:tcBorders>
              <w:bottom w:val="single" w:sz="4" w:space="0" w:color="BCBEC0"/>
            </w:tcBorders>
          </w:tcPr>
          <w:p w:rsidR="00D96D8F" w:rsidRPr="00610758" w:rsidRDefault="00D96D8F" w:rsidP="008B4111">
            <w:pPr>
              <w:pStyle w:val="TableText"/>
              <w:keepNext/>
              <w:rPr>
                <w:b/>
                <w:sz w:val="24"/>
                <w:szCs w:val="24"/>
              </w:rPr>
            </w:pPr>
            <w:r>
              <w:rPr>
                <w:b/>
              </w:rPr>
              <w:t>Project Management</w:t>
            </w:r>
          </w:p>
        </w:tc>
        <w:tc>
          <w:tcPr>
            <w:tcW w:w="3357" w:type="dxa"/>
            <w:tcBorders>
              <w:bottom w:val="single" w:sz="4" w:space="0" w:color="BCBEC0"/>
            </w:tcBorders>
          </w:tcPr>
          <w:p w:rsidR="00D96D8F" w:rsidRPr="00610758" w:rsidRDefault="00D96D8F" w:rsidP="008B4111">
            <w:pPr>
              <w:pStyle w:val="TableText"/>
              <w:keepNext/>
              <w:rPr>
                <w:b/>
              </w:rPr>
            </w:pPr>
            <w:r>
              <w:rPr>
                <w:b/>
              </w:rPr>
              <w:t>Adept</w:t>
            </w:r>
          </w:p>
        </w:tc>
      </w:tr>
    </w:tbl>
    <w:p w:rsidR="00D96D8F" w:rsidRDefault="00D96D8F" w:rsidP="00D96D8F">
      <w:pPr>
        <w:pStyle w:val="Heading2"/>
      </w:pPr>
    </w:p>
    <w:p w:rsidR="00D96D8F" w:rsidRPr="00C978B9" w:rsidRDefault="00D96D8F" w:rsidP="00D96D8F">
      <w:pPr>
        <w:pStyle w:val="Heading2"/>
      </w:pPr>
      <w:r w:rsidRPr="00C978B9">
        <w:t xml:space="preserve">Focus </w:t>
      </w:r>
      <w:r>
        <w:t>c</w:t>
      </w:r>
      <w:r w:rsidRPr="00C978B9">
        <w:t>apabilities</w:t>
      </w:r>
    </w:p>
    <w:p w:rsidR="00D96D8F" w:rsidRDefault="00D96D8F" w:rsidP="00D96D8F">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D96D8F" w:rsidRPr="00C978B9" w:rsidTr="00C209C7">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D96D8F" w:rsidRPr="00C978B9" w:rsidRDefault="00D96D8F" w:rsidP="008B4111">
            <w:pPr>
              <w:pStyle w:val="TableTextWhite0"/>
              <w:keepNext/>
            </w:pPr>
            <w:r w:rsidRPr="00C978B9">
              <w:t>NSW Public Sector Capability Framework</w:t>
            </w:r>
          </w:p>
        </w:tc>
      </w:tr>
      <w:tr w:rsidR="00D96D8F" w:rsidRPr="00C978B9" w:rsidTr="00C209C7">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rsidR="00D96D8F" w:rsidRPr="00C978B9" w:rsidRDefault="00D96D8F" w:rsidP="008B4111">
            <w:pPr>
              <w:pStyle w:val="TableText"/>
              <w:keepNext/>
              <w:rPr>
                <w:b/>
                <w:sz w:val="24"/>
                <w:szCs w:val="24"/>
              </w:rPr>
            </w:pPr>
            <w:r>
              <w:rPr>
                <w:b/>
              </w:rPr>
              <w:t>Group and Capability</w:t>
            </w:r>
          </w:p>
        </w:tc>
        <w:tc>
          <w:tcPr>
            <w:tcW w:w="2336" w:type="dxa"/>
            <w:tcBorders>
              <w:top w:val="single" w:sz="8" w:space="0" w:color="BCBEC0"/>
              <w:bottom w:val="single" w:sz="8" w:space="0" w:color="BCBEC0"/>
            </w:tcBorders>
            <w:shd w:val="clear" w:color="auto" w:fill="BCBEC0"/>
          </w:tcPr>
          <w:p w:rsidR="00D96D8F" w:rsidRPr="00C978B9" w:rsidRDefault="00D96D8F" w:rsidP="008B4111">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rsidR="00D96D8F" w:rsidRPr="00C978B9" w:rsidRDefault="00D96D8F" w:rsidP="008B4111">
            <w:pPr>
              <w:pStyle w:val="TableText"/>
              <w:keepNext/>
              <w:rPr>
                <w:b/>
                <w:sz w:val="24"/>
                <w:szCs w:val="24"/>
              </w:rPr>
            </w:pPr>
            <w:r>
              <w:rPr>
                <w:b/>
              </w:rPr>
              <w:t>Behavioural Indicators</w:t>
            </w:r>
          </w:p>
        </w:tc>
      </w:tr>
      <w:tr w:rsidR="00D96D8F" w:rsidRPr="00C978B9" w:rsidTr="00C209C7">
        <w:tc>
          <w:tcPr>
            <w:tcW w:w="2703" w:type="dxa"/>
          </w:tcPr>
          <w:p w:rsidR="00D96D8F" w:rsidRPr="00C978B9" w:rsidRDefault="00D96D8F" w:rsidP="008B4111">
            <w:pPr>
              <w:pStyle w:val="TableText"/>
              <w:rPr>
                <w:b/>
              </w:rPr>
            </w:pPr>
            <w:r>
              <w:rPr>
                <w:b/>
              </w:rPr>
              <w:t>Personal Attributes</w:t>
            </w:r>
          </w:p>
          <w:p w:rsidR="00D96D8F" w:rsidRPr="00C978B9" w:rsidRDefault="00D96D8F" w:rsidP="008B4111">
            <w:pPr>
              <w:pStyle w:val="TableText"/>
            </w:pPr>
            <w:r>
              <w:t>Act with Integrity</w:t>
            </w:r>
          </w:p>
        </w:tc>
        <w:tc>
          <w:tcPr>
            <w:tcW w:w="2336" w:type="dxa"/>
          </w:tcPr>
          <w:p w:rsidR="00D96D8F" w:rsidRPr="00C978B9" w:rsidRDefault="00D96D8F" w:rsidP="008B4111">
            <w:pPr>
              <w:pStyle w:val="TableText"/>
              <w:rPr>
                <w:rFonts w:cs="Arial"/>
                <w:color w:val="000000"/>
              </w:rPr>
            </w:pPr>
            <w:r>
              <w:rPr>
                <w:rFonts w:cs="Arial"/>
                <w:color w:val="000000"/>
              </w:rPr>
              <w:t>Adept</w:t>
            </w:r>
          </w:p>
        </w:tc>
        <w:tc>
          <w:tcPr>
            <w:tcW w:w="5761" w:type="dxa"/>
          </w:tcPr>
          <w:p w:rsidR="00D96D8F" w:rsidRPr="00C978B9" w:rsidRDefault="00D96D8F" w:rsidP="00D96D8F">
            <w:pPr>
              <w:pStyle w:val="TableBullet"/>
              <w:tabs>
                <w:tab w:val="clear" w:pos="284"/>
                <w:tab w:val="num" w:pos="360"/>
              </w:tabs>
              <w:ind w:left="360" w:hanging="360"/>
            </w:pPr>
            <w:r>
              <w:t>Represent the organisation in an honest, ethical and professional way and encourage others to do so</w:t>
            </w:r>
          </w:p>
          <w:p w:rsidR="00D96D8F" w:rsidRPr="00C978B9" w:rsidRDefault="00D96D8F" w:rsidP="00D96D8F">
            <w:pPr>
              <w:pStyle w:val="TableBullet"/>
              <w:tabs>
                <w:tab w:val="clear" w:pos="284"/>
                <w:tab w:val="num" w:pos="360"/>
              </w:tabs>
              <w:ind w:left="360" w:hanging="360"/>
            </w:pPr>
            <w:r>
              <w:t>Demonstrate professionalism to support a culture of integrity within the team/unit</w:t>
            </w:r>
          </w:p>
          <w:p w:rsidR="00D96D8F" w:rsidRPr="00C978B9" w:rsidRDefault="00D96D8F" w:rsidP="00D96D8F">
            <w:pPr>
              <w:pStyle w:val="TableBullet"/>
              <w:tabs>
                <w:tab w:val="clear" w:pos="284"/>
                <w:tab w:val="num" w:pos="360"/>
              </w:tabs>
              <w:ind w:left="360" w:hanging="360"/>
            </w:pPr>
            <w:r>
              <w:t>Set an example for others to follow and identify and explain ethical issues</w:t>
            </w:r>
          </w:p>
          <w:p w:rsidR="00D96D8F" w:rsidRPr="00C978B9" w:rsidRDefault="00D96D8F" w:rsidP="00D96D8F">
            <w:pPr>
              <w:pStyle w:val="TableBullet"/>
              <w:tabs>
                <w:tab w:val="clear" w:pos="284"/>
                <w:tab w:val="num" w:pos="360"/>
              </w:tabs>
              <w:ind w:left="360" w:hanging="360"/>
            </w:pPr>
            <w:r>
              <w:t>Ensure that others understand the legislation and policy framework within which they operate</w:t>
            </w:r>
          </w:p>
          <w:p w:rsidR="00D96D8F" w:rsidRPr="00C978B9" w:rsidRDefault="00D96D8F" w:rsidP="00D96D8F">
            <w:pPr>
              <w:pStyle w:val="TableBullet"/>
              <w:tabs>
                <w:tab w:val="clear" w:pos="284"/>
                <w:tab w:val="num" w:pos="360"/>
              </w:tabs>
              <w:ind w:left="360" w:hanging="360"/>
            </w:pPr>
            <w:r>
              <w:t>Act to prevent and report misconduct, illegal and inappropriate behaviour</w:t>
            </w:r>
          </w:p>
        </w:tc>
      </w:tr>
      <w:tr w:rsidR="00D96D8F" w:rsidRPr="00C978B9" w:rsidTr="00C209C7">
        <w:tc>
          <w:tcPr>
            <w:tcW w:w="2703" w:type="dxa"/>
          </w:tcPr>
          <w:p w:rsidR="00D96D8F" w:rsidRPr="00C978B9" w:rsidRDefault="00D96D8F" w:rsidP="008B4111">
            <w:pPr>
              <w:pStyle w:val="TableText"/>
              <w:rPr>
                <w:b/>
              </w:rPr>
            </w:pPr>
            <w:r>
              <w:rPr>
                <w:b/>
              </w:rPr>
              <w:t>Relationships</w:t>
            </w:r>
          </w:p>
          <w:p w:rsidR="00D96D8F" w:rsidRPr="00C978B9" w:rsidRDefault="00D96D8F" w:rsidP="008B4111">
            <w:pPr>
              <w:pStyle w:val="TableText"/>
            </w:pPr>
            <w:r>
              <w:t>Communicate Effectively</w:t>
            </w:r>
          </w:p>
        </w:tc>
        <w:tc>
          <w:tcPr>
            <w:tcW w:w="2336" w:type="dxa"/>
          </w:tcPr>
          <w:p w:rsidR="00D96D8F" w:rsidRPr="00C978B9" w:rsidRDefault="00D96D8F" w:rsidP="008B4111">
            <w:pPr>
              <w:pStyle w:val="TableText"/>
              <w:rPr>
                <w:rFonts w:cs="Arial"/>
                <w:color w:val="000000"/>
              </w:rPr>
            </w:pPr>
            <w:r>
              <w:rPr>
                <w:rFonts w:cs="Arial"/>
                <w:color w:val="000000"/>
              </w:rPr>
              <w:t>Adept</w:t>
            </w:r>
          </w:p>
        </w:tc>
        <w:tc>
          <w:tcPr>
            <w:tcW w:w="5761" w:type="dxa"/>
          </w:tcPr>
          <w:p w:rsidR="00D96D8F" w:rsidRPr="00C978B9" w:rsidRDefault="00D96D8F" w:rsidP="00D96D8F">
            <w:pPr>
              <w:pStyle w:val="TableBullet"/>
              <w:tabs>
                <w:tab w:val="clear" w:pos="284"/>
                <w:tab w:val="num" w:pos="360"/>
              </w:tabs>
              <w:ind w:left="360" w:hanging="360"/>
            </w:pPr>
            <w:r>
              <w:t>Tailor communication to the audience</w:t>
            </w:r>
          </w:p>
          <w:p w:rsidR="00D96D8F" w:rsidRPr="00C978B9" w:rsidRDefault="00D96D8F" w:rsidP="00D96D8F">
            <w:pPr>
              <w:pStyle w:val="TableBullet"/>
              <w:tabs>
                <w:tab w:val="clear" w:pos="284"/>
                <w:tab w:val="num" w:pos="360"/>
              </w:tabs>
              <w:ind w:left="360" w:hanging="360"/>
            </w:pPr>
            <w:r>
              <w:t>Clearly explain complex concepts and arguments to individuals and groups</w:t>
            </w:r>
          </w:p>
          <w:p w:rsidR="00D96D8F" w:rsidRPr="00C978B9" w:rsidRDefault="00D96D8F" w:rsidP="00D96D8F">
            <w:pPr>
              <w:pStyle w:val="TableBullet"/>
              <w:tabs>
                <w:tab w:val="clear" w:pos="284"/>
                <w:tab w:val="num" w:pos="360"/>
              </w:tabs>
              <w:ind w:left="360" w:hanging="360"/>
            </w:pPr>
            <w:r>
              <w:t>Monitor own and others’ non-verbal cues and adapt where necessary</w:t>
            </w:r>
          </w:p>
          <w:p w:rsidR="00D96D8F" w:rsidRPr="00C978B9" w:rsidRDefault="00D96D8F" w:rsidP="00D96D8F">
            <w:pPr>
              <w:pStyle w:val="TableBullet"/>
              <w:tabs>
                <w:tab w:val="clear" w:pos="284"/>
                <w:tab w:val="num" w:pos="360"/>
              </w:tabs>
              <w:ind w:left="360" w:hanging="360"/>
            </w:pPr>
            <w:r>
              <w:lastRenderedPageBreak/>
              <w:t>Create opportunities for others to be heard</w:t>
            </w:r>
          </w:p>
          <w:p w:rsidR="00D96D8F" w:rsidRPr="00C978B9" w:rsidRDefault="00D96D8F" w:rsidP="00D96D8F">
            <w:pPr>
              <w:pStyle w:val="TableBullet"/>
              <w:tabs>
                <w:tab w:val="clear" w:pos="284"/>
                <w:tab w:val="num" w:pos="360"/>
              </w:tabs>
              <w:ind w:left="360" w:hanging="360"/>
            </w:pPr>
            <w:r>
              <w:t>Actively listen to others and clarify own understanding</w:t>
            </w:r>
          </w:p>
          <w:p w:rsidR="00D96D8F" w:rsidRPr="00C978B9" w:rsidRDefault="00D96D8F" w:rsidP="00D96D8F">
            <w:pPr>
              <w:pStyle w:val="TableBullet"/>
              <w:tabs>
                <w:tab w:val="clear" w:pos="284"/>
                <w:tab w:val="num" w:pos="360"/>
              </w:tabs>
              <w:ind w:left="360" w:hanging="360"/>
            </w:pPr>
            <w:r>
              <w:t>Write fluently in a range of styles and formats</w:t>
            </w:r>
          </w:p>
        </w:tc>
      </w:tr>
      <w:tr w:rsidR="00D96D8F" w:rsidRPr="00934589" w:rsidTr="00C209C7">
        <w:tc>
          <w:tcPr>
            <w:tcW w:w="2703" w:type="dxa"/>
          </w:tcPr>
          <w:p w:rsidR="00D96D8F" w:rsidRPr="00C978B9" w:rsidRDefault="00D96D8F" w:rsidP="008B4111">
            <w:pPr>
              <w:pStyle w:val="TableText"/>
              <w:rPr>
                <w:b/>
              </w:rPr>
            </w:pPr>
            <w:r>
              <w:rPr>
                <w:b/>
              </w:rPr>
              <w:lastRenderedPageBreak/>
              <w:t>Relationships</w:t>
            </w:r>
          </w:p>
          <w:p w:rsidR="00D96D8F" w:rsidRPr="00C978B9" w:rsidRDefault="00D96D8F" w:rsidP="008B4111">
            <w:pPr>
              <w:pStyle w:val="TableText"/>
            </w:pPr>
            <w:r>
              <w:t>Commit to Customer Service</w:t>
            </w:r>
          </w:p>
        </w:tc>
        <w:tc>
          <w:tcPr>
            <w:tcW w:w="2336" w:type="dxa"/>
          </w:tcPr>
          <w:p w:rsidR="00D96D8F" w:rsidRPr="00C978B9" w:rsidRDefault="00D96D8F" w:rsidP="008B4111">
            <w:pPr>
              <w:pStyle w:val="TableText"/>
              <w:rPr>
                <w:rFonts w:cs="Arial"/>
                <w:color w:val="000000"/>
              </w:rPr>
            </w:pPr>
            <w:r>
              <w:rPr>
                <w:rFonts w:cs="Arial"/>
                <w:color w:val="000000"/>
              </w:rPr>
              <w:t>Adept</w:t>
            </w:r>
          </w:p>
        </w:tc>
        <w:tc>
          <w:tcPr>
            <w:tcW w:w="5761" w:type="dxa"/>
          </w:tcPr>
          <w:p w:rsidR="00D96D8F" w:rsidRPr="0024235C" w:rsidRDefault="00D96D8F" w:rsidP="008B4111">
            <w:pPr>
              <w:pStyle w:val="TableBullet"/>
            </w:pPr>
            <w:r w:rsidRPr="0024235C">
              <w:t xml:space="preserve">Take responsibility for delivering high quality customer-focused services </w:t>
            </w:r>
          </w:p>
          <w:p w:rsidR="00D96D8F" w:rsidRPr="0024235C" w:rsidRDefault="00D96D8F" w:rsidP="008B4111">
            <w:pPr>
              <w:pStyle w:val="TableBullet"/>
            </w:pPr>
            <w:r w:rsidRPr="0024235C">
              <w:t xml:space="preserve">Understand customer perspectives and ensure responsiveness to their needs </w:t>
            </w:r>
          </w:p>
          <w:p w:rsidR="00D96D8F" w:rsidRPr="0024235C" w:rsidRDefault="00D96D8F" w:rsidP="008B4111">
            <w:pPr>
              <w:pStyle w:val="TableBullet"/>
            </w:pPr>
            <w:r w:rsidRPr="0024235C">
              <w:t xml:space="preserve">Identify customer service needs and implement solutions </w:t>
            </w:r>
          </w:p>
          <w:p w:rsidR="00D96D8F" w:rsidRPr="0024235C" w:rsidRDefault="00D96D8F" w:rsidP="008B4111">
            <w:pPr>
              <w:pStyle w:val="TableBullet"/>
            </w:pPr>
            <w:r w:rsidRPr="0024235C">
              <w:t xml:space="preserve">Find opportunities to co-operate with internal and external parties to improve outcomes for customers </w:t>
            </w:r>
          </w:p>
          <w:p w:rsidR="00D96D8F" w:rsidRPr="0024235C" w:rsidRDefault="00D96D8F" w:rsidP="008B4111">
            <w:pPr>
              <w:pStyle w:val="TableBullet"/>
            </w:pPr>
            <w:r w:rsidRPr="0024235C">
              <w:t xml:space="preserve">Maintain relationships with key customers in area of expertise </w:t>
            </w:r>
          </w:p>
          <w:p w:rsidR="00D96D8F" w:rsidRPr="00C978B9" w:rsidRDefault="00D96D8F" w:rsidP="008B4111">
            <w:pPr>
              <w:pStyle w:val="TableBullet"/>
            </w:pPr>
            <w:r w:rsidRPr="00934589">
              <w:t>Connect and collaborate with relevant stakeholders within the community</w:t>
            </w:r>
          </w:p>
        </w:tc>
      </w:tr>
      <w:tr w:rsidR="00D96D8F" w:rsidRPr="00C978B9" w:rsidTr="00C209C7">
        <w:tc>
          <w:tcPr>
            <w:tcW w:w="2703" w:type="dxa"/>
          </w:tcPr>
          <w:p w:rsidR="00D96D8F" w:rsidRPr="00C978B9" w:rsidRDefault="00D96D8F" w:rsidP="008B4111">
            <w:pPr>
              <w:pStyle w:val="TableText"/>
              <w:rPr>
                <w:b/>
              </w:rPr>
            </w:pPr>
            <w:r>
              <w:rPr>
                <w:b/>
              </w:rPr>
              <w:t>Results</w:t>
            </w:r>
          </w:p>
          <w:p w:rsidR="00D96D8F" w:rsidRPr="00C978B9" w:rsidRDefault="00D96D8F" w:rsidP="008B4111">
            <w:pPr>
              <w:pStyle w:val="TableText"/>
            </w:pPr>
            <w:r>
              <w:t>Deliver Results</w:t>
            </w:r>
          </w:p>
        </w:tc>
        <w:tc>
          <w:tcPr>
            <w:tcW w:w="2336" w:type="dxa"/>
          </w:tcPr>
          <w:p w:rsidR="00D96D8F" w:rsidRPr="00C978B9" w:rsidRDefault="00D96D8F" w:rsidP="008B4111">
            <w:pPr>
              <w:pStyle w:val="TableText"/>
              <w:rPr>
                <w:rFonts w:cs="Arial"/>
                <w:color w:val="000000"/>
              </w:rPr>
            </w:pPr>
            <w:r>
              <w:rPr>
                <w:rFonts w:cs="Arial"/>
                <w:color w:val="000000"/>
              </w:rPr>
              <w:t>Advanced</w:t>
            </w:r>
          </w:p>
        </w:tc>
        <w:tc>
          <w:tcPr>
            <w:tcW w:w="5761" w:type="dxa"/>
          </w:tcPr>
          <w:p w:rsidR="00D96D8F" w:rsidRPr="0024235C" w:rsidRDefault="00D96D8F" w:rsidP="00D96D8F">
            <w:pPr>
              <w:pStyle w:val="TableBullet"/>
              <w:tabs>
                <w:tab w:val="clear" w:pos="284"/>
                <w:tab w:val="num" w:pos="360"/>
              </w:tabs>
              <w:ind w:left="360" w:hanging="360"/>
            </w:pPr>
            <w:r w:rsidRPr="0024235C">
              <w:t xml:space="preserve">Drive a culture of achievement and acknowledge input of others </w:t>
            </w:r>
          </w:p>
          <w:p w:rsidR="00D96D8F" w:rsidRPr="0024235C" w:rsidRDefault="00D96D8F" w:rsidP="00D96D8F">
            <w:pPr>
              <w:pStyle w:val="TableBullet"/>
              <w:tabs>
                <w:tab w:val="clear" w:pos="284"/>
                <w:tab w:val="num" w:pos="360"/>
              </w:tabs>
              <w:ind w:left="360" w:hanging="360"/>
            </w:pPr>
            <w:r w:rsidRPr="0024235C">
              <w:t xml:space="preserve">Investigate and create opportunities to enhance the achievement of organisational objectives </w:t>
            </w:r>
          </w:p>
          <w:p w:rsidR="00D96D8F" w:rsidRPr="0024235C" w:rsidRDefault="00D96D8F" w:rsidP="00D96D8F">
            <w:pPr>
              <w:pStyle w:val="TableBullet"/>
              <w:tabs>
                <w:tab w:val="clear" w:pos="284"/>
                <w:tab w:val="num" w:pos="360"/>
              </w:tabs>
              <w:ind w:left="360" w:hanging="360"/>
            </w:pPr>
            <w:r w:rsidRPr="0024235C">
              <w:t xml:space="preserve">Make sure others understand that on-time and on-budget results are required and how overall success is defined </w:t>
            </w:r>
          </w:p>
          <w:p w:rsidR="00D96D8F" w:rsidRPr="0024235C" w:rsidRDefault="00D96D8F" w:rsidP="00D96D8F">
            <w:pPr>
              <w:pStyle w:val="TableBullet"/>
              <w:tabs>
                <w:tab w:val="clear" w:pos="284"/>
                <w:tab w:val="num" w:pos="360"/>
              </w:tabs>
              <w:ind w:left="360" w:hanging="360"/>
            </w:pPr>
            <w:r w:rsidRPr="0024235C">
              <w:t xml:space="preserve">Control output of business unit to ensure government outcomes are achieved within budget </w:t>
            </w:r>
          </w:p>
          <w:p w:rsidR="00D96D8F" w:rsidRPr="0024235C" w:rsidRDefault="00D96D8F" w:rsidP="00D96D8F">
            <w:pPr>
              <w:pStyle w:val="TableBullet"/>
              <w:tabs>
                <w:tab w:val="clear" w:pos="284"/>
                <w:tab w:val="num" w:pos="360"/>
              </w:tabs>
              <w:ind w:left="360" w:hanging="360"/>
            </w:pPr>
            <w:r w:rsidRPr="0024235C">
              <w:t xml:space="preserve">Progress organisational priorities and ensure effective acquisition and use of resources </w:t>
            </w:r>
          </w:p>
          <w:p w:rsidR="00D96D8F" w:rsidRPr="00C978B9" w:rsidRDefault="00D96D8F" w:rsidP="00D96D8F">
            <w:pPr>
              <w:pStyle w:val="TableBullet"/>
              <w:tabs>
                <w:tab w:val="clear" w:pos="284"/>
                <w:tab w:val="num" w:pos="360"/>
              </w:tabs>
              <w:ind w:left="360" w:hanging="360"/>
            </w:pPr>
            <w:r w:rsidRPr="0024235C">
              <w:t>Seek and apply the expertise of key individuals to achieve organisational outcomes</w:t>
            </w:r>
          </w:p>
        </w:tc>
      </w:tr>
      <w:tr w:rsidR="00D96D8F" w:rsidRPr="00C978B9" w:rsidTr="00C209C7">
        <w:tc>
          <w:tcPr>
            <w:tcW w:w="2703" w:type="dxa"/>
          </w:tcPr>
          <w:p w:rsidR="00D96D8F" w:rsidRPr="00C978B9" w:rsidRDefault="00D96D8F" w:rsidP="008B4111">
            <w:pPr>
              <w:pStyle w:val="TableText"/>
              <w:rPr>
                <w:b/>
              </w:rPr>
            </w:pPr>
            <w:r>
              <w:rPr>
                <w:b/>
              </w:rPr>
              <w:t>Business Enablers</w:t>
            </w:r>
          </w:p>
          <w:p w:rsidR="00D96D8F" w:rsidRPr="00C978B9" w:rsidRDefault="00D96D8F" w:rsidP="008B4111">
            <w:pPr>
              <w:pStyle w:val="TableText"/>
            </w:pPr>
            <w:r>
              <w:t>Project Management</w:t>
            </w:r>
          </w:p>
        </w:tc>
        <w:tc>
          <w:tcPr>
            <w:tcW w:w="2336" w:type="dxa"/>
          </w:tcPr>
          <w:p w:rsidR="00D96D8F" w:rsidRPr="00C978B9" w:rsidRDefault="00D96D8F" w:rsidP="008B4111">
            <w:pPr>
              <w:pStyle w:val="TableText"/>
              <w:rPr>
                <w:rFonts w:cs="Arial"/>
                <w:color w:val="000000"/>
              </w:rPr>
            </w:pPr>
            <w:r>
              <w:rPr>
                <w:rFonts w:cs="Arial"/>
                <w:color w:val="000000"/>
              </w:rPr>
              <w:t>Adept</w:t>
            </w:r>
          </w:p>
        </w:tc>
        <w:tc>
          <w:tcPr>
            <w:tcW w:w="5761" w:type="dxa"/>
          </w:tcPr>
          <w:p w:rsidR="00D96D8F" w:rsidRPr="00C978B9" w:rsidRDefault="00D96D8F" w:rsidP="00D96D8F">
            <w:pPr>
              <w:pStyle w:val="TableBullet"/>
              <w:tabs>
                <w:tab w:val="clear" w:pos="284"/>
                <w:tab w:val="num" w:pos="360"/>
              </w:tabs>
              <w:ind w:left="360" w:hanging="360"/>
            </w:pPr>
            <w:r>
              <w:t>Prepare clear project proposals and define scope and goals in measurable terms</w:t>
            </w:r>
          </w:p>
          <w:p w:rsidR="00D96D8F" w:rsidRPr="00C978B9" w:rsidRDefault="00D96D8F" w:rsidP="00D96D8F">
            <w:pPr>
              <w:pStyle w:val="TableBullet"/>
              <w:tabs>
                <w:tab w:val="clear" w:pos="284"/>
                <w:tab w:val="num" w:pos="360"/>
              </w:tabs>
              <w:ind w:left="360" w:hanging="360"/>
            </w:pPr>
            <w:r>
              <w:t>Establish performance outcomes and measures for key project goals, and define monitoring, reporting and communication requirements</w:t>
            </w:r>
          </w:p>
          <w:p w:rsidR="00D96D8F" w:rsidRPr="00C978B9" w:rsidRDefault="00D96D8F" w:rsidP="00D96D8F">
            <w:pPr>
              <w:pStyle w:val="TableBullet"/>
              <w:tabs>
                <w:tab w:val="clear" w:pos="284"/>
                <w:tab w:val="num" w:pos="360"/>
              </w:tabs>
              <w:ind w:left="360" w:hanging="360"/>
            </w:pPr>
            <w:r>
              <w:t>Prepare accurate estimates of costs and resources required for more complex projects</w:t>
            </w:r>
          </w:p>
          <w:p w:rsidR="00D96D8F" w:rsidRPr="00C978B9" w:rsidRDefault="00D96D8F" w:rsidP="00D96D8F">
            <w:pPr>
              <w:pStyle w:val="TableBullet"/>
              <w:tabs>
                <w:tab w:val="clear" w:pos="284"/>
                <w:tab w:val="num" w:pos="360"/>
              </w:tabs>
              <w:ind w:left="360" w:hanging="360"/>
            </w:pPr>
            <w:r>
              <w:t>Communicate the project strategy and its expected benefits to others</w:t>
            </w:r>
          </w:p>
          <w:p w:rsidR="00D96D8F" w:rsidRPr="00C978B9" w:rsidRDefault="00D96D8F" w:rsidP="00D96D8F">
            <w:pPr>
              <w:pStyle w:val="TableBullet"/>
              <w:tabs>
                <w:tab w:val="clear" w:pos="284"/>
                <w:tab w:val="num" w:pos="360"/>
              </w:tabs>
              <w:ind w:left="360" w:hanging="360"/>
            </w:pPr>
            <w:r>
              <w:t>Monitor the completion of project milestones against goals and initiate amendments where necessary</w:t>
            </w:r>
          </w:p>
          <w:p w:rsidR="00D96D8F" w:rsidRPr="00C978B9" w:rsidRDefault="00D96D8F" w:rsidP="00D96D8F">
            <w:pPr>
              <w:pStyle w:val="TableBullet"/>
              <w:tabs>
                <w:tab w:val="clear" w:pos="284"/>
                <w:tab w:val="num" w:pos="360"/>
              </w:tabs>
              <w:ind w:left="360" w:hanging="360"/>
            </w:pPr>
            <w:r>
              <w:t>Evaluate progress and identify improvements to inform future projects</w:t>
            </w:r>
          </w:p>
        </w:tc>
      </w:tr>
    </w:tbl>
    <w:p w:rsidR="00B0574B" w:rsidRDefault="00B0574B" w:rsidP="002B1F76">
      <w:pPr>
        <w:pStyle w:val="ListBullet"/>
        <w:numPr>
          <w:ilvl w:val="0"/>
          <w:numId w:val="0"/>
        </w:numPr>
      </w:pPr>
    </w:p>
    <w:sectPr w:rsidR="00B0574B"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18F" w:rsidRDefault="008E518F" w:rsidP="00BB532F">
      <w:pPr>
        <w:spacing w:after="0" w:line="240" w:lineRule="auto"/>
      </w:pPr>
      <w:r>
        <w:separator/>
      </w:r>
    </w:p>
  </w:endnote>
  <w:endnote w:type="continuationSeparator" w:id="0">
    <w:p w:rsidR="008E518F" w:rsidRDefault="008E518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Historic</w:t>
          </w:r>
          <w:r w:rsidR="00D96D8F">
            <w:rPr>
              <w:color w:val="000000" w:themeColor="text1"/>
              <w:sz w:val="18"/>
            </w:rPr>
            <w:t>al</w:t>
          </w:r>
          <w:r w:rsidRPr="00C03AFD">
            <w:rPr>
              <w:color w:val="000000" w:themeColor="text1"/>
              <w:sz w:val="18"/>
            </w:rPr>
            <w:t xml:space="preserve"> Archaeology 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21AFB">
            <w:rPr>
              <w:noProof/>
              <w:color w:val="928B81"/>
              <w:sz w:val="18"/>
              <w:lang w:eastAsia="en-AU"/>
            </w:rPr>
            <w:t>5</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21AFB">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508E02E9" wp14:editId="731295A2">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18F" w:rsidRDefault="008E518F" w:rsidP="00BB532F">
      <w:pPr>
        <w:spacing w:after="0" w:line="240" w:lineRule="auto"/>
      </w:pPr>
      <w:r>
        <w:separator/>
      </w:r>
    </w:p>
  </w:footnote>
  <w:footnote w:type="continuationSeparator" w:id="0">
    <w:p w:rsidR="008E518F" w:rsidRDefault="008E518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Historic</w:t>
          </w:r>
          <w:r w:rsidR="00B049BA">
            <w:rPr>
              <w:rFonts w:ascii="Arial" w:hAnsi="Arial" w:cs="Arial"/>
              <w:b/>
            </w:rPr>
            <w:t>al</w:t>
          </w:r>
          <w:r w:rsidRPr="001E49B2">
            <w:rPr>
              <w:rFonts w:ascii="Arial" w:hAnsi="Arial" w:cs="Arial"/>
              <w:b/>
            </w:rPr>
            <w:t xml:space="preserve"> Archaeology Officer</w:t>
          </w:r>
        </w:p>
      </w:tc>
      <w:tc>
        <w:tcPr>
          <w:tcW w:w="3665"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231BD"/>
    <w:rsid w:val="001336E8"/>
    <w:rsid w:val="0013413E"/>
    <w:rsid w:val="00134F5E"/>
    <w:rsid w:val="00153F10"/>
    <w:rsid w:val="00153F42"/>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63F6"/>
    <w:rsid w:val="00237421"/>
    <w:rsid w:val="00240A8E"/>
    <w:rsid w:val="00261CE5"/>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C6C8E"/>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00E0"/>
    <w:rsid w:val="005D71EA"/>
    <w:rsid w:val="005E6C59"/>
    <w:rsid w:val="005E75FC"/>
    <w:rsid w:val="005F5FD1"/>
    <w:rsid w:val="005F7EE8"/>
    <w:rsid w:val="00600C7E"/>
    <w:rsid w:val="006022B4"/>
    <w:rsid w:val="00603D53"/>
    <w:rsid w:val="00612673"/>
    <w:rsid w:val="00612AFA"/>
    <w:rsid w:val="00614552"/>
    <w:rsid w:val="00621AFB"/>
    <w:rsid w:val="00621D45"/>
    <w:rsid w:val="00623950"/>
    <w:rsid w:val="00626492"/>
    <w:rsid w:val="0063544E"/>
    <w:rsid w:val="006538BF"/>
    <w:rsid w:val="00674D4C"/>
    <w:rsid w:val="00683870"/>
    <w:rsid w:val="00693F0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106D"/>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E518F"/>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E0419"/>
    <w:rsid w:val="00A00C30"/>
    <w:rsid w:val="00A02AEF"/>
    <w:rsid w:val="00A14A03"/>
    <w:rsid w:val="00A2122C"/>
    <w:rsid w:val="00A41E4E"/>
    <w:rsid w:val="00A4412E"/>
    <w:rsid w:val="00A47353"/>
    <w:rsid w:val="00A6675F"/>
    <w:rsid w:val="00A73C38"/>
    <w:rsid w:val="00A77B0C"/>
    <w:rsid w:val="00A83932"/>
    <w:rsid w:val="00A85305"/>
    <w:rsid w:val="00A85453"/>
    <w:rsid w:val="00A8686E"/>
    <w:rsid w:val="00A8732A"/>
    <w:rsid w:val="00A970A2"/>
    <w:rsid w:val="00AB120A"/>
    <w:rsid w:val="00AB50E4"/>
    <w:rsid w:val="00AC1AF9"/>
    <w:rsid w:val="00AC742D"/>
    <w:rsid w:val="00AC7DC9"/>
    <w:rsid w:val="00AE14D7"/>
    <w:rsid w:val="00AF01AC"/>
    <w:rsid w:val="00AF3FE7"/>
    <w:rsid w:val="00AF7D0C"/>
    <w:rsid w:val="00B049BA"/>
    <w:rsid w:val="00B0574B"/>
    <w:rsid w:val="00B2037F"/>
    <w:rsid w:val="00B262BC"/>
    <w:rsid w:val="00B32691"/>
    <w:rsid w:val="00B407F6"/>
    <w:rsid w:val="00B635E3"/>
    <w:rsid w:val="00B72B4F"/>
    <w:rsid w:val="00B835C0"/>
    <w:rsid w:val="00B876AF"/>
    <w:rsid w:val="00B94D0A"/>
    <w:rsid w:val="00BA759E"/>
    <w:rsid w:val="00BB532F"/>
    <w:rsid w:val="00BC162D"/>
    <w:rsid w:val="00BC2FE4"/>
    <w:rsid w:val="00BC6AB7"/>
    <w:rsid w:val="00BD4DDA"/>
    <w:rsid w:val="00BE4EAE"/>
    <w:rsid w:val="00C03AFD"/>
    <w:rsid w:val="00C209C7"/>
    <w:rsid w:val="00C271F9"/>
    <w:rsid w:val="00C517B6"/>
    <w:rsid w:val="00C63F0F"/>
    <w:rsid w:val="00C70636"/>
    <w:rsid w:val="00C70842"/>
    <w:rsid w:val="00CC76F2"/>
    <w:rsid w:val="00CE105E"/>
    <w:rsid w:val="00CE1E5E"/>
    <w:rsid w:val="00CF72F1"/>
    <w:rsid w:val="00D007A6"/>
    <w:rsid w:val="00D55E55"/>
    <w:rsid w:val="00D663ED"/>
    <w:rsid w:val="00D67A17"/>
    <w:rsid w:val="00D74882"/>
    <w:rsid w:val="00D759EE"/>
    <w:rsid w:val="00D956AA"/>
    <w:rsid w:val="00D96D8F"/>
    <w:rsid w:val="00DA45C4"/>
    <w:rsid w:val="00DA543F"/>
    <w:rsid w:val="00DC0173"/>
    <w:rsid w:val="00DC11EA"/>
    <w:rsid w:val="00DC4056"/>
    <w:rsid w:val="00DD74AD"/>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98C683-6BC4-4829-BB60-62C5A0E1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Mention1">
    <w:name w:val="Mention1"/>
    <w:basedOn w:val="DefaultParagraphFont"/>
    <w:uiPriority w:val="99"/>
    <w:semiHidden/>
    <w:unhideWhenUsed/>
    <w:rsid w:val="00CF72F1"/>
    <w:rPr>
      <w:color w:val="2B579A"/>
      <w:shd w:val="clear" w:color="auto" w:fill="E6E6E6"/>
    </w:rPr>
  </w:style>
  <w:style w:type="character" w:styleId="UnresolvedMention">
    <w:name w:val="Unresolved Mention"/>
    <w:basedOn w:val="DefaultParagraphFont"/>
    <w:uiPriority w:val="99"/>
    <w:semiHidden/>
    <w:unhideWhenUsed/>
    <w:rsid w:val="00621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1841">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nsw.gov.au"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c.nsw.gov.au/capabilit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c.nsw.gov.au/about/about_the_department"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CE89-5167-48E1-A53D-A5830D96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1366</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Jenny Wight</cp:lastModifiedBy>
  <cp:revision>2</cp:revision>
  <dcterms:created xsi:type="dcterms:W3CDTF">2019-09-03T03:26:00Z</dcterms:created>
  <dcterms:modified xsi:type="dcterms:W3CDTF">2019-09-03T03:26:00Z</dcterms:modified>
</cp:coreProperties>
</file>