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7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2C0D7E" w:rsidRPr="00DC0173" w14:paraId="1E695033" w14:textId="77777777" w:rsidTr="4F38F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14:paraId="00210EAC" w14:textId="77777777" w:rsidR="002C0D7E" w:rsidRPr="00DC0173" w:rsidRDefault="002C0D7E" w:rsidP="002C0D7E">
            <w:pPr>
              <w:pStyle w:val="TableTextWhite"/>
              <w:rPr>
                <w:b/>
              </w:rPr>
            </w:pPr>
            <w:r>
              <w:rPr>
                <w:b/>
              </w:rPr>
              <w:t>Cluster</w:t>
            </w:r>
          </w:p>
        </w:tc>
        <w:tc>
          <w:tcPr>
            <w:tcW w:w="6831" w:type="dxa"/>
          </w:tcPr>
          <w:p w14:paraId="0F3C7BE2" w14:textId="6B0344FD" w:rsidR="002C0D7E" w:rsidRPr="00DC0173" w:rsidRDefault="002C0D7E" w:rsidP="002C0D7E">
            <w:pPr>
              <w:pStyle w:val="TableTextWhite"/>
            </w:pPr>
            <w:r w:rsidRPr="006166CA">
              <w:t>Premier and Cabinet</w:t>
            </w:r>
          </w:p>
        </w:tc>
      </w:tr>
      <w:tr w:rsidR="002C0D7E" w:rsidRPr="00DC0173" w14:paraId="19786121" w14:textId="77777777" w:rsidTr="4F38F1BA">
        <w:tc>
          <w:tcPr>
            <w:tcW w:w="4026" w:type="dxa"/>
          </w:tcPr>
          <w:p w14:paraId="4936805B" w14:textId="77777777" w:rsidR="002C0D7E" w:rsidRDefault="002C0D7E" w:rsidP="002C0D7E">
            <w:pPr>
              <w:pStyle w:val="TableTextWhite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6831" w:type="dxa"/>
          </w:tcPr>
          <w:p w14:paraId="4AE6F601" w14:textId="084B3FD6" w:rsidR="002C0D7E" w:rsidRDefault="002C0D7E" w:rsidP="002C0D7E">
            <w:pPr>
              <w:pStyle w:val="TableTextWhite"/>
            </w:pPr>
            <w:r w:rsidRPr="006166CA">
              <w:t>Department of Premier and Cabinet</w:t>
            </w:r>
          </w:p>
        </w:tc>
      </w:tr>
      <w:tr w:rsidR="002C0D7E" w:rsidRPr="00DC0173" w14:paraId="749BEA85" w14:textId="77777777" w:rsidTr="4F38F1BA">
        <w:tc>
          <w:tcPr>
            <w:tcW w:w="4026" w:type="dxa"/>
          </w:tcPr>
          <w:p w14:paraId="3A32DD85" w14:textId="77777777" w:rsidR="002C0D7E" w:rsidRDefault="002C0D7E" w:rsidP="002C0D7E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Division/Branch/Unit</w:t>
            </w:r>
          </w:p>
        </w:tc>
        <w:tc>
          <w:tcPr>
            <w:tcW w:w="6831" w:type="dxa"/>
          </w:tcPr>
          <w:p w14:paraId="4C690970" w14:textId="1F579DC7" w:rsidR="002C0D7E" w:rsidRDefault="00C66239" w:rsidP="002C0D7E">
            <w:pPr>
              <w:pStyle w:val="TableTextWhite"/>
            </w:pPr>
            <w:r>
              <w:t xml:space="preserve">Policy </w:t>
            </w:r>
            <w:r w:rsidR="002C0D7E">
              <w:t xml:space="preserve">Group / Premier’s Implementation Unit </w:t>
            </w:r>
          </w:p>
        </w:tc>
      </w:tr>
      <w:tr w:rsidR="00801E41" w:rsidRPr="00DC0173" w14:paraId="16518117" w14:textId="77777777" w:rsidTr="4F38F1BA">
        <w:tc>
          <w:tcPr>
            <w:tcW w:w="4026" w:type="dxa"/>
          </w:tcPr>
          <w:p w14:paraId="1C80F28B" w14:textId="77777777" w:rsidR="00801E41" w:rsidRDefault="00801E41" w:rsidP="006657CF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Role number</w:t>
            </w:r>
          </w:p>
        </w:tc>
        <w:tc>
          <w:tcPr>
            <w:tcW w:w="6831" w:type="dxa"/>
          </w:tcPr>
          <w:p w14:paraId="19E58CA6" w14:textId="62FCEE5A" w:rsidR="00801E41" w:rsidRDefault="002C0D7E" w:rsidP="006657CF">
            <w:pPr>
              <w:pStyle w:val="TableTextWhite"/>
            </w:pPr>
            <w:r>
              <w:t>Various</w:t>
            </w:r>
          </w:p>
        </w:tc>
      </w:tr>
      <w:tr w:rsidR="00801E41" w:rsidRPr="00DC0173" w14:paraId="60CD0958" w14:textId="77777777" w:rsidTr="4F38F1BA">
        <w:tc>
          <w:tcPr>
            <w:tcW w:w="4026" w:type="dxa"/>
          </w:tcPr>
          <w:p w14:paraId="4FD21F74" w14:textId="77777777" w:rsidR="00801E41" w:rsidRDefault="00801E41" w:rsidP="006657CF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14:paraId="4B0D85A6" w14:textId="387BEBD6" w:rsidR="00801E41" w:rsidRDefault="002C0D7E" w:rsidP="006657CF">
            <w:pPr>
              <w:pStyle w:val="TableTextWhite"/>
            </w:pPr>
            <w:r w:rsidRPr="006166CA">
              <w:t xml:space="preserve">Clerk Grade </w:t>
            </w:r>
            <w:r>
              <w:t>9/10</w:t>
            </w:r>
          </w:p>
        </w:tc>
      </w:tr>
      <w:tr w:rsidR="00801E41" w:rsidRPr="00DC0173" w14:paraId="073AD676" w14:textId="77777777" w:rsidTr="4F38F1BA">
        <w:tc>
          <w:tcPr>
            <w:tcW w:w="4026" w:type="dxa"/>
          </w:tcPr>
          <w:p w14:paraId="34EC5F38" w14:textId="77777777" w:rsidR="00801E41" w:rsidRDefault="00801E41" w:rsidP="006657CF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14:paraId="6B0DB08C" w14:textId="679C83F6" w:rsidR="00801E41" w:rsidRDefault="002C0D7E" w:rsidP="006657CF">
            <w:pPr>
              <w:pStyle w:val="TableTextWhite"/>
            </w:pPr>
            <w:r w:rsidRPr="00681A32">
              <w:t>224412</w:t>
            </w:r>
          </w:p>
        </w:tc>
      </w:tr>
      <w:tr w:rsidR="002C0D7E" w:rsidRPr="00DC0173" w14:paraId="752E2B4C" w14:textId="77777777" w:rsidTr="4F38F1BA">
        <w:tc>
          <w:tcPr>
            <w:tcW w:w="4026" w:type="dxa"/>
          </w:tcPr>
          <w:p w14:paraId="77421A0C" w14:textId="77777777" w:rsidR="002C0D7E" w:rsidRDefault="002C0D7E" w:rsidP="002C0D7E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14:paraId="3DEE2C81" w14:textId="7BDDD33E" w:rsidR="002C0D7E" w:rsidRDefault="002C0D7E" w:rsidP="002C0D7E">
            <w:pPr>
              <w:pStyle w:val="TableTextWhite"/>
            </w:pPr>
            <w:r w:rsidRPr="00681A32">
              <w:t>2119192</w:t>
            </w:r>
          </w:p>
        </w:tc>
      </w:tr>
      <w:tr w:rsidR="002C0D7E" w:rsidRPr="00DC0173" w14:paraId="6E34F27A" w14:textId="77777777" w:rsidTr="4F38F1BA">
        <w:tc>
          <w:tcPr>
            <w:tcW w:w="4026" w:type="dxa"/>
          </w:tcPr>
          <w:p w14:paraId="07400C08" w14:textId="77777777" w:rsidR="002C0D7E" w:rsidRDefault="002C0D7E" w:rsidP="002C0D7E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14:paraId="3F1A477A" w14:textId="72E5A8FB" w:rsidR="002C0D7E" w:rsidRDefault="00367FBD" w:rsidP="002C0D7E">
            <w:pPr>
              <w:pStyle w:val="TableTextWhite"/>
            </w:pPr>
            <w:r w:rsidRPr="00367FBD">
              <w:t>June 2022</w:t>
            </w:r>
          </w:p>
        </w:tc>
      </w:tr>
      <w:tr w:rsidR="002C0D7E" w:rsidRPr="00DC0173" w14:paraId="257603AC" w14:textId="77777777" w:rsidTr="4F38F1BA">
        <w:tc>
          <w:tcPr>
            <w:tcW w:w="4026" w:type="dxa"/>
          </w:tcPr>
          <w:p w14:paraId="00472663" w14:textId="77777777" w:rsidR="002C0D7E" w:rsidRDefault="002C0D7E" w:rsidP="002C0D7E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Agency Website</w:t>
            </w:r>
          </w:p>
        </w:tc>
        <w:tc>
          <w:tcPr>
            <w:tcW w:w="6831" w:type="dxa"/>
          </w:tcPr>
          <w:p w14:paraId="44986561" w14:textId="7F82A94A" w:rsidR="002C0D7E" w:rsidRDefault="002C0D7E" w:rsidP="002C0D7E">
            <w:pPr>
              <w:pStyle w:val="TableTextWhite"/>
            </w:pPr>
            <w:r w:rsidRPr="006166CA">
              <w:t>www.dpc.nsw.gov.au</w:t>
            </w:r>
          </w:p>
        </w:tc>
      </w:tr>
    </w:tbl>
    <w:p w14:paraId="3B779FA6" w14:textId="77777777" w:rsidR="00477EB1" w:rsidRPr="00E55704" w:rsidRDefault="00477EB1" w:rsidP="00477EB1">
      <w:pPr>
        <w:tabs>
          <w:tab w:val="left" w:pos="2925"/>
        </w:tabs>
        <w:rPr>
          <w:rFonts w:cs="Arial"/>
        </w:rPr>
      </w:pPr>
    </w:p>
    <w:p w14:paraId="773465B0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Agency overview</w:t>
      </w:r>
    </w:p>
    <w:p w14:paraId="777A87DB" w14:textId="77777777" w:rsidR="00081FF0" w:rsidRDefault="00081FF0" w:rsidP="00081FF0">
      <w:pPr>
        <w:shd w:val="clear" w:color="auto" w:fill="FFFFFF"/>
        <w:spacing w:after="100" w:afterAutospacing="1"/>
        <w:rPr>
          <w:rFonts w:cs="Arial"/>
        </w:rPr>
      </w:pPr>
      <w:r>
        <w:rPr>
          <w:rFonts w:cs="Arial"/>
          <w:lang w:eastAsia="en-AU"/>
        </w:rPr>
        <w:t>The NSW Department of Premier and Cabinet (DPC) is the lead central agency in the NSW Government – our purpose is to drive big ideas at the heart of government.</w:t>
      </w:r>
    </w:p>
    <w:p w14:paraId="32BAD6C5" w14:textId="77777777" w:rsidR="00081FF0" w:rsidRDefault="00081FF0" w:rsidP="00081FF0">
      <w:pPr>
        <w:shd w:val="clear" w:color="auto" w:fill="FFFFFF"/>
        <w:spacing w:after="100" w:afterAutospacing="1"/>
        <w:rPr>
          <w:rFonts w:cs="Arial"/>
          <w:lang w:eastAsia="en-AU"/>
        </w:rPr>
      </w:pPr>
      <w:r>
        <w:rPr>
          <w:rFonts w:cs="Arial"/>
          <w:lang w:eastAsia="en-AU"/>
        </w:rPr>
        <w:t xml:space="preserve">We support the Premier, the Cabinet, </w:t>
      </w:r>
      <w:proofErr w:type="gramStart"/>
      <w:r>
        <w:rPr>
          <w:rFonts w:cs="Arial"/>
          <w:lang w:eastAsia="en-AU"/>
        </w:rPr>
        <w:t>Ministers</w:t>
      </w:r>
      <w:proofErr w:type="gramEnd"/>
      <w:r>
        <w:rPr>
          <w:rFonts w:cs="Arial"/>
          <w:lang w:eastAsia="en-AU"/>
        </w:rPr>
        <w:t xml:space="preserve"> and agencies by coordinating policies and services across government. We lead policy development, provide innovative ideas and support Government plans and projects. </w:t>
      </w:r>
    </w:p>
    <w:p w14:paraId="44CE00EF" w14:textId="77777777" w:rsidR="00081FF0" w:rsidRDefault="00081FF0" w:rsidP="00081FF0">
      <w:pPr>
        <w:shd w:val="clear" w:color="auto" w:fill="FFFFFF"/>
        <w:spacing w:after="100" w:afterAutospacing="1"/>
        <w:rPr>
          <w:rFonts w:cs="Arial"/>
          <w:lang w:val="en"/>
        </w:rPr>
      </w:pPr>
      <w:r>
        <w:rPr>
          <w:rFonts w:cs="Arial"/>
          <w:lang w:val="en"/>
        </w:rPr>
        <w:t xml:space="preserve">Working with us will give you a broad overview in areas such as public policy formulation, public administration and state administrative matters and an opportunity to be involved in a range of state-wide policies, </w:t>
      </w:r>
      <w:proofErr w:type="gramStart"/>
      <w:r>
        <w:rPr>
          <w:rFonts w:cs="Arial"/>
          <w:lang w:val="en"/>
        </w:rPr>
        <w:t>issues</w:t>
      </w:r>
      <w:proofErr w:type="gramEnd"/>
      <w:r>
        <w:rPr>
          <w:rFonts w:cs="Arial"/>
          <w:lang w:val="en"/>
        </w:rPr>
        <w:t xml:space="preserve"> and projects.</w:t>
      </w:r>
    </w:p>
    <w:p w14:paraId="2E06A199" w14:textId="77777777" w:rsidR="00081FF0" w:rsidRDefault="00081FF0" w:rsidP="00081FF0">
      <w:pPr>
        <w:pStyle w:val="NormalWeb"/>
        <w:spacing w:before="120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 go to </w:t>
      </w:r>
      <w:hyperlink r:id="rId12" w:history="1">
        <w:r>
          <w:rPr>
            <w:rStyle w:val="Hyperlink"/>
            <w:sz w:val="22"/>
            <w:szCs w:val="22"/>
          </w:rPr>
          <w:t>http://www.dpc.nsw.gov.au/about/about_the_department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1F2A838" w14:textId="4AD16A22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6E71A396" w14:textId="13B989FF" w:rsidR="005F5BAC" w:rsidRDefault="002A0786" w:rsidP="002A0786">
      <w:pPr>
        <w:spacing w:before="120" w:line="240" w:lineRule="auto"/>
        <w:jc w:val="both"/>
        <w:rPr>
          <w:rFonts w:cs="Arial"/>
        </w:rPr>
      </w:pPr>
      <w:r>
        <w:rPr>
          <w:rFonts w:cs="Arial"/>
        </w:rPr>
        <w:t>T</w:t>
      </w:r>
      <w:r w:rsidR="007C2F29">
        <w:rPr>
          <w:rFonts w:cs="Arial"/>
        </w:rPr>
        <w:t xml:space="preserve">he Senior Analyst – Closing the Gap is responsible for </w:t>
      </w:r>
      <w:r>
        <w:rPr>
          <w:rFonts w:cs="Arial"/>
        </w:rPr>
        <w:t>prepar</w:t>
      </w:r>
      <w:r w:rsidR="007C2F29">
        <w:rPr>
          <w:rFonts w:cs="Arial"/>
        </w:rPr>
        <w:t>ing</w:t>
      </w:r>
      <w:r>
        <w:rPr>
          <w:rFonts w:cs="Arial"/>
        </w:rPr>
        <w:t xml:space="preserve"> and coordinat</w:t>
      </w:r>
      <w:r w:rsidR="007C2F29">
        <w:rPr>
          <w:rFonts w:cs="Arial"/>
        </w:rPr>
        <w:t>ing</w:t>
      </w:r>
      <w:r>
        <w:rPr>
          <w:rFonts w:cs="Arial"/>
        </w:rPr>
        <w:t xml:space="preserve"> </w:t>
      </w:r>
      <w:r w:rsidR="00B24B39">
        <w:rPr>
          <w:rFonts w:cs="Arial"/>
        </w:rPr>
        <w:t>high-</w:t>
      </w:r>
      <w:r>
        <w:rPr>
          <w:rFonts w:cs="Arial"/>
        </w:rPr>
        <w:t>quality</w:t>
      </w:r>
      <w:r w:rsidR="00A71B5A">
        <w:rPr>
          <w:rFonts w:cs="Arial"/>
        </w:rPr>
        <w:t xml:space="preserve"> data</w:t>
      </w:r>
      <w:r>
        <w:rPr>
          <w:rFonts w:cs="Arial"/>
        </w:rPr>
        <w:t xml:space="preserve"> analysis to support </w:t>
      </w:r>
      <w:r w:rsidR="00D80789">
        <w:rPr>
          <w:rFonts w:cs="Arial"/>
        </w:rPr>
        <w:t>the governance and delivery</w:t>
      </w:r>
      <w:r>
        <w:rPr>
          <w:rFonts w:cs="Arial"/>
        </w:rPr>
        <w:t xml:space="preserve"> of</w:t>
      </w:r>
      <w:r w:rsidR="00AE2367">
        <w:rPr>
          <w:rFonts w:cs="Arial"/>
        </w:rPr>
        <w:t xml:space="preserve"> NSW government priorities including</w:t>
      </w:r>
      <w:r>
        <w:rPr>
          <w:rFonts w:cs="Arial"/>
        </w:rPr>
        <w:t xml:space="preserve"> Closing the Gap</w:t>
      </w:r>
      <w:r w:rsidR="008A4019">
        <w:rPr>
          <w:rFonts w:cs="Arial"/>
        </w:rPr>
        <w:t xml:space="preserve"> in NSW</w:t>
      </w:r>
      <w:r>
        <w:rPr>
          <w:rFonts w:cs="Arial"/>
        </w:rPr>
        <w:t xml:space="preserve">. </w:t>
      </w:r>
    </w:p>
    <w:p w14:paraId="4E8B1887" w14:textId="77777777" w:rsidR="008E0495" w:rsidRPr="00BF3878" w:rsidRDefault="008E0495" w:rsidP="008E0495">
      <w:pPr>
        <w:spacing w:before="120" w:line="240" w:lineRule="auto"/>
        <w:rPr>
          <w:rFonts w:cs="Arial"/>
        </w:rPr>
      </w:pPr>
      <w:r w:rsidRPr="001D78D0">
        <w:rPr>
          <w:rFonts w:cs="Arial"/>
        </w:rPr>
        <w:t>For more information</w:t>
      </w:r>
      <w:r>
        <w:rPr>
          <w:rFonts w:cs="Arial"/>
        </w:rPr>
        <w:t>,</w:t>
      </w:r>
      <w:r w:rsidRPr="001D78D0">
        <w:rPr>
          <w:rFonts w:cs="Arial"/>
        </w:rPr>
        <w:t xml:space="preserve"> go to</w:t>
      </w:r>
      <w:r>
        <w:rPr>
          <w:rFonts w:cs="Arial"/>
        </w:rPr>
        <w:t xml:space="preserve"> </w:t>
      </w:r>
      <w:hyperlink r:id="rId13" w:history="1">
        <w:r w:rsidRPr="00BF3878">
          <w:rPr>
            <w:rStyle w:val="Hyperlink"/>
            <w:rFonts w:cs="Arial"/>
            <w:sz w:val="22"/>
          </w:rPr>
          <w:t>https://www.closingthegap.gov.au/national-agreement/targets</w:t>
        </w:r>
      </w:hyperlink>
      <w:r w:rsidRPr="00BF3878">
        <w:rPr>
          <w:rFonts w:cs="Arial"/>
        </w:rPr>
        <w:t xml:space="preserve">  </w:t>
      </w:r>
    </w:p>
    <w:p w14:paraId="1347744E" w14:textId="77777777"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14:paraId="03F4243B" w14:textId="77777777" w:rsidR="00031A8E" w:rsidRDefault="00031A8E" w:rsidP="00031A8E">
      <w:pPr>
        <w:widowControl w:val="0"/>
        <w:numPr>
          <w:ilvl w:val="0"/>
          <w:numId w:val="11"/>
        </w:numPr>
        <w:spacing w:before="120" w:after="120" w:line="240" w:lineRule="auto"/>
        <w:jc w:val="both"/>
      </w:pPr>
      <w:r w:rsidRPr="4F38F1BA">
        <w:rPr>
          <w:rFonts w:cs="Arial"/>
        </w:rPr>
        <w:t xml:space="preserve">Liaise with lead </w:t>
      </w:r>
      <w:r>
        <w:rPr>
          <w:rFonts w:cs="Arial"/>
        </w:rPr>
        <w:t xml:space="preserve">government </w:t>
      </w:r>
      <w:r w:rsidRPr="4F38F1BA">
        <w:rPr>
          <w:rFonts w:cs="Arial"/>
        </w:rPr>
        <w:t>agencies and partners to collate</w:t>
      </w:r>
      <w:r>
        <w:rPr>
          <w:rFonts w:cs="Arial"/>
        </w:rPr>
        <w:t>,</w:t>
      </w:r>
      <w:r w:rsidRPr="4F38F1BA">
        <w:rPr>
          <w:rFonts w:cs="Arial"/>
        </w:rPr>
        <w:t xml:space="preserve"> </w:t>
      </w:r>
      <w:proofErr w:type="gramStart"/>
      <w:r w:rsidRPr="4F38F1BA">
        <w:rPr>
          <w:rFonts w:cs="Arial"/>
        </w:rPr>
        <w:t>analyse</w:t>
      </w:r>
      <w:proofErr w:type="gramEnd"/>
      <w:r>
        <w:rPr>
          <w:rFonts w:cs="Arial"/>
        </w:rPr>
        <w:t xml:space="preserve"> and report on</w:t>
      </w:r>
      <w:r w:rsidRPr="4F38F1BA">
        <w:rPr>
          <w:rFonts w:cs="Arial"/>
        </w:rPr>
        <w:t xml:space="preserve"> performance against targets.</w:t>
      </w:r>
    </w:p>
    <w:p w14:paraId="5A2B254F" w14:textId="2D7D2B96" w:rsidR="009F60D2" w:rsidRDefault="006B4C29" w:rsidP="002C0D7E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cs="Arial"/>
        </w:rPr>
      </w:pPr>
      <w:r w:rsidRPr="4F38F1BA">
        <w:rPr>
          <w:rFonts w:cs="Arial"/>
        </w:rPr>
        <w:t>Undertake complex data analysis</w:t>
      </w:r>
      <w:r w:rsidR="005A2DF4" w:rsidRPr="4F38F1BA">
        <w:rPr>
          <w:rFonts w:cs="Arial"/>
        </w:rPr>
        <w:t xml:space="preserve">, including descriptive and </w:t>
      </w:r>
      <w:r w:rsidR="005A3423" w:rsidRPr="4F38F1BA">
        <w:rPr>
          <w:rFonts w:cs="Arial"/>
        </w:rPr>
        <w:t>statistical</w:t>
      </w:r>
      <w:r w:rsidR="005A2DF4" w:rsidRPr="4F38F1BA">
        <w:rPr>
          <w:rFonts w:cs="Arial"/>
        </w:rPr>
        <w:t xml:space="preserve"> analysis</w:t>
      </w:r>
      <w:r w:rsidR="0096304A">
        <w:rPr>
          <w:rFonts w:cs="Arial"/>
        </w:rPr>
        <w:t xml:space="preserve"> to identify trends and emerging issues and support business outcomes</w:t>
      </w:r>
      <w:r w:rsidRPr="4F38F1BA">
        <w:rPr>
          <w:rFonts w:cs="Arial"/>
        </w:rPr>
        <w:t xml:space="preserve">. </w:t>
      </w:r>
    </w:p>
    <w:p w14:paraId="4A3DE4E4" w14:textId="48827B16" w:rsidR="002A0786" w:rsidRDefault="0087029B" w:rsidP="002A0786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="00BD7BCF">
        <w:rPr>
          <w:rFonts w:cs="Arial"/>
        </w:rPr>
        <w:t>repar</w:t>
      </w:r>
      <w:r>
        <w:rPr>
          <w:rFonts w:cs="Arial"/>
        </w:rPr>
        <w:t>e</w:t>
      </w:r>
      <w:r w:rsidR="00BD7BCF">
        <w:rPr>
          <w:rFonts w:cs="Arial"/>
        </w:rPr>
        <w:t xml:space="preserve"> </w:t>
      </w:r>
      <w:r w:rsidR="002A0786">
        <w:rPr>
          <w:rFonts w:cs="Arial"/>
        </w:rPr>
        <w:t>quality, concise and accurate written or verbal reports</w:t>
      </w:r>
      <w:r w:rsidR="00BD7BCF">
        <w:rPr>
          <w:rFonts w:cs="Arial"/>
        </w:rPr>
        <w:t xml:space="preserve"> that translate data insights for a variety of government and non-government stakeholders</w:t>
      </w:r>
      <w:r w:rsidR="00D476CC">
        <w:rPr>
          <w:rFonts w:cs="Arial"/>
        </w:rPr>
        <w:t xml:space="preserve">, including developing </w:t>
      </w:r>
      <w:proofErr w:type="spellStart"/>
      <w:r w:rsidR="00BD7BCF">
        <w:rPr>
          <w:rFonts w:cs="Arial"/>
        </w:rPr>
        <w:t>visualisations</w:t>
      </w:r>
      <w:proofErr w:type="spellEnd"/>
      <w:r w:rsidR="00BD7BCF">
        <w:rPr>
          <w:rFonts w:cs="Arial"/>
        </w:rPr>
        <w:t xml:space="preserve"> for complex datasets</w:t>
      </w:r>
      <w:r w:rsidR="00172F4D">
        <w:rPr>
          <w:rFonts w:cs="Arial"/>
        </w:rPr>
        <w:t>.</w:t>
      </w:r>
    </w:p>
    <w:p w14:paraId="2BA0446A" w14:textId="35FDD596" w:rsidR="00F40378" w:rsidRPr="00F40378" w:rsidRDefault="00F40378" w:rsidP="002257B1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lastRenderedPageBreak/>
        <w:t>D</w:t>
      </w:r>
      <w:r w:rsidRPr="00F40378">
        <w:rPr>
          <w:rFonts w:cs="Arial"/>
        </w:rPr>
        <w:t>evelop clear, accurate</w:t>
      </w:r>
      <w:r w:rsidR="00C3033D">
        <w:rPr>
          <w:rFonts w:cs="Arial"/>
        </w:rPr>
        <w:t>,</w:t>
      </w:r>
      <w:r w:rsidR="006A39AA">
        <w:rPr>
          <w:rFonts w:cs="Arial"/>
        </w:rPr>
        <w:t xml:space="preserve"> </w:t>
      </w:r>
      <w:r w:rsidRPr="00F40378">
        <w:rPr>
          <w:rFonts w:cs="Arial"/>
        </w:rPr>
        <w:t>timely</w:t>
      </w:r>
      <w:r w:rsidR="00C3033D">
        <w:rPr>
          <w:rFonts w:cs="Arial"/>
        </w:rPr>
        <w:t xml:space="preserve"> and culturally appropriate</w:t>
      </w:r>
      <w:r w:rsidRPr="00F40378">
        <w:rPr>
          <w:rFonts w:cs="Arial"/>
        </w:rPr>
        <w:t xml:space="preserve"> advice to audiences with varying statistical</w:t>
      </w:r>
      <w:r>
        <w:rPr>
          <w:rFonts w:cs="Arial"/>
        </w:rPr>
        <w:t xml:space="preserve"> </w:t>
      </w:r>
      <w:r w:rsidRPr="00F40378">
        <w:rPr>
          <w:rFonts w:cs="Arial"/>
        </w:rPr>
        <w:t>literacy and seniority on the key findings of any analysis</w:t>
      </w:r>
      <w:r w:rsidR="00F362BE">
        <w:rPr>
          <w:rFonts w:cs="Arial"/>
        </w:rPr>
        <w:t>, to ensure they are meaningful and can be acted upon</w:t>
      </w:r>
      <w:r w:rsidR="0096304A">
        <w:rPr>
          <w:rFonts w:cs="Arial"/>
        </w:rPr>
        <w:t>.</w:t>
      </w:r>
    </w:p>
    <w:p w14:paraId="4A96F077" w14:textId="77777777" w:rsidR="001E6C77" w:rsidRDefault="001E6C77" w:rsidP="001E6C77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cs="Arial"/>
        </w:rPr>
      </w:pPr>
      <w:r w:rsidRPr="4F38F1BA">
        <w:rPr>
          <w:rFonts w:cs="Arial"/>
        </w:rPr>
        <w:t>Apply critical thinking to complex datasets to demonstrate how insights can be converted into tangible actions.</w:t>
      </w:r>
    </w:p>
    <w:p w14:paraId="73E3758A" w14:textId="4580F993" w:rsidR="00F40378" w:rsidRDefault="2CCE9031" w:rsidP="2CCE9031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eastAsia="Arial" w:cs="Arial"/>
          <w:lang w:val="en-AU"/>
        </w:rPr>
      </w:pPr>
      <w:r w:rsidRPr="2CCE9031">
        <w:rPr>
          <w:rFonts w:eastAsia="Arial" w:cs="Arial"/>
          <w:lang w:val="en-AU"/>
        </w:rPr>
        <w:t xml:space="preserve">Proactively </w:t>
      </w:r>
      <w:r w:rsidR="001E6C77">
        <w:rPr>
          <w:rFonts w:eastAsia="Arial" w:cs="Arial"/>
          <w:lang w:val="en-AU"/>
        </w:rPr>
        <w:t>manage</w:t>
      </w:r>
      <w:r w:rsidRPr="2CCE9031">
        <w:rPr>
          <w:rFonts w:eastAsia="Arial" w:cs="Arial"/>
          <w:lang w:val="en-AU"/>
        </w:rPr>
        <w:t xml:space="preserve"> risks </w:t>
      </w:r>
      <w:r w:rsidR="001E6C77">
        <w:rPr>
          <w:rFonts w:eastAsia="Arial" w:cs="Arial"/>
          <w:lang w:val="en-AU"/>
        </w:rPr>
        <w:t>associated with use of</w:t>
      </w:r>
      <w:r w:rsidRPr="2CCE9031">
        <w:rPr>
          <w:rFonts w:eastAsia="Arial" w:cs="Arial"/>
          <w:lang w:val="en-AU"/>
        </w:rPr>
        <w:t xml:space="preserve"> data</w:t>
      </w:r>
      <w:r w:rsidR="00F362BE">
        <w:rPr>
          <w:rFonts w:eastAsia="Arial" w:cs="Arial"/>
          <w:lang w:val="en-AU"/>
        </w:rPr>
        <w:t>,</w:t>
      </w:r>
      <w:r w:rsidRPr="2CCE9031">
        <w:rPr>
          <w:rFonts w:eastAsia="Arial" w:cs="Arial"/>
          <w:lang w:val="en-AU"/>
        </w:rPr>
        <w:t xml:space="preserve"> ensuring compliance with relevant standards, including emerging Aboriginal data sovereignty and governance standards.</w:t>
      </w:r>
      <w:r w:rsidRPr="2CCE9031">
        <w:rPr>
          <w:rFonts w:cs="Arial"/>
          <w:lang w:val="en-AU"/>
        </w:rPr>
        <w:t xml:space="preserve"> </w:t>
      </w:r>
    </w:p>
    <w:p w14:paraId="3D115767" w14:textId="158F02DC" w:rsidR="006A39AA" w:rsidRDefault="004362BF" w:rsidP="4F38F1BA">
      <w:pPr>
        <w:widowControl w:val="0"/>
        <w:numPr>
          <w:ilvl w:val="0"/>
          <w:numId w:val="11"/>
        </w:numPr>
        <w:tabs>
          <w:tab w:val="left" w:pos="2925"/>
        </w:tabs>
        <w:spacing w:before="120" w:after="120" w:line="240" w:lineRule="auto"/>
        <w:jc w:val="both"/>
      </w:pPr>
      <w:r w:rsidRPr="4F38F1BA">
        <w:rPr>
          <w:rFonts w:cs="Arial"/>
        </w:rPr>
        <w:t xml:space="preserve">Support </w:t>
      </w:r>
      <w:r w:rsidR="00252532">
        <w:t xml:space="preserve">activities </w:t>
      </w:r>
      <w:r w:rsidR="00B472C4">
        <w:t>such as</w:t>
      </w:r>
      <w:r w:rsidR="00252532">
        <w:t xml:space="preserve"> prepar</w:t>
      </w:r>
      <w:r w:rsidR="00B472C4">
        <w:t>ing templates, resources</w:t>
      </w:r>
      <w:r w:rsidR="001E6C77">
        <w:t>,</w:t>
      </w:r>
      <w:r w:rsidR="00B472C4">
        <w:t xml:space="preserve"> </w:t>
      </w:r>
      <w:proofErr w:type="gramStart"/>
      <w:r w:rsidR="00B472C4">
        <w:t>guidelines</w:t>
      </w:r>
      <w:proofErr w:type="gramEnd"/>
      <w:r w:rsidR="001E6C77">
        <w:t xml:space="preserve"> and</w:t>
      </w:r>
      <w:r w:rsidR="00B472C4">
        <w:t xml:space="preserve"> training</w:t>
      </w:r>
      <w:r w:rsidR="00252532">
        <w:t xml:space="preserve"> </w:t>
      </w:r>
      <w:r w:rsidR="02C87841">
        <w:t>which</w:t>
      </w:r>
      <w:r w:rsidR="7FD81F6D">
        <w:t xml:space="preserve"> </w:t>
      </w:r>
      <w:r w:rsidR="00B472C4">
        <w:t>develop</w:t>
      </w:r>
      <w:r w:rsidR="001E6C77">
        <w:t xml:space="preserve"> the</w:t>
      </w:r>
      <w:r w:rsidR="00B472C4">
        <w:t xml:space="preserve"> data analytics</w:t>
      </w:r>
      <w:r w:rsidR="00252532">
        <w:t xml:space="preserve"> capacity in the team and other stakeholders.</w:t>
      </w:r>
    </w:p>
    <w:p w14:paraId="001C37E3" w14:textId="77777777" w:rsidR="003927AE" w:rsidRPr="00614552" w:rsidRDefault="003927AE" w:rsidP="002257B1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14:paraId="042AE09E" w14:textId="3B04442C" w:rsidR="00F40378" w:rsidRDefault="00F40378" w:rsidP="002257B1">
      <w:pPr>
        <w:pStyle w:val="DefaultText"/>
        <w:numPr>
          <w:ilvl w:val="0"/>
          <w:numId w:val="12"/>
        </w:numPr>
        <w:tabs>
          <w:tab w:val="left" w:pos="0"/>
          <w:tab w:val="left" w:pos="1440"/>
          <w:tab w:val="left" w:pos="1814"/>
          <w:tab w:val="left" w:pos="2160"/>
          <w:tab w:val="left" w:pos="2880"/>
          <w:tab w:val="left" w:pos="31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 w:after="120"/>
        <w:rPr>
          <w:rFonts w:cs="Arial"/>
          <w:szCs w:val="22"/>
          <w:lang w:val="en-US" w:eastAsia="en-AU"/>
        </w:rPr>
      </w:pPr>
      <w:r w:rsidRPr="00F40378">
        <w:rPr>
          <w:rFonts w:cs="Arial"/>
          <w:szCs w:val="22"/>
          <w:lang w:val="en-US" w:eastAsia="en-AU"/>
        </w:rPr>
        <w:t xml:space="preserve">Use </w:t>
      </w:r>
      <w:r w:rsidR="00285831">
        <w:rPr>
          <w:rFonts w:cs="Arial"/>
          <w:szCs w:val="22"/>
          <w:lang w:val="en-US" w:eastAsia="en-AU"/>
        </w:rPr>
        <w:t>analytical judgment, initiative, and technical skill</w:t>
      </w:r>
      <w:r w:rsidRPr="00F40378">
        <w:rPr>
          <w:rFonts w:cs="Arial"/>
          <w:szCs w:val="22"/>
          <w:lang w:val="en-US" w:eastAsia="en-AU"/>
        </w:rPr>
        <w:t xml:space="preserve">s to create </w:t>
      </w:r>
      <w:r w:rsidR="00285831">
        <w:rPr>
          <w:rFonts w:cs="Arial"/>
          <w:szCs w:val="22"/>
          <w:lang w:val="en-US" w:eastAsia="en-AU"/>
        </w:rPr>
        <w:t>practical</w:t>
      </w:r>
      <w:r w:rsidR="00285831" w:rsidRPr="00F40378">
        <w:rPr>
          <w:rFonts w:cs="Arial"/>
          <w:szCs w:val="22"/>
          <w:lang w:val="en-US" w:eastAsia="en-AU"/>
        </w:rPr>
        <w:t xml:space="preserve"> </w:t>
      </w:r>
      <w:r w:rsidRPr="00F40378">
        <w:rPr>
          <w:rFonts w:cs="Arial"/>
          <w:szCs w:val="22"/>
          <w:lang w:val="en-US" w:eastAsia="en-AU"/>
        </w:rPr>
        <w:t xml:space="preserve">solutions, including </w:t>
      </w:r>
      <w:r>
        <w:rPr>
          <w:rFonts w:cs="Arial"/>
          <w:szCs w:val="22"/>
          <w:lang w:val="en-US" w:eastAsia="en-AU"/>
        </w:rPr>
        <w:t xml:space="preserve">managing </w:t>
      </w:r>
      <w:r w:rsidRPr="00F40378">
        <w:rPr>
          <w:rFonts w:cs="Arial"/>
          <w:szCs w:val="22"/>
          <w:lang w:val="en-US" w:eastAsia="en-AU"/>
        </w:rPr>
        <w:t>times when only incomplete information is available.</w:t>
      </w:r>
    </w:p>
    <w:p w14:paraId="23F1C6CF" w14:textId="186E7184" w:rsidR="00F40378" w:rsidRPr="00F40378" w:rsidRDefault="00F40378" w:rsidP="002257B1">
      <w:pPr>
        <w:pStyle w:val="DefaultText"/>
        <w:numPr>
          <w:ilvl w:val="0"/>
          <w:numId w:val="12"/>
        </w:numPr>
        <w:tabs>
          <w:tab w:val="left" w:pos="0"/>
          <w:tab w:val="left" w:pos="1440"/>
          <w:tab w:val="left" w:pos="1814"/>
          <w:tab w:val="left" w:pos="2160"/>
          <w:tab w:val="left" w:pos="2880"/>
          <w:tab w:val="left" w:pos="31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 w:after="120"/>
        <w:rPr>
          <w:rFonts w:cs="Arial"/>
          <w:szCs w:val="22"/>
          <w:lang w:val="en-US" w:eastAsia="en-AU"/>
        </w:rPr>
      </w:pPr>
      <w:r>
        <w:rPr>
          <w:rFonts w:cs="Arial"/>
          <w:szCs w:val="22"/>
          <w:lang w:val="en-US" w:eastAsia="en-AU"/>
        </w:rPr>
        <w:t>M</w:t>
      </w:r>
      <w:r w:rsidRPr="00F40378">
        <w:rPr>
          <w:rFonts w:cs="Arial"/>
          <w:szCs w:val="22"/>
          <w:lang w:val="en-US" w:eastAsia="en-AU"/>
        </w:rPr>
        <w:t>anage competing priorities and diverse project requirements to ensure a high standard of work is</w:t>
      </w:r>
      <w:r w:rsidR="00A3722E">
        <w:rPr>
          <w:rFonts w:cs="Arial"/>
          <w:szCs w:val="22"/>
          <w:lang w:val="en-US" w:eastAsia="en-AU"/>
        </w:rPr>
        <w:t xml:space="preserve"> </w:t>
      </w:r>
      <w:r w:rsidR="00C3033D">
        <w:rPr>
          <w:rFonts w:cs="Arial"/>
          <w:szCs w:val="22"/>
          <w:lang w:val="en-US" w:eastAsia="en-AU"/>
        </w:rPr>
        <w:t>maintained</w:t>
      </w:r>
      <w:r w:rsidR="00B24B39">
        <w:rPr>
          <w:rFonts w:cs="Arial"/>
          <w:szCs w:val="22"/>
          <w:lang w:val="en-US" w:eastAsia="en-AU"/>
        </w:rPr>
        <w:t>.</w:t>
      </w:r>
    </w:p>
    <w:p w14:paraId="5E017A21" w14:textId="5FA69F53" w:rsidR="003927AE" w:rsidRPr="00EC5C1D" w:rsidRDefault="003927AE" w:rsidP="002C0D7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t>Key relationships</w:t>
      </w:r>
    </w:p>
    <w:tbl>
      <w:tblPr>
        <w:tblW w:w="10547" w:type="dxa"/>
        <w:tblInd w:w="-57" w:type="dxa"/>
        <w:tblBorders>
          <w:top w:val="single" w:sz="8" w:space="0" w:color="auto"/>
          <w:bottom w:val="single" w:sz="8" w:space="0" w:color="BCBEC0"/>
          <w:insideH w:val="single" w:sz="8" w:space="0" w:color="BCBEC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6946"/>
      </w:tblGrid>
      <w:tr w:rsidR="00C7399B" w:rsidRPr="00026E81" w14:paraId="174B7357" w14:textId="77777777" w:rsidTr="000D51EC">
        <w:trPr>
          <w:cantSplit/>
          <w:tblHeader/>
        </w:trPr>
        <w:tc>
          <w:tcPr>
            <w:tcW w:w="3601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6D276A"/>
          </w:tcPr>
          <w:p w14:paraId="38B0D30C" w14:textId="77777777" w:rsidR="002C0D7E" w:rsidRPr="00026E81" w:rsidRDefault="002C0D7E" w:rsidP="002257B1">
            <w:pPr>
              <w:pStyle w:val="TableTextWhite0"/>
            </w:pPr>
            <w:r w:rsidRPr="00026E81">
              <w:t>Who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6D276A"/>
          </w:tcPr>
          <w:p w14:paraId="729D4ACC" w14:textId="77777777" w:rsidR="002C0D7E" w:rsidRPr="00026E81" w:rsidRDefault="002C0D7E" w:rsidP="002257B1">
            <w:pPr>
              <w:pStyle w:val="TableTextWhite0"/>
            </w:pPr>
            <w:r w:rsidRPr="00026E81">
              <w:t>Why</w:t>
            </w:r>
          </w:p>
        </w:tc>
      </w:tr>
      <w:tr w:rsidR="002C0D7E" w:rsidRPr="00026E81" w14:paraId="0D21C250" w14:textId="77777777" w:rsidTr="000D51EC">
        <w:trPr>
          <w:cantSplit/>
        </w:trPr>
        <w:tc>
          <w:tcPr>
            <w:tcW w:w="3601" w:type="dxa"/>
            <w:tcBorders>
              <w:top w:val="nil"/>
              <w:bottom w:val="nil"/>
            </w:tcBorders>
            <w:shd w:val="clear" w:color="auto" w:fill="BCBEC0"/>
          </w:tcPr>
          <w:p w14:paraId="44949491" w14:textId="77777777" w:rsidR="002C0D7E" w:rsidRPr="00026E81" w:rsidRDefault="002C0D7E" w:rsidP="002257B1">
            <w:pPr>
              <w:pStyle w:val="TableText"/>
              <w:keepNext/>
              <w:rPr>
                <w:b/>
              </w:rPr>
            </w:pPr>
            <w:bookmarkStart w:id="0" w:name="InternalRelationships"/>
            <w:r w:rsidRPr="00026E81">
              <w:rPr>
                <w:b/>
              </w:rPr>
              <w:t>Internal</w:t>
            </w: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BCBEC0"/>
          </w:tcPr>
          <w:p w14:paraId="13144EDA" w14:textId="77777777" w:rsidR="002C0D7E" w:rsidRPr="00026E81" w:rsidRDefault="002C0D7E" w:rsidP="002257B1">
            <w:pPr>
              <w:pStyle w:val="TableText"/>
              <w:keepNext/>
              <w:rPr>
                <w:b/>
              </w:rPr>
            </w:pPr>
          </w:p>
        </w:tc>
      </w:tr>
      <w:tr w:rsidR="002C0D7E" w:rsidRPr="00026E81" w14:paraId="3F0127DD" w14:textId="77777777" w:rsidTr="000D51EC">
        <w:tc>
          <w:tcPr>
            <w:tcW w:w="3601" w:type="dxa"/>
            <w:tcBorders>
              <w:top w:val="nil"/>
              <w:bottom w:val="nil"/>
            </w:tcBorders>
          </w:tcPr>
          <w:p w14:paraId="6328249E" w14:textId="41B26D68" w:rsidR="002C0D7E" w:rsidRPr="00026E81" w:rsidRDefault="00F40378" w:rsidP="002257B1">
            <w:pPr>
              <w:pStyle w:val="TableText"/>
            </w:pPr>
            <w:bookmarkStart w:id="1" w:name="Start"/>
            <w:bookmarkEnd w:id="1"/>
            <w:r>
              <w:t>Manager/Associate Director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14:paraId="0EC99777" w14:textId="099BE357" w:rsidR="006726D3" w:rsidRDefault="006726D3" w:rsidP="005C17BD">
            <w:pPr>
              <w:pStyle w:val="TableText"/>
              <w:spacing w:before="0" w:after="0"/>
            </w:pPr>
            <w:r>
              <w:t>Provide analysis and advice to contribute to decisions</w:t>
            </w:r>
            <w:r w:rsidR="00167147">
              <w:t xml:space="preserve"> and</w:t>
            </w:r>
            <w:r>
              <w:t xml:space="preserve"> identify emerging issues</w:t>
            </w:r>
            <w:r w:rsidR="0087582A">
              <w:t xml:space="preserve"> or risks </w:t>
            </w:r>
            <w:r w:rsidR="00167147">
              <w:t>with</w:t>
            </w:r>
            <w:r w:rsidR="0087582A">
              <w:t xml:space="preserve"> respect to government priorities, including Closing the Gap.</w:t>
            </w:r>
          </w:p>
          <w:p w14:paraId="1611AC06" w14:textId="3C6D3D4C" w:rsidR="002C0D7E" w:rsidRPr="00863CD4" w:rsidRDefault="006726D3" w:rsidP="005C17BD">
            <w:pPr>
              <w:pStyle w:val="TableText"/>
              <w:spacing w:after="0"/>
              <w:rPr>
                <w:rFonts w:cs="Arial"/>
                <w:lang w:val="en-US"/>
              </w:rPr>
            </w:pPr>
            <w:r>
              <w:t xml:space="preserve">Receive guidance and updates on key projects, </w:t>
            </w:r>
            <w:r w:rsidR="0087582A">
              <w:t>issues,</w:t>
            </w:r>
            <w:r>
              <w:t xml:space="preserve"> and priorities.</w:t>
            </w:r>
            <w:r w:rsidR="002C0D7E">
              <w:rPr>
                <w:rFonts w:cs="Arial"/>
                <w:lang w:val="en-US"/>
              </w:rPr>
              <w:t xml:space="preserve"> </w:t>
            </w:r>
          </w:p>
        </w:tc>
      </w:tr>
      <w:tr w:rsidR="002C0D7E" w:rsidRPr="00026E81" w14:paraId="45060927" w14:textId="77777777" w:rsidTr="000D51EC">
        <w:tc>
          <w:tcPr>
            <w:tcW w:w="3601" w:type="dxa"/>
            <w:tcBorders>
              <w:top w:val="nil"/>
              <w:bottom w:val="nil"/>
            </w:tcBorders>
          </w:tcPr>
          <w:p w14:paraId="2A632047" w14:textId="163C7B2D" w:rsidR="002C0D7E" w:rsidRPr="00026E81" w:rsidRDefault="00D02F57" w:rsidP="002257B1">
            <w:pPr>
              <w:pStyle w:val="TableText"/>
            </w:pPr>
            <w:r>
              <w:t>PIU Team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14:paraId="37DA1936" w14:textId="65F7A8E4" w:rsidR="002C0D7E" w:rsidRPr="00026E81" w:rsidRDefault="006726D3" w:rsidP="005C17BD">
            <w:pPr>
              <w:pStyle w:val="TableText"/>
              <w:spacing w:before="0" w:after="0"/>
            </w:pPr>
            <w:r>
              <w:t>Foster collaborative team-based work practices to ensure deliverables are met and PIU’s position is supported by evidence</w:t>
            </w:r>
            <w:r w:rsidR="0096304A">
              <w:t>.</w:t>
            </w:r>
          </w:p>
        </w:tc>
      </w:tr>
      <w:tr w:rsidR="02EB4A64" w14:paraId="25880BB7" w14:textId="77777777" w:rsidTr="02EB4A64">
        <w:tc>
          <w:tcPr>
            <w:tcW w:w="3601" w:type="dxa"/>
            <w:tcBorders>
              <w:top w:val="nil"/>
              <w:bottom w:val="nil"/>
            </w:tcBorders>
          </w:tcPr>
          <w:p w14:paraId="24961EE5" w14:textId="4F86E83A" w:rsidR="02EB4A64" w:rsidRDefault="02EB4A64" w:rsidP="02EB4A64">
            <w:pPr>
              <w:pStyle w:val="TableText"/>
              <w:rPr>
                <w:rFonts w:eastAsia="Calibri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14:paraId="0979EF13" w14:textId="1653E024" w:rsidR="02EB4A64" w:rsidRDefault="02EB4A64" w:rsidP="02EB4A64">
            <w:pPr>
              <w:pStyle w:val="TableText"/>
              <w:rPr>
                <w:rFonts w:eastAsia="Calibri"/>
              </w:rPr>
            </w:pPr>
          </w:p>
        </w:tc>
      </w:tr>
      <w:tr w:rsidR="002C0D7E" w:rsidRPr="00026E81" w14:paraId="29810B30" w14:textId="77777777" w:rsidTr="000D51EC">
        <w:tc>
          <w:tcPr>
            <w:tcW w:w="3601" w:type="dxa"/>
            <w:tcBorders>
              <w:top w:val="nil"/>
              <w:bottom w:val="nil"/>
            </w:tcBorders>
            <w:shd w:val="clear" w:color="auto" w:fill="BCBEC0"/>
          </w:tcPr>
          <w:p w14:paraId="139A0386" w14:textId="77777777" w:rsidR="002C0D7E" w:rsidRPr="00026E81" w:rsidRDefault="002C0D7E" w:rsidP="002257B1">
            <w:pPr>
              <w:pStyle w:val="TableText"/>
              <w:rPr>
                <w:b/>
              </w:rPr>
            </w:pPr>
            <w:bookmarkStart w:id="2" w:name="ExternalRelationships"/>
            <w:bookmarkEnd w:id="0"/>
            <w:r w:rsidRPr="00026E81">
              <w:rPr>
                <w:b/>
              </w:rPr>
              <w:t>External</w:t>
            </w: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BCBEC0"/>
          </w:tcPr>
          <w:p w14:paraId="1685E3CE" w14:textId="77777777" w:rsidR="002C0D7E" w:rsidRPr="00026E81" w:rsidRDefault="002C0D7E" w:rsidP="002257B1">
            <w:pPr>
              <w:pStyle w:val="TableText"/>
              <w:rPr>
                <w:b/>
              </w:rPr>
            </w:pPr>
          </w:p>
        </w:tc>
      </w:tr>
      <w:tr w:rsidR="002C0D7E" w:rsidRPr="00026E81" w14:paraId="345CBF3C" w14:textId="77777777" w:rsidTr="000D51EC">
        <w:tc>
          <w:tcPr>
            <w:tcW w:w="3601" w:type="dxa"/>
            <w:tcBorders>
              <w:top w:val="nil"/>
              <w:bottom w:val="nil"/>
            </w:tcBorders>
          </w:tcPr>
          <w:p w14:paraId="5696F080" w14:textId="7A0003AB" w:rsidR="002C0D7E" w:rsidRPr="00026E81" w:rsidRDefault="00CB2389" w:rsidP="002257B1">
            <w:pPr>
              <w:pStyle w:val="TableText"/>
            </w:pPr>
            <w:r>
              <w:t>Data Stakeholders across NSW Government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14:paraId="779543F3" w14:textId="243B5882" w:rsidR="002C0D7E" w:rsidRPr="00026E81" w:rsidRDefault="006726D3" w:rsidP="002257B1">
            <w:pPr>
              <w:pStyle w:val="TableText"/>
            </w:pPr>
            <w:r>
              <w:t>Maintain effective working relationships to achieve collaboration and communication</w:t>
            </w:r>
            <w:r w:rsidR="006757E1">
              <w:t xml:space="preserve"> to support the implementation of Closing</w:t>
            </w:r>
            <w:r w:rsidR="00167147">
              <w:t xml:space="preserve"> the Gap</w:t>
            </w:r>
            <w:r>
              <w:t xml:space="preserve">.  </w:t>
            </w:r>
          </w:p>
        </w:tc>
      </w:tr>
      <w:bookmarkEnd w:id="2"/>
    </w:tbl>
    <w:p w14:paraId="6F89BC96" w14:textId="77777777" w:rsidR="003927AE" w:rsidRDefault="003927AE" w:rsidP="003927AE"/>
    <w:p w14:paraId="1214A6A1" w14:textId="77777777" w:rsidR="003927AE" w:rsidRDefault="003927AE" w:rsidP="003927AE">
      <w:pPr>
        <w:pStyle w:val="Heading1"/>
        <w:rPr>
          <w:sz w:val="28"/>
        </w:rPr>
      </w:pPr>
      <w:r w:rsidRPr="00614552">
        <w:t>Role dimensions</w:t>
      </w:r>
    </w:p>
    <w:p w14:paraId="3D4923C3" w14:textId="77777777" w:rsidR="003927AE" w:rsidRPr="00614552" w:rsidRDefault="003927AE" w:rsidP="003927AE">
      <w:pPr>
        <w:pStyle w:val="Heading2"/>
      </w:pPr>
      <w:r w:rsidRPr="00614552">
        <w:t>Decision making</w:t>
      </w:r>
    </w:p>
    <w:p w14:paraId="597DB6B2" w14:textId="571B7717" w:rsidR="006726D3" w:rsidRPr="006726D3" w:rsidRDefault="006726D3" w:rsidP="006726D3">
      <w:pPr>
        <w:pStyle w:val="DefaultText"/>
        <w:numPr>
          <w:ilvl w:val="0"/>
          <w:numId w:val="12"/>
        </w:numPr>
        <w:tabs>
          <w:tab w:val="left" w:pos="0"/>
          <w:tab w:val="left" w:pos="1440"/>
          <w:tab w:val="left" w:pos="1814"/>
          <w:tab w:val="left" w:pos="2160"/>
          <w:tab w:val="left" w:pos="2880"/>
          <w:tab w:val="left" w:pos="31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 w:after="120"/>
        <w:rPr>
          <w:rFonts w:cs="Arial"/>
          <w:szCs w:val="22"/>
          <w:lang w:val="en-US" w:eastAsia="en-AU"/>
        </w:rPr>
      </w:pPr>
      <w:r w:rsidRPr="006726D3">
        <w:rPr>
          <w:rFonts w:cs="Arial"/>
          <w:szCs w:val="22"/>
          <w:lang w:val="en-US" w:eastAsia="en-AU"/>
        </w:rPr>
        <w:t>Manages the day</w:t>
      </w:r>
      <w:r>
        <w:rPr>
          <w:rFonts w:cs="Arial"/>
          <w:szCs w:val="22"/>
          <w:lang w:val="en-US" w:eastAsia="en-AU"/>
        </w:rPr>
        <w:t>-</w:t>
      </w:r>
      <w:r w:rsidRPr="006726D3">
        <w:rPr>
          <w:rFonts w:cs="Arial"/>
          <w:szCs w:val="22"/>
          <w:lang w:val="en-US" w:eastAsia="en-AU"/>
        </w:rPr>
        <w:t>to</w:t>
      </w:r>
      <w:r>
        <w:rPr>
          <w:rFonts w:cs="Arial"/>
          <w:szCs w:val="22"/>
          <w:lang w:val="en-US" w:eastAsia="en-AU"/>
        </w:rPr>
        <w:t>-</w:t>
      </w:r>
      <w:r w:rsidRPr="006726D3">
        <w:rPr>
          <w:rFonts w:cs="Arial"/>
          <w:szCs w:val="22"/>
          <w:lang w:val="en-US" w:eastAsia="en-AU"/>
        </w:rPr>
        <w:t>day workload independently within agreed work plans to develop metrics</w:t>
      </w:r>
      <w:r>
        <w:rPr>
          <w:rFonts w:cs="Arial"/>
          <w:szCs w:val="22"/>
          <w:lang w:val="en-US" w:eastAsia="en-AU"/>
        </w:rPr>
        <w:t xml:space="preserve"> </w:t>
      </w:r>
      <w:r w:rsidR="00167147">
        <w:rPr>
          <w:rFonts w:cs="Arial"/>
          <w:szCs w:val="22"/>
          <w:lang w:val="en-US" w:eastAsia="en-AU"/>
        </w:rPr>
        <w:t xml:space="preserve">and </w:t>
      </w:r>
      <w:r w:rsidRPr="006726D3">
        <w:rPr>
          <w:rFonts w:cs="Arial"/>
          <w:szCs w:val="22"/>
          <w:lang w:val="en-US" w:eastAsia="en-AU"/>
        </w:rPr>
        <w:t xml:space="preserve">undertake data analysis and modelling to support the </w:t>
      </w:r>
      <w:r w:rsidR="001B2784">
        <w:rPr>
          <w:rFonts w:cs="Arial"/>
          <w:szCs w:val="22"/>
          <w:lang w:val="en-US" w:eastAsia="en-AU"/>
        </w:rPr>
        <w:t>implementation of Closing the Gap</w:t>
      </w:r>
      <w:r w:rsidRPr="006726D3">
        <w:rPr>
          <w:rFonts w:cs="Arial"/>
          <w:szCs w:val="22"/>
          <w:lang w:val="en-US" w:eastAsia="en-AU"/>
        </w:rPr>
        <w:t>.</w:t>
      </w:r>
    </w:p>
    <w:p w14:paraId="063F316A" w14:textId="53B480F9" w:rsidR="006726D3" w:rsidRDefault="006726D3" w:rsidP="002257B1">
      <w:pPr>
        <w:pStyle w:val="DefaultText"/>
        <w:numPr>
          <w:ilvl w:val="0"/>
          <w:numId w:val="12"/>
        </w:numPr>
        <w:tabs>
          <w:tab w:val="left" w:pos="0"/>
          <w:tab w:val="left" w:pos="1440"/>
          <w:tab w:val="left" w:pos="1814"/>
          <w:tab w:val="left" w:pos="2160"/>
          <w:tab w:val="left" w:pos="2880"/>
          <w:tab w:val="left" w:pos="31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 w:after="120"/>
        <w:rPr>
          <w:rFonts w:cs="Arial"/>
          <w:szCs w:val="22"/>
          <w:lang w:val="en-US" w:eastAsia="en-AU"/>
        </w:rPr>
      </w:pPr>
      <w:r w:rsidRPr="006726D3">
        <w:rPr>
          <w:rFonts w:cs="Arial"/>
          <w:szCs w:val="22"/>
          <w:lang w:val="en-US" w:eastAsia="en-AU"/>
        </w:rPr>
        <w:t xml:space="preserve">Refers to a supervisor any decisions that have </w:t>
      </w:r>
      <w:r w:rsidR="001F23E9" w:rsidRPr="006726D3">
        <w:rPr>
          <w:rFonts w:cs="Arial"/>
          <w:szCs w:val="22"/>
          <w:lang w:val="en-US" w:eastAsia="en-AU"/>
        </w:rPr>
        <w:t>wide</w:t>
      </w:r>
      <w:r w:rsidR="001F23E9">
        <w:rPr>
          <w:rFonts w:cs="Arial"/>
          <w:szCs w:val="22"/>
          <w:lang w:val="en-US" w:eastAsia="en-AU"/>
        </w:rPr>
        <w:t>-</w:t>
      </w:r>
      <w:r w:rsidRPr="006726D3">
        <w:rPr>
          <w:rFonts w:cs="Arial"/>
          <w:szCs w:val="22"/>
          <w:lang w:val="en-US" w:eastAsia="en-AU"/>
        </w:rPr>
        <w:t>reaching implications, are contentious and likely to have an impact on stakeholders, and decisions that require significant change to project outcomes or timeframes</w:t>
      </w:r>
      <w:r w:rsidR="00B24B39">
        <w:rPr>
          <w:rFonts w:cs="Arial"/>
          <w:szCs w:val="22"/>
          <w:lang w:val="en-US" w:eastAsia="en-AU"/>
        </w:rPr>
        <w:t>.</w:t>
      </w:r>
    </w:p>
    <w:p w14:paraId="473A0C5F" w14:textId="3446A0F5" w:rsidR="006726D3" w:rsidRDefault="006726D3" w:rsidP="4F38F1BA">
      <w:pPr>
        <w:pStyle w:val="DefaultText"/>
        <w:numPr>
          <w:ilvl w:val="0"/>
          <w:numId w:val="12"/>
        </w:numPr>
        <w:tabs>
          <w:tab w:val="left" w:pos="1440"/>
          <w:tab w:val="left" w:pos="1814"/>
          <w:tab w:val="left" w:pos="2160"/>
          <w:tab w:val="left" w:pos="2880"/>
          <w:tab w:val="left" w:pos="31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 w:after="120"/>
        <w:rPr>
          <w:rFonts w:cs="Arial"/>
          <w:lang w:val="en-US" w:eastAsia="en-AU"/>
        </w:rPr>
      </w:pPr>
      <w:r w:rsidRPr="4F38F1BA">
        <w:rPr>
          <w:rFonts w:cs="Arial"/>
          <w:lang w:val="en-US" w:eastAsia="en-AU"/>
        </w:rPr>
        <w:t xml:space="preserve">Submits high-quality reports, analyses, briefings, correspondence, </w:t>
      </w:r>
      <w:proofErr w:type="gramStart"/>
      <w:r w:rsidRPr="4F38F1BA">
        <w:rPr>
          <w:rFonts w:cs="Arial"/>
          <w:lang w:val="en-US" w:eastAsia="en-AU"/>
        </w:rPr>
        <w:t>speeches</w:t>
      </w:r>
      <w:proofErr w:type="gramEnd"/>
      <w:r w:rsidRPr="4F38F1BA">
        <w:rPr>
          <w:rFonts w:cs="Arial"/>
          <w:lang w:val="en-US" w:eastAsia="en-AU"/>
        </w:rPr>
        <w:t xml:space="preserve"> and other written material in a </w:t>
      </w:r>
      <w:r w:rsidR="00EE30A3" w:rsidRPr="4F38F1BA">
        <w:rPr>
          <w:rFonts w:cs="Arial"/>
          <w:lang w:val="en-US" w:eastAsia="en-AU"/>
        </w:rPr>
        <w:t>timely manner</w:t>
      </w:r>
      <w:r w:rsidR="00BC66CC" w:rsidRPr="4F38F1BA">
        <w:rPr>
          <w:rFonts w:cs="Arial"/>
          <w:lang w:val="en-US" w:eastAsia="en-AU"/>
        </w:rPr>
        <w:t>.</w:t>
      </w:r>
    </w:p>
    <w:p w14:paraId="670E010B" w14:textId="77777777" w:rsidR="0047295B" w:rsidRDefault="0047295B" w:rsidP="0047295B">
      <w:r>
        <w:t>Decisions that are referred to a supervisor include:</w:t>
      </w:r>
    </w:p>
    <w:p w14:paraId="1F4AF93C" w14:textId="77777777" w:rsidR="0047295B" w:rsidRPr="00AD08FA" w:rsidRDefault="0047295B" w:rsidP="0047295B">
      <w:pPr>
        <w:pStyle w:val="ListParagraph"/>
        <w:numPr>
          <w:ilvl w:val="0"/>
          <w:numId w:val="12"/>
        </w:numPr>
        <w:rPr>
          <w:rFonts w:cs="Arial"/>
          <w:szCs w:val="26"/>
        </w:rPr>
      </w:pPr>
      <w:r>
        <w:t>Any decision that will substantially alter the outcomes or timeframe of agreed workplans.</w:t>
      </w:r>
    </w:p>
    <w:p w14:paraId="1A483E67" w14:textId="77777777" w:rsidR="0047295B" w:rsidRPr="00AD08FA" w:rsidRDefault="0047295B" w:rsidP="0047295B">
      <w:pPr>
        <w:pStyle w:val="ListParagraph"/>
        <w:numPr>
          <w:ilvl w:val="0"/>
          <w:numId w:val="12"/>
        </w:numPr>
        <w:rPr>
          <w:rFonts w:cs="Arial"/>
          <w:szCs w:val="26"/>
        </w:rPr>
      </w:pPr>
      <w:r>
        <w:t xml:space="preserve">Any major conflicts or policy issues that arise </w:t>
      </w:r>
      <w:proofErr w:type="gramStart"/>
      <w:r>
        <w:t>in the course of</w:t>
      </w:r>
      <w:proofErr w:type="gramEnd"/>
      <w:r>
        <w:t xml:space="preserve"> such interaction</w:t>
      </w:r>
    </w:p>
    <w:p w14:paraId="608EB375" w14:textId="77777777" w:rsidR="0047295B" w:rsidRPr="00AD08FA" w:rsidRDefault="0047295B" w:rsidP="0047295B">
      <w:pPr>
        <w:pStyle w:val="ListParagraph"/>
        <w:numPr>
          <w:ilvl w:val="0"/>
          <w:numId w:val="12"/>
        </w:numPr>
        <w:rPr>
          <w:rFonts w:cs="Arial"/>
          <w:szCs w:val="26"/>
        </w:rPr>
      </w:pPr>
      <w:r>
        <w:t>Matters requiring a higher delegated authority such as approval for expenditure and travel.</w:t>
      </w:r>
    </w:p>
    <w:p w14:paraId="1499B052" w14:textId="4692420F" w:rsidR="0047295B" w:rsidRPr="0047295B" w:rsidRDefault="0047295B" w:rsidP="0047295B">
      <w:pPr>
        <w:pStyle w:val="ListParagraph"/>
        <w:numPr>
          <w:ilvl w:val="0"/>
          <w:numId w:val="12"/>
        </w:numPr>
        <w:rPr>
          <w:rFonts w:cs="Arial"/>
          <w:szCs w:val="26"/>
        </w:rPr>
      </w:pPr>
      <w:r>
        <w:t>Matters requiring submission to the Secretary, Premier or Minister’s Office.</w:t>
      </w:r>
    </w:p>
    <w:p w14:paraId="71DF9449" w14:textId="77777777" w:rsidR="0047295B" w:rsidRDefault="0047295B" w:rsidP="006726D3">
      <w:pPr>
        <w:pStyle w:val="Heading2"/>
      </w:pPr>
    </w:p>
    <w:p w14:paraId="75E98C9D" w14:textId="5646B6CC" w:rsidR="002C0D7E" w:rsidRDefault="002C0D7E" w:rsidP="006726D3">
      <w:pPr>
        <w:pStyle w:val="Heading2"/>
      </w:pPr>
      <w:r w:rsidRPr="00C978B9">
        <w:t>Reporting line</w:t>
      </w:r>
    </w:p>
    <w:p w14:paraId="0A58E4D8" w14:textId="1B36D7F0" w:rsidR="0096304A" w:rsidRDefault="002C0D7E" w:rsidP="0047295B">
      <w:pPr>
        <w:pStyle w:val="Heading2"/>
        <w:rPr>
          <w:rStyle w:val="Heading1Char"/>
        </w:rPr>
      </w:pPr>
      <w:bookmarkStart w:id="3" w:name="ReportingLine"/>
      <w:bookmarkEnd w:id="3"/>
      <w:r w:rsidRPr="000D51EC">
        <w:rPr>
          <w:b w:val="0"/>
          <w:bCs w:val="0"/>
          <w:color w:val="auto"/>
          <w:sz w:val="22"/>
          <w:szCs w:val="22"/>
        </w:rPr>
        <w:t xml:space="preserve">The </w:t>
      </w:r>
      <w:r w:rsidR="001F7DED">
        <w:rPr>
          <w:b w:val="0"/>
          <w:bCs w:val="0"/>
          <w:color w:val="auto"/>
          <w:sz w:val="22"/>
          <w:szCs w:val="22"/>
        </w:rPr>
        <w:t>Senior Analyst – Closing the Gap</w:t>
      </w:r>
      <w:r w:rsidRPr="000D51EC">
        <w:rPr>
          <w:b w:val="0"/>
          <w:bCs w:val="0"/>
          <w:color w:val="auto"/>
          <w:sz w:val="22"/>
          <w:szCs w:val="22"/>
        </w:rPr>
        <w:t xml:space="preserve"> reports to the</w:t>
      </w:r>
      <w:r w:rsidR="001E6C77">
        <w:rPr>
          <w:b w:val="0"/>
          <w:bCs w:val="0"/>
          <w:color w:val="auto"/>
          <w:sz w:val="22"/>
          <w:szCs w:val="22"/>
        </w:rPr>
        <w:t xml:space="preserve"> </w:t>
      </w:r>
      <w:r w:rsidR="00D0359E">
        <w:rPr>
          <w:b w:val="0"/>
          <w:bCs w:val="0"/>
          <w:color w:val="auto"/>
          <w:sz w:val="22"/>
          <w:szCs w:val="22"/>
        </w:rPr>
        <w:t>Associate Director, PIU (or equivalent role)</w:t>
      </w:r>
      <w:r w:rsidR="001F7DED">
        <w:rPr>
          <w:b w:val="0"/>
          <w:bCs w:val="0"/>
          <w:color w:val="auto"/>
          <w:sz w:val="22"/>
          <w:szCs w:val="22"/>
        </w:rPr>
        <w:t>.</w:t>
      </w:r>
    </w:p>
    <w:p w14:paraId="66A3105A" w14:textId="27412C9A" w:rsidR="006726D3" w:rsidRDefault="0089033C" w:rsidP="003927AE">
      <w:pPr>
        <w:tabs>
          <w:tab w:val="left" w:pos="2925"/>
        </w:tabs>
        <w:rPr>
          <w:rStyle w:val="Heading1Char"/>
        </w:rPr>
      </w:pPr>
      <w:r>
        <w:rPr>
          <w:rStyle w:val="Heading1Char"/>
        </w:rPr>
        <w:t>Key Knowledge and Experience</w:t>
      </w:r>
    </w:p>
    <w:p w14:paraId="2A6D043C" w14:textId="1A65E52F" w:rsidR="00E349B1" w:rsidRDefault="00E349B1" w:rsidP="00E349B1">
      <w:pPr>
        <w:pStyle w:val="ListBullet"/>
        <w:numPr>
          <w:ilvl w:val="0"/>
          <w:numId w:val="11"/>
        </w:numPr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Demonstrated proficiency in data analysis and reporting (including data </w:t>
      </w:r>
      <w:proofErr w:type="spellStart"/>
      <w:r>
        <w:rPr>
          <w:rFonts w:ascii="Arial" w:hAnsi="Arial" w:cs="Arial"/>
          <w:lang w:val="en-US"/>
        </w:rPr>
        <w:t>visualisation</w:t>
      </w:r>
      <w:proofErr w:type="spellEnd"/>
      <w:r>
        <w:rPr>
          <w:rFonts w:ascii="Arial" w:hAnsi="Arial" w:cs="Arial"/>
          <w:lang w:val="en-US"/>
        </w:rPr>
        <w:t>)</w:t>
      </w:r>
    </w:p>
    <w:p w14:paraId="52160401" w14:textId="41E39EDA" w:rsidR="00392764" w:rsidRPr="00392764" w:rsidRDefault="00392764" w:rsidP="00392764">
      <w:pPr>
        <w:pStyle w:val="ListBullet"/>
        <w:numPr>
          <w:ilvl w:val="0"/>
          <w:numId w:val="11"/>
        </w:numPr>
        <w:spacing w:before="120" w:after="120"/>
        <w:rPr>
          <w:rFonts w:ascii="Arial" w:hAnsi="Arial" w:cs="Arial"/>
          <w:lang w:val="en-US"/>
        </w:rPr>
      </w:pPr>
      <w:r w:rsidRPr="008A4019">
        <w:rPr>
          <w:rFonts w:ascii="Arial" w:hAnsi="Arial" w:cs="Arial"/>
          <w:lang w:val="en-US"/>
        </w:rPr>
        <w:t>Demonstrated ability to communicate sensitively and effectively with</w:t>
      </w:r>
      <w:r>
        <w:rPr>
          <w:rFonts w:ascii="Arial" w:hAnsi="Arial" w:cs="Arial"/>
          <w:lang w:val="en-US"/>
        </w:rPr>
        <w:t>, and understand issues impacting</w:t>
      </w:r>
      <w:r w:rsidRPr="008A401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on, </w:t>
      </w:r>
      <w:r w:rsidRPr="008A4019">
        <w:rPr>
          <w:rFonts w:ascii="Arial" w:hAnsi="Arial" w:cs="Arial"/>
          <w:lang w:val="en-US"/>
        </w:rPr>
        <w:t>Aboriginal and Torres Strait Islander peoples.</w:t>
      </w:r>
    </w:p>
    <w:p w14:paraId="5358064B" w14:textId="403BDA90" w:rsidR="003927AE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Essential requirements</w:t>
      </w:r>
    </w:p>
    <w:p w14:paraId="0FAC1E2B" w14:textId="3C52FF8A" w:rsidR="008A4019" w:rsidRDefault="001E6C77" w:rsidP="008A4019">
      <w:pPr>
        <w:pStyle w:val="ListBullet"/>
        <w:numPr>
          <w:ilvl w:val="0"/>
          <w:numId w:val="11"/>
        </w:numPr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</w:t>
      </w:r>
      <w:r w:rsidR="008A4019" w:rsidRPr="008A4019">
        <w:rPr>
          <w:rFonts w:ascii="Arial" w:hAnsi="Arial" w:cs="Arial"/>
          <w:lang w:val="en-US"/>
        </w:rPr>
        <w:t>ualification</w:t>
      </w:r>
      <w:r>
        <w:rPr>
          <w:rFonts w:ascii="Arial" w:hAnsi="Arial" w:cs="Arial"/>
          <w:lang w:val="en-US"/>
        </w:rPr>
        <w:t xml:space="preserve"> or experience</w:t>
      </w:r>
      <w:r w:rsidR="008A4019" w:rsidRPr="008A4019">
        <w:rPr>
          <w:rFonts w:ascii="Arial" w:hAnsi="Arial" w:cs="Arial"/>
          <w:lang w:val="en-US"/>
        </w:rPr>
        <w:t xml:space="preserve"> in a related field such as economics, psychology, mathematics, </w:t>
      </w:r>
      <w:r w:rsidR="001F7DED" w:rsidRPr="008A4019">
        <w:rPr>
          <w:rFonts w:ascii="Arial" w:hAnsi="Arial" w:cs="Arial"/>
          <w:lang w:val="en-US"/>
        </w:rPr>
        <w:t>statistics,</w:t>
      </w:r>
      <w:r w:rsidR="008A4019" w:rsidRPr="008A4019">
        <w:rPr>
          <w:rFonts w:ascii="Arial" w:hAnsi="Arial" w:cs="Arial"/>
          <w:lang w:val="en-US"/>
        </w:rPr>
        <w:t xml:space="preserve"> or other field undertaking significant statistical analysis or equivalent experience.</w:t>
      </w:r>
    </w:p>
    <w:p w14:paraId="6C1B964B" w14:textId="60565D41" w:rsidR="003927AE" w:rsidRPr="00C978B9" w:rsidRDefault="003927AE" w:rsidP="003927AE">
      <w:pPr>
        <w:pStyle w:val="Heading1"/>
      </w:pPr>
      <w:r w:rsidRPr="00C978B9">
        <w:t>Capabilities for the role</w:t>
      </w:r>
    </w:p>
    <w:p w14:paraId="7961A1AB" w14:textId="77777777" w:rsidR="003927AE" w:rsidRPr="00175AAF" w:rsidRDefault="003927AE" w:rsidP="003927AE">
      <w:r w:rsidRPr="008A4019">
        <w:t xml:space="preserve">The </w:t>
      </w:r>
      <w:hyperlink r:id="rId14" w:history="1">
        <w:r w:rsidRPr="008A4019">
          <w:rPr>
            <w:rStyle w:val="Hyperlink"/>
            <w:sz w:val="22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proofErr w:type="gramStart"/>
      <w:r w:rsidRPr="00175AAF">
        <w:t>results</w:t>
      </w:r>
      <w:proofErr w:type="gramEnd"/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31842903" w14:textId="163DB36D"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14:paraId="362636BA" w14:textId="2ED58952" w:rsidR="003927AE" w:rsidRPr="00C978B9" w:rsidRDefault="003927AE" w:rsidP="003927AE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14:paraId="730E40DA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04DAEFBF" w14:textId="77777777"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>The focus capabilities for this role are shown below with a brief explanation of what each capability covers and the indicators describing the types of behaviours</w:t>
      </w:r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14:paraId="5E2C324D" w14:textId="77777777" w:rsidR="00BB12E9" w:rsidRPr="00BB12E9" w:rsidRDefault="00BB12E9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7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989"/>
        <w:gridCol w:w="4819"/>
        <w:gridCol w:w="1559"/>
      </w:tblGrid>
      <w:tr w:rsidR="003927AE" w:rsidRPr="00803E47" w14:paraId="70FE1A3E" w14:textId="77777777" w:rsidTr="4F38F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73" w:type="dxa"/>
            <w:gridSpan w:val="4"/>
          </w:tcPr>
          <w:p w14:paraId="60928B7D" w14:textId="77777777" w:rsidR="003927AE" w:rsidRPr="00803E47" w:rsidRDefault="003927AE" w:rsidP="00375335">
            <w:pPr>
              <w:pStyle w:val="TableTextWhite0"/>
              <w:keepNext/>
              <w:ind w:right="142"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A11071" w:rsidRPr="00C978B9" w14:paraId="0AA19160" w14:textId="77777777" w:rsidTr="4F38F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5F41A293" w14:textId="77777777" w:rsidR="00A11071" w:rsidRPr="00C978B9" w:rsidRDefault="00A11071" w:rsidP="00375335">
            <w:pPr>
              <w:pStyle w:val="TableText"/>
              <w:keepNext/>
              <w:ind w:right="142"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989" w:type="dxa"/>
            <w:tcBorders>
              <w:bottom w:val="single" w:sz="12" w:space="0" w:color="auto"/>
            </w:tcBorders>
            <w:shd w:val="clear" w:color="auto" w:fill="BCBEC0"/>
          </w:tcPr>
          <w:p w14:paraId="7406CA86" w14:textId="77777777" w:rsidR="00A11071" w:rsidRPr="00C978B9" w:rsidRDefault="00A11071" w:rsidP="00375335">
            <w:pPr>
              <w:pStyle w:val="TableText"/>
              <w:keepNext/>
              <w:ind w:right="142"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BCBEC0"/>
          </w:tcPr>
          <w:p w14:paraId="30B8B866" w14:textId="77777777" w:rsidR="00A11071" w:rsidRDefault="00A11071" w:rsidP="00375335">
            <w:pPr>
              <w:pStyle w:val="TableText"/>
              <w:keepNext/>
              <w:ind w:right="142"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CBEC0"/>
          </w:tcPr>
          <w:p w14:paraId="3986FCEB" w14:textId="77777777" w:rsidR="00A11071" w:rsidRDefault="00A11071" w:rsidP="00375335">
            <w:pPr>
              <w:pStyle w:val="TableText"/>
              <w:keepNext/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020D74" w:rsidRPr="00C978B9" w14:paraId="08DA43B3" w14:textId="77777777" w:rsidTr="00792923">
        <w:tc>
          <w:tcPr>
            <w:tcW w:w="1406" w:type="dxa"/>
            <w:tcBorders>
              <w:bottom w:val="nil"/>
            </w:tcBorders>
          </w:tcPr>
          <w:p w14:paraId="499E7F8C" w14:textId="77777777" w:rsidR="00020D74" w:rsidRPr="00C978B9" w:rsidRDefault="00020D74" w:rsidP="00375335">
            <w:pPr>
              <w:keepNext/>
              <w:ind w:right="142"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9FBDB37" wp14:editId="2E15C132">
                  <wp:extent cx="848995" cy="848995"/>
                  <wp:effectExtent l="0" t="0" r="8255" b="8255"/>
                  <wp:docPr id="11" name="personal-attrib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tcBorders>
              <w:bottom w:val="single" w:sz="4" w:space="0" w:color="BCBEC0"/>
            </w:tcBorders>
          </w:tcPr>
          <w:p w14:paraId="2FE866E1" w14:textId="77777777" w:rsidR="00020D74" w:rsidRPr="00367FBD" w:rsidRDefault="00020D74" w:rsidP="0036462D">
            <w:pPr>
              <w:pStyle w:val="TableText"/>
              <w:keepNext/>
              <w:ind w:right="142"/>
              <w:rPr>
                <w:b/>
                <w:sz w:val="22"/>
                <w:szCs w:val="22"/>
              </w:rPr>
            </w:pPr>
            <w:r w:rsidRPr="00367FBD">
              <w:rPr>
                <w:b/>
                <w:sz w:val="22"/>
                <w:szCs w:val="22"/>
              </w:rPr>
              <w:t>Act with Integrity</w:t>
            </w:r>
          </w:p>
          <w:p w14:paraId="0F04555B" w14:textId="01BF8CB3" w:rsidR="00020D74" w:rsidRPr="00367FBD" w:rsidRDefault="00020D74" w:rsidP="00375335">
            <w:pPr>
              <w:pStyle w:val="TableText"/>
              <w:keepNext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Be ethical and professional, and uphold and promote the public sector values</w:t>
            </w:r>
          </w:p>
        </w:tc>
        <w:tc>
          <w:tcPr>
            <w:tcW w:w="4819" w:type="dxa"/>
            <w:tcBorders>
              <w:bottom w:val="single" w:sz="4" w:space="0" w:color="BCBEC0"/>
            </w:tcBorders>
          </w:tcPr>
          <w:p w14:paraId="2C856307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 xml:space="preserve">Represent the organisation in an honest, </w:t>
            </w:r>
            <w:proofErr w:type="gramStart"/>
            <w:r w:rsidRPr="00367FBD">
              <w:rPr>
                <w:sz w:val="22"/>
                <w:szCs w:val="22"/>
              </w:rPr>
              <w:t>ethical</w:t>
            </w:r>
            <w:proofErr w:type="gramEnd"/>
            <w:r w:rsidRPr="00367FBD">
              <w:rPr>
                <w:sz w:val="22"/>
                <w:szCs w:val="22"/>
              </w:rPr>
              <w:t xml:space="preserve"> and professional way and encourage others to do so</w:t>
            </w:r>
          </w:p>
          <w:p w14:paraId="1434DFA3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Act professionally and support a culture of integrity</w:t>
            </w:r>
          </w:p>
          <w:p w14:paraId="4B741D65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Identify and explain ethical issues and set an example for others to follow</w:t>
            </w:r>
          </w:p>
          <w:p w14:paraId="409899D6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Ensure that others are aware of and understand the legislation and policy framework within which they operate</w:t>
            </w:r>
          </w:p>
          <w:p w14:paraId="5D9EB515" w14:textId="7BC2C1F8" w:rsidR="000837B6" w:rsidRPr="00367FBD" w:rsidRDefault="00020D74" w:rsidP="000837B6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Act to prevent and report misconduct and illegal and inappropriate behaviour</w:t>
            </w:r>
          </w:p>
        </w:tc>
        <w:tc>
          <w:tcPr>
            <w:tcW w:w="1559" w:type="dxa"/>
            <w:tcBorders>
              <w:bottom w:val="single" w:sz="4" w:space="0" w:color="BCBEC0"/>
            </w:tcBorders>
          </w:tcPr>
          <w:p w14:paraId="2C95C604" w14:textId="2D2CE507" w:rsidR="00020D74" w:rsidRPr="00367FBD" w:rsidRDefault="00020D74" w:rsidP="00375335">
            <w:pPr>
              <w:pStyle w:val="TableBullet"/>
              <w:numPr>
                <w:ilvl w:val="0"/>
                <w:numId w:val="0"/>
              </w:numPr>
              <w:ind w:right="142"/>
              <w:jc w:val="both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Adept</w:t>
            </w:r>
          </w:p>
        </w:tc>
      </w:tr>
      <w:tr w:rsidR="00792923" w:rsidRPr="00C978B9" w14:paraId="2235193D" w14:textId="77777777" w:rsidTr="00792923">
        <w:tc>
          <w:tcPr>
            <w:tcW w:w="1406" w:type="dxa"/>
            <w:tcBorders>
              <w:top w:val="nil"/>
              <w:bottom w:val="single" w:sz="8" w:space="0" w:color="BFBFBF" w:themeColor="background1" w:themeShade="BF"/>
            </w:tcBorders>
          </w:tcPr>
          <w:p w14:paraId="62B23041" w14:textId="77777777" w:rsidR="00792923" w:rsidRPr="00C978B9" w:rsidRDefault="00792923" w:rsidP="00375335">
            <w:pPr>
              <w:keepNext/>
              <w:ind w:right="142"/>
              <w:rPr>
                <w:noProof/>
                <w:lang w:eastAsia="en-AU"/>
              </w:rPr>
            </w:pPr>
          </w:p>
        </w:tc>
        <w:tc>
          <w:tcPr>
            <w:tcW w:w="2989" w:type="dxa"/>
            <w:tcBorders>
              <w:bottom w:val="single" w:sz="4" w:space="0" w:color="BCBEC0"/>
            </w:tcBorders>
          </w:tcPr>
          <w:p w14:paraId="7DB5FEF2" w14:textId="77777777" w:rsidR="00792923" w:rsidRPr="00367FBD" w:rsidRDefault="00792923" w:rsidP="00792923">
            <w:pPr>
              <w:pStyle w:val="TableText"/>
              <w:keepNext/>
              <w:rPr>
                <w:b/>
                <w:sz w:val="22"/>
                <w:szCs w:val="22"/>
              </w:rPr>
            </w:pPr>
            <w:r w:rsidRPr="00367FBD">
              <w:rPr>
                <w:b/>
                <w:sz w:val="22"/>
                <w:szCs w:val="22"/>
              </w:rPr>
              <w:t>Value Diversity and Inclusion</w:t>
            </w:r>
          </w:p>
          <w:p w14:paraId="68F21C48" w14:textId="4A028EE9" w:rsidR="00792923" w:rsidRPr="00367FBD" w:rsidRDefault="00792923" w:rsidP="00792923">
            <w:pPr>
              <w:pStyle w:val="TableText"/>
              <w:keepNext/>
              <w:ind w:right="142"/>
              <w:rPr>
                <w:b/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 xml:space="preserve">Demonstrate inclusive behaviour and show respect for diverse backgrounds, </w:t>
            </w:r>
            <w:proofErr w:type="gramStart"/>
            <w:r w:rsidRPr="00367FBD">
              <w:rPr>
                <w:sz w:val="22"/>
                <w:szCs w:val="22"/>
              </w:rPr>
              <w:t>experiences</w:t>
            </w:r>
            <w:proofErr w:type="gramEnd"/>
            <w:r w:rsidRPr="00367FBD">
              <w:rPr>
                <w:sz w:val="22"/>
                <w:szCs w:val="22"/>
              </w:rPr>
              <w:t xml:space="preserve"> and perspectives</w:t>
            </w:r>
          </w:p>
        </w:tc>
        <w:tc>
          <w:tcPr>
            <w:tcW w:w="4819" w:type="dxa"/>
            <w:tcBorders>
              <w:bottom w:val="single" w:sz="4" w:space="0" w:color="BCBEC0"/>
            </w:tcBorders>
          </w:tcPr>
          <w:p w14:paraId="495FB55B" w14:textId="77777777" w:rsidR="00792923" w:rsidRPr="00367FBD" w:rsidRDefault="00792923" w:rsidP="00792923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 xml:space="preserve">Promote the value of diversity and inclusive practices for the organisation, </w:t>
            </w:r>
            <w:proofErr w:type="gramStart"/>
            <w:r w:rsidRPr="00367FBD">
              <w:rPr>
                <w:sz w:val="22"/>
                <w:szCs w:val="22"/>
              </w:rPr>
              <w:t>customers</w:t>
            </w:r>
            <w:proofErr w:type="gramEnd"/>
            <w:r w:rsidRPr="00367FBD">
              <w:rPr>
                <w:sz w:val="22"/>
                <w:szCs w:val="22"/>
              </w:rPr>
              <w:t xml:space="preserve"> and stakeholders</w:t>
            </w:r>
          </w:p>
          <w:p w14:paraId="77BD4071" w14:textId="77777777" w:rsidR="00792923" w:rsidRPr="00367FBD" w:rsidRDefault="00792923" w:rsidP="00792923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Demonstrate cultural sensitivity, and engage with and integrate the views of others</w:t>
            </w:r>
          </w:p>
          <w:p w14:paraId="325E2DD5" w14:textId="77777777" w:rsidR="00792923" w:rsidRPr="00367FBD" w:rsidRDefault="00792923" w:rsidP="00792923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 xml:space="preserve">Look for practical ways to resolve any barriers to including people from diverse cultures, </w:t>
            </w:r>
            <w:proofErr w:type="gramStart"/>
            <w:r w:rsidRPr="00367FBD">
              <w:rPr>
                <w:sz w:val="22"/>
                <w:szCs w:val="22"/>
              </w:rPr>
              <w:t>backgrounds</w:t>
            </w:r>
            <w:proofErr w:type="gramEnd"/>
            <w:r w:rsidRPr="00367FBD">
              <w:rPr>
                <w:sz w:val="22"/>
                <w:szCs w:val="22"/>
              </w:rPr>
              <w:t xml:space="preserve"> and experiences</w:t>
            </w:r>
          </w:p>
          <w:p w14:paraId="621104BE" w14:textId="77777777" w:rsidR="00792923" w:rsidRPr="00367FBD" w:rsidRDefault="00792923" w:rsidP="00792923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Recognise and adapt to individual abilities, differences and working styles</w:t>
            </w:r>
          </w:p>
          <w:p w14:paraId="41EFC7FD" w14:textId="77777777" w:rsidR="00792923" w:rsidRPr="00367FBD" w:rsidRDefault="00792923" w:rsidP="00792923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Support initiatives that create a safe and equitable workplace and culture in which differences are valued</w:t>
            </w:r>
          </w:p>
          <w:p w14:paraId="2B33DADD" w14:textId="6F46EBF6" w:rsidR="000837B6" w:rsidRPr="00367FBD" w:rsidRDefault="00792923" w:rsidP="000837B6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Recognise and manage bias in interactions and decision making</w:t>
            </w:r>
          </w:p>
        </w:tc>
        <w:tc>
          <w:tcPr>
            <w:tcW w:w="1559" w:type="dxa"/>
            <w:tcBorders>
              <w:bottom w:val="single" w:sz="4" w:space="0" w:color="BCBEC0"/>
            </w:tcBorders>
          </w:tcPr>
          <w:p w14:paraId="7F60088E" w14:textId="50C4BF19" w:rsidR="00792923" w:rsidRPr="00367FBD" w:rsidRDefault="00792923" w:rsidP="00375335">
            <w:pPr>
              <w:pStyle w:val="TableBullet"/>
              <w:numPr>
                <w:ilvl w:val="0"/>
                <w:numId w:val="0"/>
              </w:numPr>
              <w:ind w:right="142"/>
              <w:jc w:val="both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Adept</w:t>
            </w:r>
          </w:p>
        </w:tc>
      </w:tr>
      <w:tr w:rsidR="00020D74" w:rsidRPr="00C978B9" w14:paraId="33DBB231" w14:textId="77777777" w:rsidTr="00792923">
        <w:trPr>
          <w:trHeight w:val="408"/>
        </w:trPr>
        <w:tc>
          <w:tcPr>
            <w:tcW w:w="1406" w:type="dxa"/>
            <w:vMerge w:val="restart"/>
            <w:tcBorders>
              <w:top w:val="single" w:sz="8" w:space="0" w:color="BFBFBF" w:themeColor="background1" w:themeShade="BF"/>
              <w:bottom w:val="single" w:sz="8" w:space="0" w:color="BCBEC0"/>
            </w:tcBorders>
          </w:tcPr>
          <w:p w14:paraId="64AF5394" w14:textId="77777777" w:rsidR="00020D74" w:rsidRPr="00C978B9" w:rsidRDefault="00020D74" w:rsidP="0036462D">
            <w:pPr>
              <w:keepNext/>
              <w:ind w:right="142"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3A16A71" wp14:editId="327D2B45">
                  <wp:extent cx="854016" cy="854016"/>
                  <wp:effectExtent l="0" t="0" r="3810" b="3810"/>
                  <wp:docPr id="13" name="relationsh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tcBorders>
              <w:bottom w:val="single" w:sz="4" w:space="0" w:color="BCBEC0"/>
            </w:tcBorders>
          </w:tcPr>
          <w:p w14:paraId="71D5FC75" w14:textId="77777777" w:rsidR="00020D74" w:rsidRPr="00367FBD" w:rsidRDefault="00020D74" w:rsidP="0036462D">
            <w:pPr>
              <w:pStyle w:val="TableText"/>
              <w:keepNext/>
              <w:ind w:right="142"/>
              <w:rPr>
                <w:b/>
                <w:sz w:val="22"/>
                <w:szCs w:val="22"/>
              </w:rPr>
            </w:pPr>
            <w:r w:rsidRPr="00367FBD">
              <w:rPr>
                <w:b/>
                <w:sz w:val="22"/>
                <w:szCs w:val="22"/>
              </w:rPr>
              <w:t>Communicate Effectively</w:t>
            </w:r>
          </w:p>
          <w:p w14:paraId="165DB065" w14:textId="39430798" w:rsidR="00020D74" w:rsidRPr="00367FBD" w:rsidRDefault="00020D74" w:rsidP="0036462D">
            <w:pPr>
              <w:pStyle w:val="TableText"/>
              <w:keepNext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Communicate clearly, actively listen to others, and respond with understanding and respect</w:t>
            </w:r>
          </w:p>
        </w:tc>
        <w:tc>
          <w:tcPr>
            <w:tcW w:w="4819" w:type="dxa"/>
            <w:tcBorders>
              <w:bottom w:val="single" w:sz="4" w:space="0" w:color="BCBEC0"/>
            </w:tcBorders>
          </w:tcPr>
          <w:p w14:paraId="5B872C0E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Tailor communication to diverse audiences</w:t>
            </w:r>
          </w:p>
          <w:p w14:paraId="6BB20D1E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Clearly explain complex concepts and arguments to individuals and groups</w:t>
            </w:r>
          </w:p>
          <w:p w14:paraId="28AE37A7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 xml:space="preserve">Create opportunities for others to be heard, listen </w:t>
            </w:r>
            <w:proofErr w:type="gramStart"/>
            <w:r w:rsidRPr="00367FBD">
              <w:rPr>
                <w:sz w:val="22"/>
                <w:szCs w:val="22"/>
              </w:rPr>
              <w:t>attentively</w:t>
            </w:r>
            <w:proofErr w:type="gramEnd"/>
            <w:r w:rsidRPr="00367FBD">
              <w:rPr>
                <w:sz w:val="22"/>
                <w:szCs w:val="22"/>
              </w:rPr>
              <w:t xml:space="preserve"> and encourage them to express their views</w:t>
            </w:r>
          </w:p>
          <w:p w14:paraId="3E99CFF8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 xml:space="preserve">Share information across teams and units to enable informed decision making </w:t>
            </w:r>
          </w:p>
          <w:p w14:paraId="2DCC2FD1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Write fluently in plain English and in a range of styles and formats</w:t>
            </w:r>
          </w:p>
          <w:p w14:paraId="7C9DF068" w14:textId="0D3E3D8D" w:rsidR="000837B6" w:rsidRPr="00367FBD" w:rsidRDefault="00020D74" w:rsidP="000837B6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Use contemporary communication channels to share information, engage and interact with diverse audiences</w:t>
            </w:r>
          </w:p>
        </w:tc>
        <w:tc>
          <w:tcPr>
            <w:tcW w:w="1559" w:type="dxa"/>
            <w:tcBorders>
              <w:bottom w:val="single" w:sz="4" w:space="0" w:color="BCBEC0"/>
            </w:tcBorders>
          </w:tcPr>
          <w:p w14:paraId="521CBF17" w14:textId="4AE9D5EA" w:rsidR="00020D74" w:rsidRPr="00367FBD" w:rsidRDefault="00020D74" w:rsidP="0036462D">
            <w:pPr>
              <w:pStyle w:val="TableBullet"/>
              <w:numPr>
                <w:ilvl w:val="0"/>
                <w:numId w:val="0"/>
              </w:numPr>
              <w:ind w:right="142"/>
              <w:jc w:val="both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Adept</w:t>
            </w:r>
          </w:p>
        </w:tc>
      </w:tr>
      <w:tr w:rsidR="00020D74" w:rsidRPr="00C978B9" w14:paraId="3C6ACEF9" w14:textId="77777777" w:rsidTr="4F38F1BA">
        <w:tc>
          <w:tcPr>
            <w:tcW w:w="1406" w:type="dxa"/>
            <w:vMerge/>
          </w:tcPr>
          <w:p w14:paraId="4F1171F1" w14:textId="77777777" w:rsidR="00020D74" w:rsidRDefault="00020D74" w:rsidP="0036462D">
            <w:pPr>
              <w:keepNext/>
              <w:ind w:right="142"/>
              <w:rPr>
                <w:noProof/>
                <w:lang w:eastAsia="en-AU"/>
              </w:rPr>
            </w:pPr>
          </w:p>
        </w:tc>
        <w:tc>
          <w:tcPr>
            <w:tcW w:w="2989" w:type="dxa"/>
            <w:tcBorders>
              <w:bottom w:val="single" w:sz="4" w:space="0" w:color="BCBEC0"/>
            </w:tcBorders>
          </w:tcPr>
          <w:p w14:paraId="62DE46FC" w14:textId="7BB64005" w:rsidR="00020D74" w:rsidRPr="00367FBD" w:rsidRDefault="00020D74" w:rsidP="0036462D">
            <w:pPr>
              <w:pStyle w:val="TableText"/>
              <w:keepNext/>
              <w:ind w:right="142"/>
              <w:rPr>
                <w:b/>
                <w:sz w:val="22"/>
                <w:szCs w:val="22"/>
              </w:rPr>
            </w:pPr>
            <w:r w:rsidRPr="00367FBD">
              <w:rPr>
                <w:b/>
                <w:sz w:val="22"/>
                <w:szCs w:val="22"/>
              </w:rPr>
              <w:t>Work Collaboratively</w:t>
            </w:r>
          </w:p>
          <w:p w14:paraId="6B4CFD92" w14:textId="04562431" w:rsidR="00020D74" w:rsidRPr="00367FBD" w:rsidRDefault="00020D74" w:rsidP="0036462D">
            <w:pPr>
              <w:pStyle w:val="TableText"/>
              <w:keepNext/>
              <w:ind w:right="142"/>
              <w:rPr>
                <w:b/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Collaborate with others and value their contribution</w:t>
            </w:r>
          </w:p>
        </w:tc>
        <w:tc>
          <w:tcPr>
            <w:tcW w:w="4819" w:type="dxa"/>
            <w:tcBorders>
              <w:bottom w:val="single" w:sz="4" w:space="0" w:color="BCBEC0"/>
            </w:tcBorders>
          </w:tcPr>
          <w:p w14:paraId="77B71BD4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Encourage a culture that recognises the value of collaboration</w:t>
            </w:r>
          </w:p>
          <w:p w14:paraId="46B37E6A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Build cooperation and overcome barriers to information sharing and communication across teams and units</w:t>
            </w:r>
          </w:p>
          <w:p w14:paraId="6F057FA6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Share lessons learned across teams and units</w:t>
            </w:r>
          </w:p>
          <w:p w14:paraId="40FEE6A9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Identify opportunities to leverage the strengths of others to solve issues and develop better processes and approaches to work</w:t>
            </w:r>
          </w:p>
          <w:p w14:paraId="03A8ADC6" w14:textId="25A4F87D" w:rsidR="000837B6" w:rsidRPr="00367FBD" w:rsidRDefault="00020D74" w:rsidP="000837B6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Actively use collaboration tools, including digital technologies, to engage diverse audiences in solving problems and improving services</w:t>
            </w:r>
          </w:p>
        </w:tc>
        <w:tc>
          <w:tcPr>
            <w:tcW w:w="1559" w:type="dxa"/>
            <w:tcBorders>
              <w:bottom w:val="single" w:sz="4" w:space="0" w:color="BCBEC0"/>
            </w:tcBorders>
          </w:tcPr>
          <w:p w14:paraId="791F2F69" w14:textId="73C3C7C7" w:rsidR="00020D74" w:rsidRPr="00367FBD" w:rsidRDefault="00020D74" w:rsidP="0036462D">
            <w:pPr>
              <w:pStyle w:val="TableBullet"/>
              <w:numPr>
                <w:ilvl w:val="0"/>
                <w:numId w:val="0"/>
              </w:numPr>
              <w:ind w:right="142"/>
              <w:jc w:val="both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Adept</w:t>
            </w:r>
          </w:p>
        </w:tc>
      </w:tr>
      <w:tr w:rsidR="00020D74" w:rsidRPr="00C978B9" w14:paraId="37300BDD" w14:textId="77777777" w:rsidTr="000837B6">
        <w:tc>
          <w:tcPr>
            <w:tcW w:w="1406" w:type="dxa"/>
            <w:vMerge/>
            <w:tcBorders>
              <w:bottom w:val="single" w:sz="8" w:space="0" w:color="BFBFBF" w:themeColor="background1" w:themeShade="BF"/>
            </w:tcBorders>
          </w:tcPr>
          <w:p w14:paraId="0450565E" w14:textId="77777777" w:rsidR="00020D74" w:rsidRDefault="00020D74" w:rsidP="0036462D">
            <w:pPr>
              <w:keepNext/>
              <w:ind w:right="142"/>
              <w:rPr>
                <w:noProof/>
                <w:lang w:eastAsia="en-AU"/>
              </w:rPr>
            </w:pPr>
          </w:p>
        </w:tc>
        <w:tc>
          <w:tcPr>
            <w:tcW w:w="2989" w:type="dxa"/>
            <w:tcBorders>
              <w:bottom w:val="single" w:sz="4" w:space="0" w:color="BCBEC0"/>
            </w:tcBorders>
          </w:tcPr>
          <w:p w14:paraId="3AE43540" w14:textId="77777777" w:rsidR="00020D74" w:rsidRPr="00367FBD" w:rsidRDefault="00020D74" w:rsidP="0036462D">
            <w:pPr>
              <w:pStyle w:val="TableText"/>
              <w:keepNext/>
              <w:ind w:right="142"/>
              <w:rPr>
                <w:b/>
                <w:sz w:val="22"/>
                <w:szCs w:val="22"/>
              </w:rPr>
            </w:pPr>
            <w:r w:rsidRPr="00367FBD">
              <w:rPr>
                <w:b/>
                <w:sz w:val="22"/>
                <w:szCs w:val="22"/>
              </w:rPr>
              <w:t>Influence and Negotiate</w:t>
            </w:r>
          </w:p>
          <w:p w14:paraId="190E0B60" w14:textId="5FDB9BFC" w:rsidR="00020D74" w:rsidRPr="00367FBD" w:rsidRDefault="00020D74" w:rsidP="0036462D">
            <w:pPr>
              <w:pStyle w:val="TableText"/>
              <w:keepNext/>
              <w:ind w:right="142"/>
              <w:rPr>
                <w:b/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Gain consensus and commitment from others, and resolve issues and conflicts</w:t>
            </w:r>
          </w:p>
        </w:tc>
        <w:tc>
          <w:tcPr>
            <w:tcW w:w="4819" w:type="dxa"/>
            <w:tcBorders>
              <w:bottom w:val="single" w:sz="4" w:space="0" w:color="BCBEC0"/>
            </w:tcBorders>
          </w:tcPr>
          <w:p w14:paraId="0AD35631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Negotiate from an informed and credible position</w:t>
            </w:r>
          </w:p>
          <w:p w14:paraId="689E423B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Lead and facilitate productive discussions with staff and stakeholders</w:t>
            </w:r>
          </w:p>
          <w:p w14:paraId="1A5FC6A0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Encourage others to talk, share and debate ideas to achieve a consensus</w:t>
            </w:r>
          </w:p>
          <w:p w14:paraId="67539EE5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Recognise diverse perspectives and the need for compromise in negotiating mutually agreed outcomes</w:t>
            </w:r>
          </w:p>
          <w:p w14:paraId="0E03AEEE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Influence others with a fair and considered approach and sound arguments</w:t>
            </w:r>
          </w:p>
          <w:p w14:paraId="3E5A9DFA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Show sensitivity and understanding in resolving conflicts and differences</w:t>
            </w:r>
          </w:p>
          <w:p w14:paraId="356B5E88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Manage challenging relationships with internal and external stakeholders</w:t>
            </w:r>
          </w:p>
          <w:p w14:paraId="4AD71055" w14:textId="508F9C65" w:rsidR="000837B6" w:rsidRPr="00367FBD" w:rsidRDefault="00020D74" w:rsidP="000837B6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Anticipate and minimise conflict</w:t>
            </w:r>
          </w:p>
        </w:tc>
        <w:tc>
          <w:tcPr>
            <w:tcW w:w="1559" w:type="dxa"/>
            <w:tcBorders>
              <w:bottom w:val="single" w:sz="4" w:space="0" w:color="BCBEC0"/>
            </w:tcBorders>
          </w:tcPr>
          <w:p w14:paraId="379A5808" w14:textId="67FD613A" w:rsidR="00020D74" w:rsidRPr="00367FBD" w:rsidRDefault="00020D74" w:rsidP="0036462D">
            <w:pPr>
              <w:pStyle w:val="TableBullet"/>
              <w:numPr>
                <w:ilvl w:val="0"/>
                <w:numId w:val="0"/>
              </w:numPr>
              <w:ind w:right="142"/>
              <w:jc w:val="both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Adept</w:t>
            </w:r>
          </w:p>
        </w:tc>
      </w:tr>
      <w:tr w:rsidR="00020D74" w:rsidRPr="00C978B9" w14:paraId="4D271E69" w14:textId="77777777" w:rsidTr="000837B6">
        <w:tc>
          <w:tcPr>
            <w:tcW w:w="1406" w:type="dxa"/>
            <w:tcBorders>
              <w:top w:val="single" w:sz="8" w:space="0" w:color="BFBFBF" w:themeColor="background1" w:themeShade="BF"/>
              <w:bottom w:val="single" w:sz="8" w:space="0" w:color="BCBEC0"/>
            </w:tcBorders>
          </w:tcPr>
          <w:p w14:paraId="6AEEF80A" w14:textId="77777777" w:rsidR="00020D74" w:rsidRPr="00C978B9" w:rsidRDefault="00020D74" w:rsidP="0036462D">
            <w:pPr>
              <w:keepNext/>
              <w:ind w:right="142"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06F1D514" wp14:editId="06882009">
                  <wp:extent cx="854015" cy="854015"/>
                  <wp:effectExtent l="0" t="0" r="3810" b="3810"/>
                  <wp:docPr id="14" name="resul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tcBorders>
              <w:bottom w:val="single" w:sz="8" w:space="0" w:color="BCBEC0"/>
            </w:tcBorders>
          </w:tcPr>
          <w:p w14:paraId="5E2925E1" w14:textId="77777777" w:rsidR="00020D74" w:rsidRPr="00367FBD" w:rsidRDefault="00020D74" w:rsidP="0036462D">
            <w:pPr>
              <w:pStyle w:val="TableText"/>
              <w:keepNext/>
              <w:ind w:right="142"/>
              <w:rPr>
                <w:b/>
                <w:sz w:val="22"/>
                <w:szCs w:val="22"/>
              </w:rPr>
            </w:pPr>
            <w:r w:rsidRPr="00367FBD">
              <w:rPr>
                <w:b/>
                <w:sz w:val="22"/>
                <w:szCs w:val="22"/>
              </w:rPr>
              <w:t>Think and Solve Problems</w:t>
            </w:r>
          </w:p>
          <w:p w14:paraId="7FB36DB1" w14:textId="6B9F0845" w:rsidR="00020D74" w:rsidRPr="00367FBD" w:rsidRDefault="00020D74" w:rsidP="0036462D">
            <w:pPr>
              <w:pStyle w:val="TableText"/>
              <w:keepNext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 xml:space="preserve">Think, </w:t>
            </w:r>
            <w:proofErr w:type="gramStart"/>
            <w:r w:rsidRPr="00367FBD">
              <w:rPr>
                <w:sz w:val="22"/>
                <w:szCs w:val="22"/>
              </w:rPr>
              <w:t>analyse</w:t>
            </w:r>
            <w:proofErr w:type="gramEnd"/>
            <w:r w:rsidRPr="00367FBD">
              <w:rPr>
                <w:sz w:val="22"/>
                <w:szCs w:val="22"/>
              </w:rPr>
              <w:t xml:space="preserve"> and consider the broader context to develop practical solutions</w:t>
            </w:r>
          </w:p>
        </w:tc>
        <w:tc>
          <w:tcPr>
            <w:tcW w:w="4819" w:type="dxa"/>
            <w:tcBorders>
              <w:bottom w:val="single" w:sz="8" w:space="0" w:color="BCBEC0"/>
            </w:tcBorders>
          </w:tcPr>
          <w:p w14:paraId="4F0D2F9C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Undertake objective, critical analysis to draw accurate conclusions that recognise and manage contextual issues</w:t>
            </w:r>
          </w:p>
          <w:p w14:paraId="47E846EB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Work through issues, weigh up alternatives and identify the most effective solutions in collaboration with others</w:t>
            </w:r>
          </w:p>
          <w:p w14:paraId="34F577A5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Take account of the wider business context when considering options to resolve issues</w:t>
            </w:r>
          </w:p>
          <w:p w14:paraId="47FBB95A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 xml:space="preserve">Explore a range of possibilities and creative alternatives to contribute to system, </w:t>
            </w:r>
            <w:proofErr w:type="gramStart"/>
            <w:r w:rsidRPr="00367FBD">
              <w:rPr>
                <w:sz w:val="22"/>
                <w:szCs w:val="22"/>
              </w:rPr>
              <w:t>process</w:t>
            </w:r>
            <w:proofErr w:type="gramEnd"/>
            <w:r w:rsidRPr="00367FBD">
              <w:rPr>
                <w:sz w:val="22"/>
                <w:szCs w:val="22"/>
              </w:rPr>
              <w:t xml:space="preserve"> and business improvements</w:t>
            </w:r>
          </w:p>
          <w:p w14:paraId="1F028551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Implement systems and processes that are underpinned by high-quality research and analysis</w:t>
            </w:r>
          </w:p>
          <w:p w14:paraId="3EC1432D" w14:textId="77777777" w:rsidR="00020D74" w:rsidRPr="00367FBD" w:rsidRDefault="00020D74" w:rsidP="0036462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 xml:space="preserve">Look for opportunities to design innovative solutions to meet user needs and service demands </w:t>
            </w:r>
          </w:p>
          <w:p w14:paraId="240B82E7" w14:textId="73C31ADE" w:rsidR="000837B6" w:rsidRPr="00367FBD" w:rsidRDefault="00020D74" w:rsidP="000837B6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 xml:space="preserve">Evaluate the performance and effectiveness of services, </w:t>
            </w:r>
            <w:proofErr w:type="gramStart"/>
            <w:r w:rsidRPr="00367FBD">
              <w:rPr>
                <w:sz w:val="22"/>
                <w:szCs w:val="22"/>
              </w:rPr>
              <w:t>policies</w:t>
            </w:r>
            <w:proofErr w:type="gramEnd"/>
            <w:r w:rsidRPr="00367FBD">
              <w:rPr>
                <w:sz w:val="22"/>
                <w:szCs w:val="22"/>
              </w:rPr>
              <w:t xml:space="preserve"> and programs against clear criteria</w:t>
            </w:r>
          </w:p>
        </w:tc>
        <w:tc>
          <w:tcPr>
            <w:tcW w:w="1559" w:type="dxa"/>
            <w:tcBorders>
              <w:bottom w:val="single" w:sz="8" w:space="0" w:color="BCBEC0"/>
            </w:tcBorders>
          </w:tcPr>
          <w:p w14:paraId="68A99788" w14:textId="4A69FC72" w:rsidR="00020D74" w:rsidRPr="00367FBD" w:rsidRDefault="00020D74" w:rsidP="0036462D">
            <w:pPr>
              <w:pStyle w:val="TableBullet"/>
              <w:numPr>
                <w:ilvl w:val="0"/>
                <w:numId w:val="0"/>
              </w:numPr>
              <w:ind w:right="142"/>
              <w:jc w:val="both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Advanced</w:t>
            </w:r>
          </w:p>
        </w:tc>
      </w:tr>
      <w:tr w:rsidR="000837B6" w:rsidRPr="00C978B9" w14:paraId="27D12E6F" w14:textId="77777777" w:rsidTr="000837B6">
        <w:tc>
          <w:tcPr>
            <w:tcW w:w="1406" w:type="dxa"/>
            <w:tcBorders>
              <w:bottom w:val="single" w:sz="8" w:space="0" w:color="BFBFBF" w:themeColor="background1" w:themeShade="BF"/>
            </w:tcBorders>
          </w:tcPr>
          <w:p w14:paraId="0CED9D6D" w14:textId="173EEAD0" w:rsidR="000837B6" w:rsidRPr="00C978B9" w:rsidRDefault="000837B6" w:rsidP="000837B6">
            <w:pPr>
              <w:keepNext/>
              <w:ind w:right="142"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63C2FB69" wp14:editId="4A33E0C8">
                  <wp:extent cx="845388" cy="845388"/>
                  <wp:effectExtent l="0" t="0" r="0" b="0"/>
                  <wp:docPr id="1" name="business-enabl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tcBorders>
              <w:bottom w:val="single" w:sz="8" w:space="0" w:color="BFBFBF" w:themeColor="background1" w:themeShade="BF"/>
            </w:tcBorders>
          </w:tcPr>
          <w:p w14:paraId="63953F98" w14:textId="77777777" w:rsidR="000837B6" w:rsidRPr="00367FBD" w:rsidRDefault="000837B6" w:rsidP="000837B6">
            <w:pPr>
              <w:pStyle w:val="TableText"/>
              <w:keepNext/>
              <w:ind w:right="142"/>
              <w:rPr>
                <w:b/>
                <w:sz w:val="22"/>
                <w:szCs w:val="22"/>
              </w:rPr>
            </w:pPr>
            <w:r w:rsidRPr="00367FBD">
              <w:rPr>
                <w:b/>
                <w:sz w:val="22"/>
                <w:szCs w:val="22"/>
              </w:rPr>
              <w:t>Project Management</w:t>
            </w:r>
          </w:p>
          <w:p w14:paraId="79124417" w14:textId="6FB59A16" w:rsidR="000837B6" w:rsidRPr="00367FBD" w:rsidRDefault="000837B6" w:rsidP="000837B6">
            <w:pPr>
              <w:pStyle w:val="TableText"/>
              <w:keepNext/>
              <w:ind w:right="142"/>
              <w:rPr>
                <w:sz w:val="22"/>
                <w:szCs w:val="22"/>
              </w:rPr>
            </w:pPr>
            <w:r w:rsidRPr="00367FBD">
              <w:rPr>
                <w:bCs/>
                <w:sz w:val="22"/>
                <w:szCs w:val="22"/>
              </w:rPr>
              <w:t xml:space="preserve">Understand and apply effective planning, </w:t>
            </w:r>
            <w:proofErr w:type="gramStart"/>
            <w:r w:rsidRPr="00367FBD">
              <w:rPr>
                <w:bCs/>
                <w:sz w:val="22"/>
                <w:szCs w:val="22"/>
              </w:rPr>
              <w:t>coordination</w:t>
            </w:r>
            <w:proofErr w:type="gramEnd"/>
            <w:r w:rsidRPr="00367FBD">
              <w:rPr>
                <w:bCs/>
                <w:sz w:val="22"/>
                <w:szCs w:val="22"/>
              </w:rPr>
              <w:t xml:space="preserve"> and control methods</w:t>
            </w:r>
          </w:p>
        </w:tc>
        <w:tc>
          <w:tcPr>
            <w:tcW w:w="4819" w:type="dxa"/>
            <w:tcBorders>
              <w:bottom w:val="single" w:sz="8" w:space="0" w:color="BFBFBF" w:themeColor="background1" w:themeShade="BF"/>
            </w:tcBorders>
          </w:tcPr>
          <w:p w14:paraId="24E51F1A" w14:textId="77777777" w:rsidR="000837B6" w:rsidRPr="00367FBD" w:rsidRDefault="000837B6" w:rsidP="000837B6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Understand all components of the project management process, including the need to consider change management to realise business benefits</w:t>
            </w:r>
          </w:p>
          <w:p w14:paraId="04E6EB83" w14:textId="77777777" w:rsidR="000837B6" w:rsidRPr="00367FBD" w:rsidRDefault="000837B6" w:rsidP="000837B6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Prepare clear project proposals and accurate estimates of required costs and resources</w:t>
            </w:r>
          </w:p>
          <w:p w14:paraId="29E5A382" w14:textId="77777777" w:rsidR="000837B6" w:rsidRPr="00367FBD" w:rsidRDefault="000837B6" w:rsidP="000837B6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Establish performance outcomes and measures for key project goals, and define monitoring, reporting and communication requirements</w:t>
            </w:r>
          </w:p>
          <w:p w14:paraId="69BE7E6D" w14:textId="77777777" w:rsidR="000837B6" w:rsidRPr="00367FBD" w:rsidRDefault="000837B6" w:rsidP="000837B6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Identify and evaluate risks associated with the project and develop mitigation strategies</w:t>
            </w:r>
          </w:p>
          <w:p w14:paraId="4C051162" w14:textId="77777777" w:rsidR="000837B6" w:rsidRPr="00367FBD" w:rsidRDefault="000837B6" w:rsidP="000837B6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Identify and consult stakeholders to inform the project strategy</w:t>
            </w:r>
          </w:p>
          <w:p w14:paraId="7978CB1E" w14:textId="77777777" w:rsidR="000837B6" w:rsidRPr="00367FBD" w:rsidRDefault="000837B6" w:rsidP="000837B6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Communicate the project’s objectives and its expected benefits</w:t>
            </w:r>
          </w:p>
          <w:p w14:paraId="2A153B08" w14:textId="77777777" w:rsidR="000837B6" w:rsidRPr="00367FBD" w:rsidRDefault="000837B6" w:rsidP="000837B6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Monitor the completion of project milestones against goals and take necessary action</w:t>
            </w:r>
          </w:p>
          <w:p w14:paraId="29ECB1B7" w14:textId="0B866293" w:rsidR="000837B6" w:rsidRPr="00367FBD" w:rsidRDefault="000837B6" w:rsidP="000837B6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Evaluate progress and identify improvements to inform future projects</w:t>
            </w:r>
          </w:p>
        </w:tc>
        <w:tc>
          <w:tcPr>
            <w:tcW w:w="1559" w:type="dxa"/>
            <w:tcBorders>
              <w:bottom w:val="single" w:sz="8" w:space="0" w:color="BFBFBF" w:themeColor="background1" w:themeShade="BF"/>
            </w:tcBorders>
          </w:tcPr>
          <w:p w14:paraId="786A79D7" w14:textId="3D804B83" w:rsidR="000837B6" w:rsidRPr="00367FBD" w:rsidRDefault="000837B6" w:rsidP="000837B6">
            <w:pPr>
              <w:pStyle w:val="TableBullet"/>
              <w:numPr>
                <w:ilvl w:val="0"/>
                <w:numId w:val="0"/>
              </w:numPr>
              <w:ind w:right="142"/>
              <w:jc w:val="both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Adept</w:t>
            </w:r>
          </w:p>
        </w:tc>
      </w:tr>
      <w:tr w:rsidR="000837B6" w:rsidRPr="00C978B9" w14:paraId="07A1D5BD" w14:textId="77777777" w:rsidTr="000837B6">
        <w:tc>
          <w:tcPr>
            <w:tcW w:w="1406" w:type="dxa"/>
            <w:tcBorders>
              <w:bottom w:val="single" w:sz="8" w:space="0" w:color="BFBFBF" w:themeColor="background1" w:themeShade="BF"/>
            </w:tcBorders>
          </w:tcPr>
          <w:p w14:paraId="70EB19C5" w14:textId="77777777" w:rsidR="000837B6" w:rsidRPr="00C978B9" w:rsidRDefault="000837B6" w:rsidP="000837B6">
            <w:pPr>
              <w:keepNext/>
              <w:ind w:right="142"/>
              <w:rPr>
                <w:noProof/>
                <w:lang w:eastAsia="en-AU"/>
              </w:rPr>
            </w:pPr>
          </w:p>
        </w:tc>
        <w:tc>
          <w:tcPr>
            <w:tcW w:w="2989" w:type="dxa"/>
            <w:tcBorders>
              <w:bottom w:val="single" w:sz="8" w:space="0" w:color="BFBFBF" w:themeColor="background1" w:themeShade="BF"/>
            </w:tcBorders>
          </w:tcPr>
          <w:p w14:paraId="4081DDA3" w14:textId="77777777" w:rsidR="000837B6" w:rsidRPr="00367FBD" w:rsidRDefault="000837B6" w:rsidP="000837B6">
            <w:pPr>
              <w:pStyle w:val="TableText"/>
              <w:keepNext/>
              <w:ind w:right="142"/>
              <w:rPr>
                <w:b/>
                <w:sz w:val="22"/>
                <w:szCs w:val="22"/>
              </w:rPr>
            </w:pPr>
            <w:r w:rsidRPr="00367FBD">
              <w:rPr>
                <w:b/>
                <w:sz w:val="22"/>
                <w:szCs w:val="22"/>
              </w:rPr>
              <w:t>Technology</w:t>
            </w:r>
          </w:p>
          <w:p w14:paraId="06488FD5" w14:textId="51208DF5" w:rsidR="000837B6" w:rsidRPr="00367FBD" w:rsidRDefault="000837B6" w:rsidP="000837B6">
            <w:pPr>
              <w:pStyle w:val="TableText"/>
              <w:keepNext/>
              <w:ind w:right="142"/>
              <w:rPr>
                <w:b/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Understand and use available technologies to maximise efficiencies and effectiveness</w:t>
            </w:r>
          </w:p>
        </w:tc>
        <w:tc>
          <w:tcPr>
            <w:tcW w:w="4819" w:type="dxa"/>
            <w:tcBorders>
              <w:bottom w:val="single" w:sz="8" w:space="0" w:color="BFBFBF" w:themeColor="background1" w:themeShade="BF"/>
            </w:tcBorders>
          </w:tcPr>
          <w:p w14:paraId="68F2BE60" w14:textId="77777777" w:rsidR="000837B6" w:rsidRPr="00367FBD" w:rsidRDefault="000837B6" w:rsidP="000837B6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Identify opportunities to use a broad range of technologies to collaborate</w:t>
            </w:r>
          </w:p>
          <w:p w14:paraId="437E68ED" w14:textId="77777777" w:rsidR="000837B6" w:rsidRPr="00367FBD" w:rsidRDefault="000837B6" w:rsidP="000837B6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Monitor compliance with cyber security and the use of technology policies</w:t>
            </w:r>
          </w:p>
          <w:p w14:paraId="638C3632" w14:textId="77777777" w:rsidR="000837B6" w:rsidRPr="00367FBD" w:rsidRDefault="000837B6" w:rsidP="000837B6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Identify ways to maximise the value of available technology to achieve business strategies and outcomes</w:t>
            </w:r>
          </w:p>
          <w:p w14:paraId="28C29C32" w14:textId="34201A8A" w:rsidR="00367FBD" w:rsidRPr="00367FBD" w:rsidRDefault="000837B6" w:rsidP="00367FBD">
            <w:pPr>
              <w:pStyle w:val="TableBullet"/>
              <w:ind w:right="142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 xml:space="preserve">Monitor compliance with the organisation’s records, </w:t>
            </w:r>
            <w:proofErr w:type="gramStart"/>
            <w:r w:rsidRPr="00367FBD">
              <w:rPr>
                <w:sz w:val="22"/>
                <w:szCs w:val="22"/>
              </w:rPr>
              <w:t>information</w:t>
            </w:r>
            <w:proofErr w:type="gramEnd"/>
            <w:r w:rsidRPr="00367FBD">
              <w:rPr>
                <w:sz w:val="22"/>
                <w:szCs w:val="22"/>
              </w:rPr>
              <w:t xml:space="preserve"> and knowledge management requirements</w:t>
            </w:r>
          </w:p>
        </w:tc>
        <w:tc>
          <w:tcPr>
            <w:tcW w:w="1559" w:type="dxa"/>
            <w:tcBorders>
              <w:bottom w:val="single" w:sz="8" w:space="0" w:color="BFBFBF" w:themeColor="background1" w:themeShade="BF"/>
            </w:tcBorders>
          </w:tcPr>
          <w:p w14:paraId="4CEEFE62" w14:textId="6EA04895" w:rsidR="000837B6" w:rsidRPr="00367FBD" w:rsidRDefault="000837B6" w:rsidP="000837B6">
            <w:pPr>
              <w:pStyle w:val="TableBullet"/>
              <w:numPr>
                <w:ilvl w:val="0"/>
                <w:numId w:val="0"/>
              </w:numPr>
              <w:ind w:right="142"/>
              <w:jc w:val="both"/>
              <w:rPr>
                <w:sz w:val="22"/>
                <w:szCs w:val="22"/>
              </w:rPr>
            </w:pPr>
            <w:r w:rsidRPr="00367FBD">
              <w:rPr>
                <w:sz w:val="22"/>
                <w:szCs w:val="22"/>
              </w:rPr>
              <w:t>Adept</w:t>
            </w:r>
          </w:p>
        </w:tc>
      </w:tr>
    </w:tbl>
    <w:p w14:paraId="569B6700" w14:textId="77777777" w:rsidR="003927AE" w:rsidRDefault="003927AE" w:rsidP="003927AE">
      <w:pPr>
        <w:pStyle w:val="Heading1"/>
      </w:pPr>
      <w:r>
        <w:t>Complementary capabilities</w:t>
      </w:r>
    </w:p>
    <w:p w14:paraId="22CB5CF8" w14:textId="77777777"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7D3A8579" w14:textId="5CC05EFB" w:rsidR="00336011" w:rsidRDefault="003927AE" w:rsidP="00367FBD">
      <w:pPr>
        <w:pStyle w:val="PlainText"/>
        <w:spacing w:before="62" w:after="240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tbl>
      <w:tblPr>
        <w:tblStyle w:val="PSCPurple"/>
        <w:tblW w:w="1077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349"/>
        <w:gridCol w:w="2881"/>
        <w:gridCol w:w="90"/>
        <w:gridCol w:w="4770"/>
        <w:gridCol w:w="1683"/>
      </w:tblGrid>
      <w:tr w:rsidR="002B5704" w:rsidRPr="00803E47" w14:paraId="55ABC7FD" w14:textId="77777777" w:rsidTr="4F38F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73" w:type="dxa"/>
            <w:gridSpan w:val="5"/>
          </w:tcPr>
          <w:p w14:paraId="491F6D2A" w14:textId="77777777" w:rsidR="002B5704" w:rsidRPr="00803E47" w:rsidRDefault="002B5704" w:rsidP="006657CF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5C0A16" w:rsidRPr="00C978B9" w14:paraId="616D95F8" w14:textId="77777777" w:rsidTr="4F38F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9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660B7088" w14:textId="77777777" w:rsidR="005C0A16" w:rsidRPr="00C978B9" w:rsidRDefault="005C0A16" w:rsidP="006657CF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5FE8F1EA" w14:textId="77777777" w:rsidR="005C0A16" w:rsidRPr="00C978B9" w:rsidRDefault="005C0A16" w:rsidP="006657CF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0695760D" w14:textId="77777777" w:rsidR="005C0A16" w:rsidRDefault="005C0A16" w:rsidP="006657CF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2EDE949C" w14:textId="77777777" w:rsidR="005C0A16" w:rsidRDefault="005C0A16" w:rsidP="006657CF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83" w:type="dxa"/>
            <w:tcBorders>
              <w:bottom w:val="single" w:sz="12" w:space="0" w:color="auto"/>
            </w:tcBorders>
            <w:shd w:val="clear" w:color="auto" w:fill="BCBEC0"/>
          </w:tcPr>
          <w:p w14:paraId="2BF7EDE1" w14:textId="77777777" w:rsidR="005C0A16" w:rsidRDefault="005C0A16" w:rsidP="006657CF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C0D7E" w:rsidRPr="00C978B9" w14:paraId="1CD7CD49" w14:textId="77777777" w:rsidTr="4F38F1BA">
        <w:tc>
          <w:tcPr>
            <w:tcW w:w="1349" w:type="dxa"/>
            <w:vMerge w:val="restart"/>
          </w:tcPr>
          <w:p w14:paraId="41B9DC6A" w14:textId="19D42455" w:rsidR="002C0D7E" w:rsidRDefault="002C0D7E" w:rsidP="002C0D7E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A829835" wp14:editId="7F162675">
                  <wp:extent cx="848995" cy="848995"/>
                  <wp:effectExtent l="0" t="0" r="8255" b="8255"/>
                  <wp:docPr id="5" name="personal-attrib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nil"/>
            </w:tcBorders>
          </w:tcPr>
          <w:p w14:paraId="12499698" w14:textId="5458FE50" w:rsidR="002C0D7E" w:rsidRDefault="002C0D7E" w:rsidP="00020D74">
            <w:pPr>
              <w:spacing w:line="276" w:lineRule="auto"/>
            </w:pPr>
            <w:r>
              <w:t>Display Resilience and Courage</w:t>
            </w:r>
          </w:p>
        </w:tc>
        <w:tc>
          <w:tcPr>
            <w:tcW w:w="4770" w:type="dxa"/>
            <w:tcBorders>
              <w:bottom w:val="nil"/>
            </w:tcBorders>
          </w:tcPr>
          <w:p w14:paraId="2C22EEA8" w14:textId="75211375" w:rsidR="002C0D7E" w:rsidRDefault="002C0D7E" w:rsidP="00020D74">
            <w:pPr>
              <w:spacing w:line="276" w:lineRule="auto"/>
            </w:pPr>
            <w:r>
              <w:t>Be open and honest, prepared to express your views, and willing to accept and commit to change</w:t>
            </w:r>
          </w:p>
        </w:tc>
        <w:tc>
          <w:tcPr>
            <w:tcW w:w="1683" w:type="dxa"/>
            <w:tcBorders>
              <w:top w:val="single" w:sz="8" w:space="0" w:color="BCBEC0"/>
              <w:bottom w:val="nil"/>
            </w:tcBorders>
          </w:tcPr>
          <w:p w14:paraId="532A67AA" w14:textId="3482F73C" w:rsidR="002C0D7E" w:rsidRDefault="002C0D7E" w:rsidP="00020D74">
            <w:pPr>
              <w:pStyle w:val="TableBullet"/>
              <w:numPr>
                <w:ilvl w:val="0"/>
                <w:numId w:val="0"/>
              </w:numPr>
              <w:spacing w:line="276" w:lineRule="auto"/>
              <w:jc w:val="both"/>
            </w:pPr>
            <w:r>
              <w:t>Adept</w:t>
            </w:r>
          </w:p>
        </w:tc>
      </w:tr>
      <w:tr w:rsidR="002C0D7E" w:rsidRPr="00C978B9" w14:paraId="2D597CB8" w14:textId="77777777" w:rsidTr="4F38F1BA">
        <w:tc>
          <w:tcPr>
            <w:tcW w:w="1349" w:type="dxa"/>
            <w:vMerge/>
          </w:tcPr>
          <w:p w14:paraId="635398BD" w14:textId="77777777" w:rsidR="002C0D7E" w:rsidRDefault="002C0D7E" w:rsidP="002C0D7E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top w:val="nil"/>
              <w:bottom w:val="nil"/>
            </w:tcBorders>
          </w:tcPr>
          <w:p w14:paraId="19178013" w14:textId="77777777" w:rsidR="002C0D7E" w:rsidRPr="00A8226F" w:rsidRDefault="002C0D7E" w:rsidP="00020D74">
            <w:pPr>
              <w:spacing w:line="276" w:lineRule="auto"/>
            </w:pPr>
            <w:r>
              <w:t>Manage Self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14:paraId="35992495" w14:textId="77777777" w:rsidR="002C0D7E" w:rsidRDefault="002C0D7E" w:rsidP="00020D74">
            <w:pPr>
              <w:spacing w:line="276" w:lineRule="auto"/>
            </w:pPr>
            <w:r>
              <w:t>Show drive and motivation, an ability to self-reflect and a commitment to learning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4F1D2D23" w14:textId="05311E19" w:rsidR="002C0D7E" w:rsidRDefault="002C0D7E" w:rsidP="00020D74">
            <w:pPr>
              <w:pStyle w:val="TableBullet"/>
              <w:numPr>
                <w:ilvl w:val="0"/>
                <w:numId w:val="0"/>
              </w:numPr>
              <w:spacing w:line="276" w:lineRule="auto"/>
              <w:jc w:val="both"/>
            </w:pPr>
            <w:r w:rsidRPr="00475104">
              <w:t>Advanced</w:t>
            </w:r>
          </w:p>
        </w:tc>
      </w:tr>
      <w:tr w:rsidR="002C0D7E" w:rsidRPr="00C978B9" w14:paraId="68974E86" w14:textId="77777777" w:rsidTr="000837B6">
        <w:tc>
          <w:tcPr>
            <w:tcW w:w="1349" w:type="dxa"/>
            <w:vMerge/>
          </w:tcPr>
          <w:p w14:paraId="5D1272FD" w14:textId="77777777" w:rsidR="002C0D7E" w:rsidRDefault="002C0D7E" w:rsidP="002C0D7E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top w:val="nil"/>
              <w:bottom w:val="single" w:sz="8" w:space="0" w:color="BFBFBF" w:themeColor="background1" w:themeShade="BF"/>
            </w:tcBorders>
          </w:tcPr>
          <w:p w14:paraId="27D22D14" w14:textId="2206D9E5" w:rsidR="002C0D7E" w:rsidRPr="00A8226F" w:rsidRDefault="002C0D7E" w:rsidP="00020D74">
            <w:pPr>
              <w:spacing w:line="276" w:lineRule="auto"/>
            </w:pPr>
          </w:p>
        </w:tc>
        <w:tc>
          <w:tcPr>
            <w:tcW w:w="4770" w:type="dxa"/>
            <w:tcBorders>
              <w:top w:val="nil"/>
              <w:bottom w:val="single" w:sz="8" w:space="0" w:color="BFBFBF" w:themeColor="background1" w:themeShade="BF"/>
            </w:tcBorders>
          </w:tcPr>
          <w:p w14:paraId="45181196" w14:textId="272DEFD5" w:rsidR="002C0D7E" w:rsidRDefault="002C0D7E" w:rsidP="00020D74">
            <w:pPr>
              <w:spacing w:line="276" w:lineRule="auto"/>
            </w:pPr>
          </w:p>
        </w:tc>
        <w:tc>
          <w:tcPr>
            <w:tcW w:w="1683" w:type="dxa"/>
            <w:tcBorders>
              <w:top w:val="nil"/>
              <w:bottom w:val="single" w:sz="8" w:space="0" w:color="BFBFBF" w:themeColor="background1" w:themeShade="BF"/>
            </w:tcBorders>
          </w:tcPr>
          <w:p w14:paraId="47677F9C" w14:textId="28567EBE" w:rsidR="002C0D7E" w:rsidRDefault="002C0D7E" w:rsidP="00020D74">
            <w:pPr>
              <w:pStyle w:val="TableBullet"/>
              <w:numPr>
                <w:ilvl w:val="0"/>
                <w:numId w:val="0"/>
              </w:numPr>
              <w:spacing w:line="276" w:lineRule="auto"/>
              <w:jc w:val="both"/>
            </w:pPr>
          </w:p>
        </w:tc>
      </w:tr>
      <w:tr w:rsidR="00020D74" w:rsidRPr="00C978B9" w14:paraId="55E9DB9E" w14:textId="77777777" w:rsidTr="000837B6">
        <w:tc>
          <w:tcPr>
            <w:tcW w:w="1349" w:type="dxa"/>
          </w:tcPr>
          <w:p w14:paraId="105B9C62" w14:textId="0054D910" w:rsidR="00020D74" w:rsidRDefault="00020D74" w:rsidP="00020D74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217FDDF" wp14:editId="7D7343A7">
                  <wp:extent cx="854016" cy="854016"/>
                  <wp:effectExtent l="0" t="0" r="3810" b="3810"/>
                  <wp:docPr id="9" name="relationsh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58B04F7" w14:textId="525710DB" w:rsidR="00020D74" w:rsidRPr="002C0D7E" w:rsidRDefault="00020D74" w:rsidP="00020D74">
            <w:pPr>
              <w:spacing w:line="276" w:lineRule="auto"/>
              <w:rPr>
                <w:b/>
                <w:bCs/>
              </w:rPr>
            </w:pPr>
            <w:r>
              <w:t>Commit to Customer Service</w:t>
            </w:r>
          </w:p>
        </w:tc>
        <w:tc>
          <w:tcPr>
            <w:tcW w:w="477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14A3565" w14:textId="1EF32D38" w:rsidR="00020D74" w:rsidRPr="002C0D7E" w:rsidRDefault="00020D74" w:rsidP="00020D74">
            <w:pPr>
              <w:spacing w:line="276" w:lineRule="auto"/>
              <w:rPr>
                <w:b/>
                <w:bCs/>
              </w:rPr>
            </w:pPr>
            <w:r>
              <w:t>Provide customer-focused services in line with public sector and organisational objectives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6EF5056" w14:textId="0085BEFE" w:rsidR="00020D74" w:rsidRPr="002C0D7E" w:rsidRDefault="00020D74" w:rsidP="00020D74">
            <w:pPr>
              <w:pStyle w:val="TableBullet"/>
              <w:numPr>
                <w:ilvl w:val="0"/>
                <w:numId w:val="0"/>
              </w:numPr>
              <w:spacing w:line="276" w:lineRule="auto"/>
              <w:jc w:val="both"/>
              <w:rPr>
                <w:b/>
                <w:bCs/>
              </w:rPr>
            </w:pPr>
            <w:r>
              <w:t>Adept</w:t>
            </w:r>
          </w:p>
        </w:tc>
      </w:tr>
      <w:tr w:rsidR="002C0D7E" w:rsidRPr="00C978B9" w14:paraId="46BEADBE" w14:textId="77777777" w:rsidTr="000837B6">
        <w:trPr>
          <w:trHeight w:val="772"/>
        </w:trPr>
        <w:tc>
          <w:tcPr>
            <w:tcW w:w="1349" w:type="dxa"/>
            <w:vMerge w:val="restart"/>
          </w:tcPr>
          <w:p w14:paraId="4FBD4160" w14:textId="2CFA3DDF" w:rsidR="002C0D7E" w:rsidRDefault="002C0D7E" w:rsidP="002C0D7E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7245DAB" wp14:editId="692A31CD">
                  <wp:extent cx="854015" cy="854015"/>
                  <wp:effectExtent l="0" t="0" r="3810" b="3810"/>
                  <wp:docPr id="10" name="resul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top w:val="single" w:sz="8" w:space="0" w:color="BFBFBF" w:themeColor="background1" w:themeShade="BF"/>
              <w:bottom w:val="nil"/>
            </w:tcBorders>
          </w:tcPr>
          <w:p w14:paraId="2A81E913" w14:textId="156FDCD0" w:rsidR="002C0D7E" w:rsidRDefault="002C0D7E" w:rsidP="00020D74">
            <w:pPr>
              <w:spacing w:line="276" w:lineRule="auto"/>
            </w:pPr>
            <w:r>
              <w:t>Deliver Results</w:t>
            </w:r>
          </w:p>
        </w:tc>
        <w:tc>
          <w:tcPr>
            <w:tcW w:w="4770" w:type="dxa"/>
            <w:tcBorders>
              <w:top w:val="single" w:sz="8" w:space="0" w:color="BFBFBF" w:themeColor="background1" w:themeShade="BF"/>
              <w:bottom w:val="nil"/>
            </w:tcBorders>
          </w:tcPr>
          <w:p w14:paraId="54D758A4" w14:textId="7F76DC45" w:rsidR="002C0D7E" w:rsidRDefault="002C0D7E" w:rsidP="00020D74">
            <w:pPr>
              <w:spacing w:line="276" w:lineRule="auto"/>
            </w:pPr>
            <w:r>
              <w:t>Achieve results through the efficient use of resources and a commitment to quality outcomes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bottom w:val="nil"/>
            </w:tcBorders>
          </w:tcPr>
          <w:p w14:paraId="64706424" w14:textId="0FF6428B" w:rsidR="002C0D7E" w:rsidRDefault="002C0D7E" w:rsidP="00020D74">
            <w:pPr>
              <w:pStyle w:val="TableBullet"/>
              <w:numPr>
                <w:ilvl w:val="0"/>
                <w:numId w:val="0"/>
              </w:numPr>
              <w:spacing w:line="276" w:lineRule="auto"/>
              <w:jc w:val="both"/>
            </w:pPr>
            <w:r w:rsidRPr="00475104">
              <w:t>Intermediate</w:t>
            </w:r>
          </w:p>
        </w:tc>
      </w:tr>
      <w:tr w:rsidR="002C0D7E" w:rsidRPr="00C978B9" w14:paraId="0DA96C57" w14:textId="77777777" w:rsidTr="000837B6">
        <w:trPr>
          <w:trHeight w:val="697"/>
        </w:trPr>
        <w:tc>
          <w:tcPr>
            <w:tcW w:w="1349" w:type="dxa"/>
            <w:vMerge/>
          </w:tcPr>
          <w:p w14:paraId="36D94463" w14:textId="5329075A" w:rsidR="002C0D7E" w:rsidRPr="00C978B9" w:rsidRDefault="002C0D7E" w:rsidP="002C0D7E">
            <w:pPr>
              <w:keepNext/>
            </w:pPr>
          </w:p>
        </w:tc>
        <w:tc>
          <w:tcPr>
            <w:tcW w:w="2971" w:type="dxa"/>
            <w:gridSpan w:val="2"/>
            <w:tcBorders>
              <w:top w:val="nil"/>
              <w:bottom w:val="nil"/>
            </w:tcBorders>
          </w:tcPr>
          <w:p w14:paraId="48215139" w14:textId="77777777" w:rsidR="002C0D7E" w:rsidRPr="00AA57E3" w:rsidRDefault="002C0D7E" w:rsidP="00020D74">
            <w:pPr>
              <w:spacing w:line="276" w:lineRule="auto"/>
            </w:pPr>
            <w:r>
              <w:t>Plan and Prioritise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14:paraId="4135C795" w14:textId="77777777" w:rsidR="002C0D7E" w:rsidRPr="00AA57E3" w:rsidRDefault="002C0D7E" w:rsidP="00020D74">
            <w:pPr>
              <w:spacing w:line="276" w:lineRule="auto"/>
            </w:pPr>
            <w:r>
              <w:t>Plan to achieve priority outcomes and respond flexibly to changing circumstances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47366ABB" w14:textId="0924351A" w:rsidR="002C0D7E" w:rsidRDefault="002C0D7E" w:rsidP="00020D74">
            <w:pPr>
              <w:pStyle w:val="TableBullet"/>
              <w:numPr>
                <w:ilvl w:val="0"/>
                <w:numId w:val="0"/>
              </w:numPr>
              <w:spacing w:line="276" w:lineRule="auto"/>
              <w:jc w:val="both"/>
            </w:pPr>
            <w:r>
              <w:t>Intermediate</w:t>
            </w:r>
          </w:p>
        </w:tc>
      </w:tr>
      <w:tr w:rsidR="002C0D7E" w:rsidRPr="00C978B9" w14:paraId="2C345959" w14:textId="77777777" w:rsidTr="000837B6">
        <w:trPr>
          <w:trHeight w:val="690"/>
        </w:trPr>
        <w:tc>
          <w:tcPr>
            <w:tcW w:w="1349" w:type="dxa"/>
            <w:vMerge/>
          </w:tcPr>
          <w:p w14:paraId="7F1A4A5B" w14:textId="77777777" w:rsidR="002C0D7E" w:rsidRDefault="002C0D7E" w:rsidP="002C0D7E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top w:val="nil"/>
              <w:bottom w:val="single" w:sz="8" w:space="0" w:color="BFBFBF" w:themeColor="background1" w:themeShade="BF"/>
            </w:tcBorders>
          </w:tcPr>
          <w:p w14:paraId="2EA38ACF" w14:textId="77777777" w:rsidR="002C0D7E" w:rsidRPr="00A8226F" w:rsidRDefault="002C0D7E" w:rsidP="00020D74">
            <w:pPr>
              <w:spacing w:line="276" w:lineRule="auto"/>
            </w:pPr>
            <w:r>
              <w:t>Demonstrate Accountability</w:t>
            </w:r>
          </w:p>
        </w:tc>
        <w:tc>
          <w:tcPr>
            <w:tcW w:w="4770" w:type="dxa"/>
            <w:tcBorders>
              <w:top w:val="nil"/>
              <w:bottom w:val="single" w:sz="8" w:space="0" w:color="BFBFBF" w:themeColor="background1" w:themeShade="BF"/>
            </w:tcBorders>
          </w:tcPr>
          <w:p w14:paraId="5310FA72" w14:textId="77777777" w:rsidR="002C0D7E" w:rsidRDefault="002C0D7E" w:rsidP="00020D74">
            <w:pPr>
              <w:spacing w:line="276" w:lineRule="auto"/>
            </w:pPr>
            <w:r>
              <w:t xml:space="preserve">Be proactive and responsible for own actions, and adhere to legislation, </w:t>
            </w:r>
            <w:proofErr w:type="gramStart"/>
            <w:r>
              <w:t>policy</w:t>
            </w:r>
            <w:proofErr w:type="gramEnd"/>
            <w:r>
              <w:t xml:space="preserve"> and guidelines</w:t>
            </w:r>
          </w:p>
        </w:tc>
        <w:tc>
          <w:tcPr>
            <w:tcW w:w="1683" w:type="dxa"/>
            <w:tcBorders>
              <w:top w:val="nil"/>
              <w:bottom w:val="single" w:sz="8" w:space="0" w:color="BFBFBF" w:themeColor="background1" w:themeShade="BF"/>
            </w:tcBorders>
          </w:tcPr>
          <w:p w14:paraId="4D64B9AF" w14:textId="1B4B6553" w:rsidR="002C0D7E" w:rsidRDefault="002C0D7E" w:rsidP="00020D74">
            <w:pPr>
              <w:pStyle w:val="TableBullet"/>
              <w:numPr>
                <w:ilvl w:val="0"/>
                <w:numId w:val="0"/>
              </w:numPr>
              <w:spacing w:line="276" w:lineRule="auto"/>
              <w:jc w:val="both"/>
            </w:pPr>
            <w:r>
              <w:t>Intermediate</w:t>
            </w:r>
          </w:p>
        </w:tc>
      </w:tr>
      <w:tr w:rsidR="002C0D7E" w:rsidRPr="00C978B9" w14:paraId="3A742DB5" w14:textId="77777777" w:rsidTr="000837B6">
        <w:trPr>
          <w:trHeight w:val="686"/>
        </w:trPr>
        <w:tc>
          <w:tcPr>
            <w:tcW w:w="1349" w:type="dxa"/>
            <w:vMerge w:val="restart"/>
            <w:tcBorders>
              <w:bottom w:val="single" w:sz="4" w:space="0" w:color="BCBEC0"/>
            </w:tcBorders>
          </w:tcPr>
          <w:p w14:paraId="17972565" w14:textId="77777777" w:rsidR="002C0D7E" w:rsidRPr="00C978B9" w:rsidRDefault="002C0D7E" w:rsidP="002C0D7E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E2A492D" wp14:editId="374646FF">
                  <wp:extent cx="845388" cy="845388"/>
                  <wp:effectExtent l="0" t="0" r="0" b="0"/>
                  <wp:docPr id="4" name="business-enabl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top w:val="single" w:sz="8" w:space="0" w:color="BFBFBF" w:themeColor="background1" w:themeShade="BF"/>
              <w:bottom w:val="nil"/>
            </w:tcBorders>
          </w:tcPr>
          <w:p w14:paraId="1C824393" w14:textId="77777777" w:rsidR="002C0D7E" w:rsidRPr="00AA57E3" w:rsidRDefault="002C0D7E" w:rsidP="00020D74">
            <w:pPr>
              <w:spacing w:line="276" w:lineRule="auto"/>
            </w:pPr>
            <w:r>
              <w:t>Finance</w:t>
            </w:r>
          </w:p>
        </w:tc>
        <w:tc>
          <w:tcPr>
            <w:tcW w:w="4770" w:type="dxa"/>
            <w:tcBorders>
              <w:top w:val="single" w:sz="8" w:space="0" w:color="BFBFBF" w:themeColor="background1" w:themeShade="BF"/>
              <w:bottom w:val="nil"/>
            </w:tcBorders>
          </w:tcPr>
          <w:p w14:paraId="4C671480" w14:textId="77777777" w:rsidR="002C0D7E" w:rsidRPr="00AA57E3" w:rsidRDefault="002C0D7E" w:rsidP="00020D74">
            <w:pPr>
              <w:spacing w:line="276" w:lineRule="auto"/>
            </w:pPr>
            <w:r>
              <w:t>Understand and apply financial processes to achieve value for money and minimise financial risk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bottom w:val="nil"/>
            </w:tcBorders>
          </w:tcPr>
          <w:p w14:paraId="298A51E3" w14:textId="210278C0" w:rsidR="002C0D7E" w:rsidRDefault="002C0D7E" w:rsidP="00020D74">
            <w:pPr>
              <w:pStyle w:val="TableBullet"/>
              <w:numPr>
                <w:ilvl w:val="0"/>
                <w:numId w:val="0"/>
              </w:numPr>
              <w:spacing w:line="276" w:lineRule="auto"/>
              <w:jc w:val="both"/>
            </w:pPr>
            <w:r w:rsidRPr="00475104">
              <w:t>Intermediate</w:t>
            </w:r>
          </w:p>
        </w:tc>
      </w:tr>
      <w:tr w:rsidR="00367FBD" w:rsidRPr="00C978B9" w14:paraId="298DB82C" w14:textId="77777777" w:rsidTr="000837B6">
        <w:trPr>
          <w:trHeight w:val="695"/>
        </w:trPr>
        <w:tc>
          <w:tcPr>
            <w:tcW w:w="1349" w:type="dxa"/>
            <w:vMerge/>
          </w:tcPr>
          <w:p w14:paraId="160A5418" w14:textId="77777777" w:rsidR="00367FBD" w:rsidRDefault="00367FBD" w:rsidP="00367FBD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top w:val="nil"/>
              <w:bottom w:val="nil"/>
            </w:tcBorders>
          </w:tcPr>
          <w:p w14:paraId="2548E04E" w14:textId="0768D3A9" w:rsidR="00367FBD" w:rsidRPr="00A8226F" w:rsidRDefault="00367FBD" w:rsidP="00367FBD">
            <w:pPr>
              <w:spacing w:line="276" w:lineRule="auto"/>
            </w:pPr>
            <w:r>
              <w:t>Procurement and Contract Management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14:paraId="77D1E407" w14:textId="5B8CBCB4" w:rsidR="00367FBD" w:rsidRDefault="00367FBD" w:rsidP="00367FBD">
            <w:pPr>
              <w:spacing w:line="276" w:lineRule="auto"/>
            </w:pPr>
            <w:r>
              <w:t>Understand and apply procurement processes to ensure effective purchasing and contract performance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4A25DCA0" w14:textId="41303C14" w:rsidR="00367FBD" w:rsidRDefault="00367FBD" w:rsidP="00367FBD">
            <w:pPr>
              <w:pStyle w:val="TableBullet"/>
              <w:numPr>
                <w:ilvl w:val="0"/>
                <w:numId w:val="0"/>
              </w:numPr>
              <w:spacing w:line="276" w:lineRule="auto"/>
              <w:jc w:val="both"/>
            </w:pPr>
            <w:r>
              <w:t>Intermediate</w:t>
            </w:r>
          </w:p>
        </w:tc>
      </w:tr>
      <w:tr w:rsidR="00367FBD" w:rsidRPr="00C978B9" w14:paraId="35E6E267" w14:textId="77777777" w:rsidTr="000837B6">
        <w:tc>
          <w:tcPr>
            <w:tcW w:w="1349" w:type="dxa"/>
            <w:vMerge/>
            <w:tcBorders>
              <w:bottom w:val="single" w:sz="8" w:space="0" w:color="BFBFBF" w:themeColor="background1" w:themeShade="BF"/>
            </w:tcBorders>
          </w:tcPr>
          <w:p w14:paraId="3CDF45DA" w14:textId="77777777" w:rsidR="00367FBD" w:rsidRDefault="00367FBD" w:rsidP="00367FBD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top w:val="nil"/>
              <w:bottom w:val="single" w:sz="8" w:space="0" w:color="BFBFBF" w:themeColor="background1" w:themeShade="BF"/>
            </w:tcBorders>
          </w:tcPr>
          <w:p w14:paraId="5C879C2D" w14:textId="2BE98DF8" w:rsidR="00367FBD" w:rsidRPr="00A8226F" w:rsidRDefault="00367FBD" w:rsidP="00367FBD">
            <w:pPr>
              <w:spacing w:line="276" w:lineRule="auto"/>
            </w:pPr>
          </w:p>
        </w:tc>
        <w:tc>
          <w:tcPr>
            <w:tcW w:w="4770" w:type="dxa"/>
            <w:tcBorders>
              <w:top w:val="nil"/>
              <w:bottom w:val="single" w:sz="8" w:space="0" w:color="BFBFBF" w:themeColor="background1" w:themeShade="BF"/>
            </w:tcBorders>
          </w:tcPr>
          <w:p w14:paraId="597F5E56" w14:textId="5795E11A" w:rsidR="00367FBD" w:rsidRDefault="00367FBD" w:rsidP="00367FBD">
            <w:pPr>
              <w:spacing w:line="276" w:lineRule="auto"/>
            </w:pPr>
          </w:p>
        </w:tc>
        <w:tc>
          <w:tcPr>
            <w:tcW w:w="1683" w:type="dxa"/>
            <w:tcBorders>
              <w:top w:val="nil"/>
              <w:bottom w:val="single" w:sz="8" w:space="0" w:color="BFBFBF" w:themeColor="background1" w:themeShade="BF"/>
            </w:tcBorders>
          </w:tcPr>
          <w:p w14:paraId="0652E9FA" w14:textId="727D9A50" w:rsidR="00367FBD" w:rsidRDefault="00367FBD" w:rsidP="00367FBD">
            <w:pPr>
              <w:pStyle w:val="TableBullet"/>
              <w:numPr>
                <w:ilvl w:val="0"/>
                <w:numId w:val="0"/>
              </w:numPr>
              <w:spacing w:line="276" w:lineRule="auto"/>
              <w:jc w:val="both"/>
            </w:pPr>
          </w:p>
        </w:tc>
      </w:tr>
    </w:tbl>
    <w:p w14:paraId="36D30F39" w14:textId="77777777" w:rsidR="004D15E4" w:rsidRPr="003927AE" w:rsidRDefault="004D15E4" w:rsidP="003927AE"/>
    <w:sectPr w:rsidR="004D15E4" w:rsidRPr="003927AE" w:rsidSect="009D747B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899A" w14:textId="77777777" w:rsidR="00765C1C" w:rsidRDefault="00765C1C" w:rsidP="00BB532F">
      <w:pPr>
        <w:spacing w:after="0" w:line="240" w:lineRule="auto"/>
      </w:pPr>
      <w:r>
        <w:separator/>
      </w:r>
    </w:p>
  </w:endnote>
  <w:endnote w:type="continuationSeparator" w:id="0">
    <w:p w14:paraId="3A7BEDA1" w14:textId="77777777" w:rsidR="00765C1C" w:rsidRDefault="00765C1C" w:rsidP="00BB532F">
      <w:pPr>
        <w:spacing w:after="0" w:line="240" w:lineRule="auto"/>
      </w:pPr>
      <w:r>
        <w:continuationSeparator/>
      </w:r>
    </w:p>
  </w:endnote>
  <w:endnote w:type="continuationNotice" w:id="1">
    <w:p w14:paraId="31B66602" w14:textId="77777777" w:rsidR="00765C1C" w:rsidRDefault="00765C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9299" w14:textId="738902FC" w:rsidR="00BB3C8F" w:rsidRDefault="00564BE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A4463BF" wp14:editId="21038F1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8415"/>
              <wp:wrapSquare wrapText="bothSides"/>
              <wp:docPr id="15" name="Text Box 1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0F9FE" w14:textId="0CD34B7C" w:rsidR="00564BEB" w:rsidRPr="00D02F57" w:rsidRDefault="00564BE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D02F5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463B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DlKMPhJAIAAE8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1890F9FE" w14:textId="0CD34B7C" w:rsidR="00564BEB" w:rsidRPr="00D02F57" w:rsidRDefault="00564BE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D02F57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6657CF" w14:paraId="51228467" w14:textId="77777777" w:rsidTr="00C03AFD">
      <w:tc>
        <w:tcPr>
          <w:tcW w:w="2250" w:type="pct"/>
          <w:vAlign w:val="center"/>
        </w:tcPr>
        <w:p w14:paraId="7001320F" w14:textId="02A6052B" w:rsidR="006657CF" w:rsidRDefault="006657CF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CB2389">
            <w:rPr>
              <w:color w:val="928B81"/>
              <w:sz w:val="18"/>
            </w:rPr>
            <w:t>: Senior Analyst</w:t>
          </w:r>
          <w:r w:rsidR="000837B6">
            <w:rPr>
              <w:color w:val="928B81"/>
              <w:sz w:val="18"/>
            </w:rPr>
            <w:t xml:space="preserve"> – Closing the Gap</w:t>
          </w:r>
        </w:p>
      </w:tc>
      <w:tc>
        <w:tcPr>
          <w:tcW w:w="250" w:type="pct"/>
          <w:vAlign w:val="center"/>
        </w:tcPr>
        <w:p w14:paraId="78EA611B" w14:textId="77777777" w:rsidR="006657CF" w:rsidRPr="00C03AFD" w:rsidRDefault="006657CF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529C4C28" w14:textId="59911BAE" w:rsidR="006657CF" w:rsidRDefault="006657CF" w:rsidP="00C03AFD">
          <w:pPr>
            <w:pStyle w:val="Footer"/>
            <w:jc w:val="right"/>
          </w:pPr>
        </w:p>
      </w:tc>
    </w:tr>
  </w:tbl>
  <w:p w14:paraId="343E5682" w14:textId="77777777" w:rsidR="006657CF" w:rsidRDefault="00665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6657CF" w14:paraId="012CFC23" w14:textId="77777777" w:rsidTr="0047547E">
      <w:trPr>
        <w:trHeight w:val="811"/>
      </w:trPr>
      <w:tc>
        <w:tcPr>
          <w:tcW w:w="10005" w:type="dxa"/>
          <w:vAlign w:val="bottom"/>
        </w:tcPr>
        <w:p w14:paraId="2FBC542C" w14:textId="3A3E8044" w:rsidR="006657CF" w:rsidRPr="00051237" w:rsidRDefault="006657CF" w:rsidP="006657CF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66F5DD05" w14:textId="77777777" w:rsidR="006657CF" w:rsidRDefault="006657CF" w:rsidP="006657C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52D0CE31" wp14:editId="2F82FE80">
                <wp:extent cx="555625" cy="581660"/>
                <wp:effectExtent l="0" t="0" r="0" b="889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_Work_For_NSW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D16CBC" w14:textId="77777777" w:rsidR="006657CF" w:rsidRDefault="00665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9450" w14:textId="77777777" w:rsidR="00765C1C" w:rsidRDefault="00765C1C" w:rsidP="00BB532F">
      <w:pPr>
        <w:spacing w:after="0" w:line="240" w:lineRule="auto"/>
      </w:pPr>
      <w:r>
        <w:separator/>
      </w:r>
    </w:p>
  </w:footnote>
  <w:footnote w:type="continuationSeparator" w:id="0">
    <w:p w14:paraId="7E9146A1" w14:textId="77777777" w:rsidR="00765C1C" w:rsidRDefault="00765C1C" w:rsidP="00BB532F">
      <w:pPr>
        <w:spacing w:after="0" w:line="240" w:lineRule="auto"/>
      </w:pPr>
      <w:r>
        <w:continuationSeparator/>
      </w:r>
    </w:p>
  </w:footnote>
  <w:footnote w:type="continuationNotice" w:id="1">
    <w:p w14:paraId="562A6226" w14:textId="77777777" w:rsidR="00765C1C" w:rsidRDefault="00765C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BB5D" w14:textId="60C90AC7" w:rsidR="00BB3C8F" w:rsidRDefault="00564BE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AF63B7" wp14:editId="6C2F878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841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848CAA" w14:textId="3D1510BA" w:rsidR="00564BEB" w:rsidRPr="00D02F57" w:rsidRDefault="00564BE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D02F5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F63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09848CAA" w14:textId="3D1510BA" w:rsidR="00564BEB" w:rsidRPr="00D02F57" w:rsidRDefault="00564BE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D02F57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6657CF" w14:paraId="23741673" w14:textId="77777777" w:rsidTr="00894A73">
      <w:trPr>
        <w:trHeight w:val="813"/>
      </w:trPr>
      <w:tc>
        <w:tcPr>
          <w:tcW w:w="7082" w:type="dxa"/>
        </w:tcPr>
        <w:p w14:paraId="76DBC4D8" w14:textId="6C77FD5D" w:rsidR="006657CF" w:rsidRDefault="006657CF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  <w:r>
            <w:rPr>
              <w:rFonts w:ascii="Arial" w:hAnsi="Arial" w:cs="Arial"/>
            </w:rPr>
            <w:t xml:space="preserve"> </w:t>
          </w:r>
        </w:p>
        <w:p w14:paraId="41B311A2" w14:textId="17312321" w:rsidR="00604263" w:rsidRDefault="00604263" w:rsidP="001C2248">
          <w:pPr>
            <w:pStyle w:val="TitleSub"/>
            <w:spacing w:after="0"/>
            <w:rPr>
              <w:b/>
              <w:bCs/>
            </w:rPr>
          </w:pPr>
          <w:r>
            <w:rPr>
              <w:b/>
              <w:bCs/>
            </w:rPr>
            <w:t>Premier’s Implementation Unit</w:t>
          </w:r>
        </w:p>
        <w:p w14:paraId="681B9238" w14:textId="46291351" w:rsidR="006657CF" w:rsidRPr="00CA1366" w:rsidRDefault="00CA1366" w:rsidP="001C2248">
          <w:pPr>
            <w:pStyle w:val="TitleSub"/>
            <w:spacing w:after="0"/>
            <w:rPr>
              <w:rFonts w:ascii="Arial" w:hAnsi="Arial" w:cs="Arial"/>
              <w:b/>
              <w:bCs/>
            </w:rPr>
          </w:pPr>
          <w:r w:rsidRPr="00CA1366">
            <w:rPr>
              <w:b/>
              <w:bCs/>
            </w:rPr>
            <w:t>Senior A</w:t>
          </w:r>
          <w:r w:rsidR="002A0786">
            <w:rPr>
              <w:b/>
              <w:bCs/>
            </w:rPr>
            <w:t>nalyst</w:t>
          </w:r>
          <w:r w:rsidR="00CB2389">
            <w:rPr>
              <w:b/>
              <w:bCs/>
            </w:rPr>
            <w:t xml:space="preserve"> – Closing the Gap</w:t>
          </w:r>
        </w:p>
      </w:tc>
      <w:tc>
        <w:tcPr>
          <w:tcW w:w="3688" w:type="dxa"/>
        </w:tcPr>
        <w:p w14:paraId="04C56303" w14:textId="77777777" w:rsidR="006657CF" w:rsidRPr="000477E1" w:rsidRDefault="006657CF" w:rsidP="00030565">
          <w:pPr>
            <w:jc w:val="right"/>
          </w:pPr>
        </w:p>
      </w:tc>
    </w:tr>
  </w:tbl>
  <w:p w14:paraId="378E01A2" w14:textId="77777777" w:rsidR="006657CF" w:rsidRDefault="006657CF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82468"/>
    <w:multiLevelType w:val="hybridMultilevel"/>
    <w:tmpl w:val="C6B80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767E3"/>
    <w:multiLevelType w:val="hybridMultilevel"/>
    <w:tmpl w:val="6BE2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E47DF"/>
    <w:multiLevelType w:val="hybridMultilevel"/>
    <w:tmpl w:val="2C0C2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B06E7"/>
    <w:multiLevelType w:val="hybridMultilevel"/>
    <w:tmpl w:val="E218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5F90"/>
    <w:multiLevelType w:val="hybridMultilevel"/>
    <w:tmpl w:val="EF3A1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0816EA"/>
    <w:multiLevelType w:val="hybridMultilevel"/>
    <w:tmpl w:val="ACB8C1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852E90"/>
    <w:multiLevelType w:val="hybridMultilevel"/>
    <w:tmpl w:val="EE36539E"/>
    <w:lvl w:ilvl="0" w:tplc="299243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1DA3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B60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41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AB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A4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62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08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DCF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37E35"/>
    <w:multiLevelType w:val="hybridMultilevel"/>
    <w:tmpl w:val="17428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4"/>
  </w:num>
  <w:num w:numId="14">
    <w:abstractNumId w:val="8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GytDS2NDAzNjMwtjBT0lEKTi0uzszPAymwqAUAKGGqviwAAAA="/>
  </w:docVars>
  <w:rsids>
    <w:rsidRoot w:val="00BB532F"/>
    <w:rsid w:val="00005219"/>
    <w:rsid w:val="0001016C"/>
    <w:rsid w:val="0001706E"/>
    <w:rsid w:val="00020023"/>
    <w:rsid w:val="00020D74"/>
    <w:rsid w:val="00022223"/>
    <w:rsid w:val="00024E73"/>
    <w:rsid w:val="00026543"/>
    <w:rsid w:val="00027E23"/>
    <w:rsid w:val="00030565"/>
    <w:rsid w:val="00031A8E"/>
    <w:rsid w:val="0003263C"/>
    <w:rsid w:val="00035639"/>
    <w:rsid w:val="0003564E"/>
    <w:rsid w:val="00037FD5"/>
    <w:rsid w:val="000411F6"/>
    <w:rsid w:val="0004650F"/>
    <w:rsid w:val="000477E1"/>
    <w:rsid w:val="00060B58"/>
    <w:rsid w:val="000645C8"/>
    <w:rsid w:val="00067161"/>
    <w:rsid w:val="00071332"/>
    <w:rsid w:val="00081FF0"/>
    <w:rsid w:val="000837B6"/>
    <w:rsid w:val="000937FC"/>
    <w:rsid w:val="000A2621"/>
    <w:rsid w:val="000C00E5"/>
    <w:rsid w:val="000C3CC8"/>
    <w:rsid w:val="000D12B3"/>
    <w:rsid w:val="000D51EC"/>
    <w:rsid w:val="000D799A"/>
    <w:rsid w:val="000F231F"/>
    <w:rsid w:val="000F6704"/>
    <w:rsid w:val="00101763"/>
    <w:rsid w:val="00104EC7"/>
    <w:rsid w:val="001050D9"/>
    <w:rsid w:val="001062EB"/>
    <w:rsid w:val="001336E8"/>
    <w:rsid w:val="0013413E"/>
    <w:rsid w:val="00134F5E"/>
    <w:rsid w:val="001379A7"/>
    <w:rsid w:val="00141683"/>
    <w:rsid w:val="00153F10"/>
    <w:rsid w:val="00162560"/>
    <w:rsid w:val="00165754"/>
    <w:rsid w:val="00167147"/>
    <w:rsid w:val="001671DC"/>
    <w:rsid w:val="0017259C"/>
    <w:rsid w:val="00172DFE"/>
    <w:rsid w:val="00172F4D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2784"/>
    <w:rsid w:val="001B5DFD"/>
    <w:rsid w:val="001B75A6"/>
    <w:rsid w:val="001C0E5F"/>
    <w:rsid w:val="001C2248"/>
    <w:rsid w:val="001C23F4"/>
    <w:rsid w:val="001C5166"/>
    <w:rsid w:val="001C5A46"/>
    <w:rsid w:val="001D097C"/>
    <w:rsid w:val="001D5C3F"/>
    <w:rsid w:val="001E2792"/>
    <w:rsid w:val="001E27DB"/>
    <w:rsid w:val="001E49B2"/>
    <w:rsid w:val="001E6C77"/>
    <w:rsid w:val="001F030A"/>
    <w:rsid w:val="001F13DF"/>
    <w:rsid w:val="001F23E9"/>
    <w:rsid w:val="001F2503"/>
    <w:rsid w:val="001F4B2B"/>
    <w:rsid w:val="001F7DED"/>
    <w:rsid w:val="00201E8B"/>
    <w:rsid w:val="0020219E"/>
    <w:rsid w:val="00205A8A"/>
    <w:rsid w:val="00210924"/>
    <w:rsid w:val="00211F68"/>
    <w:rsid w:val="002257B1"/>
    <w:rsid w:val="00237421"/>
    <w:rsid w:val="00240A8E"/>
    <w:rsid w:val="00252532"/>
    <w:rsid w:val="00263ACB"/>
    <w:rsid w:val="00266912"/>
    <w:rsid w:val="00275314"/>
    <w:rsid w:val="00280240"/>
    <w:rsid w:val="00280887"/>
    <w:rsid w:val="0028314F"/>
    <w:rsid w:val="00285831"/>
    <w:rsid w:val="00287C54"/>
    <w:rsid w:val="002964B7"/>
    <w:rsid w:val="00297D58"/>
    <w:rsid w:val="002A0786"/>
    <w:rsid w:val="002A0E9C"/>
    <w:rsid w:val="002A648F"/>
    <w:rsid w:val="002B0B83"/>
    <w:rsid w:val="002B1F76"/>
    <w:rsid w:val="002B5704"/>
    <w:rsid w:val="002B6409"/>
    <w:rsid w:val="002C02EF"/>
    <w:rsid w:val="002C0D7E"/>
    <w:rsid w:val="002C2823"/>
    <w:rsid w:val="002C4A62"/>
    <w:rsid w:val="002C616A"/>
    <w:rsid w:val="002D336D"/>
    <w:rsid w:val="002D36BB"/>
    <w:rsid w:val="00300C40"/>
    <w:rsid w:val="00301747"/>
    <w:rsid w:val="00302CDC"/>
    <w:rsid w:val="00320E9A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54DC2"/>
    <w:rsid w:val="00361F4E"/>
    <w:rsid w:val="0036206B"/>
    <w:rsid w:val="0036462D"/>
    <w:rsid w:val="00367FBD"/>
    <w:rsid w:val="00372A99"/>
    <w:rsid w:val="00373737"/>
    <w:rsid w:val="003746BD"/>
    <w:rsid w:val="00375289"/>
    <w:rsid w:val="00375335"/>
    <w:rsid w:val="00377118"/>
    <w:rsid w:val="00382293"/>
    <w:rsid w:val="00385F4E"/>
    <w:rsid w:val="00392764"/>
    <w:rsid w:val="003927AE"/>
    <w:rsid w:val="0039395B"/>
    <w:rsid w:val="00396278"/>
    <w:rsid w:val="003A1185"/>
    <w:rsid w:val="003A1A14"/>
    <w:rsid w:val="003A2AFA"/>
    <w:rsid w:val="003A3538"/>
    <w:rsid w:val="003A7E3D"/>
    <w:rsid w:val="003B0F42"/>
    <w:rsid w:val="003B2594"/>
    <w:rsid w:val="003B403A"/>
    <w:rsid w:val="003B7ECE"/>
    <w:rsid w:val="003C00FD"/>
    <w:rsid w:val="003C031F"/>
    <w:rsid w:val="003C2846"/>
    <w:rsid w:val="003C5EB3"/>
    <w:rsid w:val="003D5227"/>
    <w:rsid w:val="003E2663"/>
    <w:rsid w:val="00411F3E"/>
    <w:rsid w:val="0041525E"/>
    <w:rsid w:val="00416D58"/>
    <w:rsid w:val="004203B4"/>
    <w:rsid w:val="004362BF"/>
    <w:rsid w:val="00436621"/>
    <w:rsid w:val="00442732"/>
    <w:rsid w:val="00443BCB"/>
    <w:rsid w:val="0045299A"/>
    <w:rsid w:val="00466287"/>
    <w:rsid w:val="00466DCC"/>
    <w:rsid w:val="0047295B"/>
    <w:rsid w:val="0047547E"/>
    <w:rsid w:val="00477EB1"/>
    <w:rsid w:val="00485570"/>
    <w:rsid w:val="00492AA6"/>
    <w:rsid w:val="004951A1"/>
    <w:rsid w:val="00497EC1"/>
    <w:rsid w:val="004C45E2"/>
    <w:rsid w:val="004D0C22"/>
    <w:rsid w:val="004D15E4"/>
    <w:rsid w:val="004D20F2"/>
    <w:rsid w:val="004D27C8"/>
    <w:rsid w:val="004D3F0A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55F14"/>
    <w:rsid w:val="005640D2"/>
    <w:rsid w:val="00564BEB"/>
    <w:rsid w:val="00582DEB"/>
    <w:rsid w:val="00585679"/>
    <w:rsid w:val="0059035B"/>
    <w:rsid w:val="005A2DF4"/>
    <w:rsid w:val="005A3423"/>
    <w:rsid w:val="005A397B"/>
    <w:rsid w:val="005B10E1"/>
    <w:rsid w:val="005B5053"/>
    <w:rsid w:val="005C0A16"/>
    <w:rsid w:val="005C17BD"/>
    <w:rsid w:val="005C7AF5"/>
    <w:rsid w:val="005D1C3A"/>
    <w:rsid w:val="005D4AF1"/>
    <w:rsid w:val="005D71EA"/>
    <w:rsid w:val="005E00DD"/>
    <w:rsid w:val="005E6C59"/>
    <w:rsid w:val="005E75FC"/>
    <w:rsid w:val="005F4B69"/>
    <w:rsid w:val="005F5BAC"/>
    <w:rsid w:val="005F5FD1"/>
    <w:rsid w:val="005F7EE8"/>
    <w:rsid w:val="00600C7E"/>
    <w:rsid w:val="006022B4"/>
    <w:rsid w:val="00603D53"/>
    <w:rsid w:val="00604263"/>
    <w:rsid w:val="006048E6"/>
    <w:rsid w:val="00612673"/>
    <w:rsid w:val="00612AFA"/>
    <w:rsid w:val="00614552"/>
    <w:rsid w:val="00621D45"/>
    <w:rsid w:val="00623950"/>
    <w:rsid w:val="006259A9"/>
    <w:rsid w:val="00626492"/>
    <w:rsid w:val="0062706C"/>
    <w:rsid w:val="0063544E"/>
    <w:rsid w:val="00640189"/>
    <w:rsid w:val="00641712"/>
    <w:rsid w:val="00650234"/>
    <w:rsid w:val="006538BF"/>
    <w:rsid w:val="006635FB"/>
    <w:rsid w:val="006657CF"/>
    <w:rsid w:val="00665CB9"/>
    <w:rsid w:val="006726D3"/>
    <w:rsid w:val="00674D4C"/>
    <w:rsid w:val="006757E1"/>
    <w:rsid w:val="00683870"/>
    <w:rsid w:val="00687113"/>
    <w:rsid w:val="00695EAB"/>
    <w:rsid w:val="006A10C8"/>
    <w:rsid w:val="006A2280"/>
    <w:rsid w:val="006A2A7F"/>
    <w:rsid w:val="006A39AA"/>
    <w:rsid w:val="006B4C29"/>
    <w:rsid w:val="006B723B"/>
    <w:rsid w:val="006B7CBE"/>
    <w:rsid w:val="006C2473"/>
    <w:rsid w:val="006C4218"/>
    <w:rsid w:val="006D1FBC"/>
    <w:rsid w:val="006D4FA5"/>
    <w:rsid w:val="006E28E7"/>
    <w:rsid w:val="006F6652"/>
    <w:rsid w:val="006F7124"/>
    <w:rsid w:val="006F7FA4"/>
    <w:rsid w:val="007017FB"/>
    <w:rsid w:val="00701F8B"/>
    <w:rsid w:val="007041EA"/>
    <w:rsid w:val="007249EC"/>
    <w:rsid w:val="00735B28"/>
    <w:rsid w:val="00735E89"/>
    <w:rsid w:val="00737756"/>
    <w:rsid w:val="00742966"/>
    <w:rsid w:val="00753EEE"/>
    <w:rsid w:val="00765C1C"/>
    <w:rsid w:val="00767553"/>
    <w:rsid w:val="007736B4"/>
    <w:rsid w:val="00773975"/>
    <w:rsid w:val="00776DCB"/>
    <w:rsid w:val="00780299"/>
    <w:rsid w:val="0078220B"/>
    <w:rsid w:val="007862DE"/>
    <w:rsid w:val="00786A0F"/>
    <w:rsid w:val="0079076A"/>
    <w:rsid w:val="00792923"/>
    <w:rsid w:val="00792A3E"/>
    <w:rsid w:val="00792D40"/>
    <w:rsid w:val="00794CC1"/>
    <w:rsid w:val="00794E0E"/>
    <w:rsid w:val="00795244"/>
    <w:rsid w:val="007A4C7F"/>
    <w:rsid w:val="007B32AB"/>
    <w:rsid w:val="007B7C1F"/>
    <w:rsid w:val="007C0486"/>
    <w:rsid w:val="007C21C8"/>
    <w:rsid w:val="007C2F29"/>
    <w:rsid w:val="007C5DF5"/>
    <w:rsid w:val="007D0E2E"/>
    <w:rsid w:val="007D202A"/>
    <w:rsid w:val="007D66A9"/>
    <w:rsid w:val="007E0AD9"/>
    <w:rsid w:val="007E14EE"/>
    <w:rsid w:val="007E2572"/>
    <w:rsid w:val="007E2FB7"/>
    <w:rsid w:val="007E77DC"/>
    <w:rsid w:val="00801E41"/>
    <w:rsid w:val="008044BB"/>
    <w:rsid w:val="00805561"/>
    <w:rsid w:val="00806FE1"/>
    <w:rsid w:val="00807ED1"/>
    <w:rsid w:val="00812427"/>
    <w:rsid w:val="00817B11"/>
    <w:rsid w:val="008203EE"/>
    <w:rsid w:val="008267A0"/>
    <w:rsid w:val="008308A7"/>
    <w:rsid w:val="008327FB"/>
    <w:rsid w:val="00833EC0"/>
    <w:rsid w:val="0083547C"/>
    <w:rsid w:val="008356B9"/>
    <w:rsid w:val="00843197"/>
    <w:rsid w:val="0084587A"/>
    <w:rsid w:val="00846A32"/>
    <w:rsid w:val="008476E6"/>
    <w:rsid w:val="0085706D"/>
    <w:rsid w:val="00860904"/>
    <w:rsid w:val="008616CB"/>
    <w:rsid w:val="00861804"/>
    <w:rsid w:val="00861D51"/>
    <w:rsid w:val="0087029B"/>
    <w:rsid w:val="0087582A"/>
    <w:rsid w:val="0089033C"/>
    <w:rsid w:val="00893D99"/>
    <w:rsid w:val="00894A73"/>
    <w:rsid w:val="00895190"/>
    <w:rsid w:val="008A0EBB"/>
    <w:rsid w:val="008A1337"/>
    <w:rsid w:val="008A13AC"/>
    <w:rsid w:val="008A4019"/>
    <w:rsid w:val="008A5CC3"/>
    <w:rsid w:val="008B2BE2"/>
    <w:rsid w:val="008B648A"/>
    <w:rsid w:val="008B6D2E"/>
    <w:rsid w:val="008B74C1"/>
    <w:rsid w:val="008C0B4D"/>
    <w:rsid w:val="008C37C8"/>
    <w:rsid w:val="008D7766"/>
    <w:rsid w:val="008E0495"/>
    <w:rsid w:val="008E08E3"/>
    <w:rsid w:val="008F0EC7"/>
    <w:rsid w:val="008F23E9"/>
    <w:rsid w:val="008F4C2C"/>
    <w:rsid w:val="00902EC0"/>
    <w:rsid w:val="00903362"/>
    <w:rsid w:val="009077E2"/>
    <w:rsid w:val="00910F45"/>
    <w:rsid w:val="00911725"/>
    <w:rsid w:val="00917E5E"/>
    <w:rsid w:val="00926AD1"/>
    <w:rsid w:val="009351E9"/>
    <w:rsid w:val="00935EE2"/>
    <w:rsid w:val="00940C04"/>
    <w:rsid w:val="00943265"/>
    <w:rsid w:val="009478AB"/>
    <w:rsid w:val="009523EC"/>
    <w:rsid w:val="00956E94"/>
    <w:rsid w:val="00957666"/>
    <w:rsid w:val="0096304A"/>
    <w:rsid w:val="00963288"/>
    <w:rsid w:val="00964A6C"/>
    <w:rsid w:val="00970179"/>
    <w:rsid w:val="00971B81"/>
    <w:rsid w:val="00977E40"/>
    <w:rsid w:val="00981D06"/>
    <w:rsid w:val="00982D33"/>
    <w:rsid w:val="00985984"/>
    <w:rsid w:val="00994DCE"/>
    <w:rsid w:val="0099587E"/>
    <w:rsid w:val="00995B4C"/>
    <w:rsid w:val="00996C57"/>
    <w:rsid w:val="009979FA"/>
    <w:rsid w:val="009A0BE2"/>
    <w:rsid w:val="009B3103"/>
    <w:rsid w:val="009C12FA"/>
    <w:rsid w:val="009D02BD"/>
    <w:rsid w:val="009D72FE"/>
    <w:rsid w:val="009D747B"/>
    <w:rsid w:val="009D7B94"/>
    <w:rsid w:val="009F1F07"/>
    <w:rsid w:val="009F21A8"/>
    <w:rsid w:val="009F58B1"/>
    <w:rsid w:val="009F60D2"/>
    <w:rsid w:val="009F61B1"/>
    <w:rsid w:val="00A00C30"/>
    <w:rsid w:val="00A02AEF"/>
    <w:rsid w:val="00A11071"/>
    <w:rsid w:val="00A14A03"/>
    <w:rsid w:val="00A2122C"/>
    <w:rsid w:val="00A22442"/>
    <w:rsid w:val="00A24264"/>
    <w:rsid w:val="00A32CD7"/>
    <w:rsid w:val="00A3722E"/>
    <w:rsid w:val="00A402A5"/>
    <w:rsid w:val="00A40DED"/>
    <w:rsid w:val="00A41E4E"/>
    <w:rsid w:val="00A4412E"/>
    <w:rsid w:val="00A47353"/>
    <w:rsid w:val="00A5619F"/>
    <w:rsid w:val="00A6675F"/>
    <w:rsid w:val="00A707E0"/>
    <w:rsid w:val="00A71B5A"/>
    <w:rsid w:val="00A73C38"/>
    <w:rsid w:val="00A75A17"/>
    <w:rsid w:val="00A77B0C"/>
    <w:rsid w:val="00A83932"/>
    <w:rsid w:val="00A85305"/>
    <w:rsid w:val="00A8686E"/>
    <w:rsid w:val="00A8732A"/>
    <w:rsid w:val="00A91173"/>
    <w:rsid w:val="00A970A2"/>
    <w:rsid w:val="00AA34F3"/>
    <w:rsid w:val="00AA3C16"/>
    <w:rsid w:val="00AA4CD8"/>
    <w:rsid w:val="00AB120A"/>
    <w:rsid w:val="00AB50E4"/>
    <w:rsid w:val="00AC04D7"/>
    <w:rsid w:val="00AC1AF9"/>
    <w:rsid w:val="00AC742D"/>
    <w:rsid w:val="00AC7DC9"/>
    <w:rsid w:val="00AE14D7"/>
    <w:rsid w:val="00AE2367"/>
    <w:rsid w:val="00AF01AC"/>
    <w:rsid w:val="00AF1CBD"/>
    <w:rsid w:val="00AF3FE7"/>
    <w:rsid w:val="00AF4950"/>
    <w:rsid w:val="00AF7222"/>
    <w:rsid w:val="00AF7D0C"/>
    <w:rsid w:val="00B04F74"/>
    <w:rsid w:val="00B0574B"/>
    <w:rsid w:val="00B10AB7"/>
    <w:rsid w:val="00B2037F"/>
    <w:rsid w:val="00B24B39"/>
    <w:rsid w:val="00B262BC"/>
    <w:rsid w:val="00B32691"/>
    <w:rsid w:val="00B37575"/>
    <w:rsid w:val="00B407C1"/>
    <w:rsid w:val="00B407F6"/>
    <w:rsid w:val="00B432A2"/>
    <w:rsid w:val="00B472C4"/>
    <w:rsid w:val="00B52006"/>
    <w:rsid w:val="00B635E3"/>
    <w:rsid w:val="00B72B4F"/>
    <w:rsid w:val="00B734AE"/>
    <w:rsid w:val="00B835C0"/>
    <w:rsid w:val="00B876AF"/>
    <w:rsid w:val="00B9055C"/>
    <w:rsid w:val="00BA0950"/>
    <w:rsid w:val="00BA759E"/>
    <w:rsid w:val="00BB12E9"/>
    <w:rsid w:val="00BB3C8F"/>
    <w:rsid w:val="00BB532F"/>
    <w:rsid w:val="00BC162D"/>
    <w:rsid w:val="00BC2FE4"/>
    <w:rsid w:val="00BC3049"/>
    <w:rsid w:val="00BC66CC"/>
    <w:rsid w:val="00BD4DDA"/>
    <w:rsid w:val="00BD7BCF"/>
    <w:rsid w:val="00BE4EAE"/>
    <w:rsid w:val="00BE6E24"/>
    <w:rsid w:val="00BF0E3F"/>
    <w:rsid w:val="00BF5DDE"/>
    <w:rsid w:val="00C01CED"/>
    <w:rsid w:val="00C03AFD"/>
    <w:rsid w:val="00C077A6"/>
    <w:rsid w:val="00C12600"/>
    <w:rsid w:val="00C23E79"/>
    <w:rsid w:val="00C271F9"/>
    <w:rsid w:val="00C3033D"/>
    <w:rsid w:val="00C31ED3"/>
    <w:rsid w:val="00C470CB"/>
    <w:rsid w:val="00C517B6"/>
    <w:rsid w:val="00C60040"/>
    <w:rsid w:val="00C609DD"/>
    <w:rsid w:val="00C63F0F"/>
    <w:rsid w:val="00C66239"/>
    <w:rsid w:val="00C70636"/>
    <w:rsid w:val="00C70842"/>
    <w:rsid w:val="00C710E8"/>
    <w:rsid w:val="00C7399B"/>
    <w:rsid w:val="00C740FF"/>
    <w:rsid w:val="00C81745"/>
    <w:rsid w:val="00C8578E"/>
    <w:rsid w:val="00C861F7"/>
    <w:rsid w:val="00CA1366"/>
    <w:rsid w:val="00CA3DE5"/>
    <w:rsid w:val="00CA76B5"/>
    <w:rsid w:val="00CB2389"/>
    <w:rsid w:val="00CB76C0"/>
    <w:rsid w:val="00CC2175"/>
    <w:rsid w:val="00CC76F2"/>
    <w:rsid w:val="00CD323E"/>
    <w:rsid w:val="00CE105E"/>
    <w:rsid w:val="00CE13FE"/>
    <w:rsid w:val="00CE1E5E"/>
    <w:rsid w:val="00CE7252"/>
    <w:rsid w:val="00CE72FE"/>
    <w:rsid w:val="00CF2A85"/>
    <w:rsid w:val="00D010C4"/>
    <w:rsid w:val="00D01A61"/>
    <w:rsid w:val="00D02F57"/>
    <w:rsid w:val="00D0359E"/>
    <w:rsid w:val="00D04B66"/>
    <w:rsid w:val="00D10F71"/>
    <w:rsid w:val="00D312DA"/>
    <w:rsid w:val="00D351CC"/>
    <w:rsid w:val="00D424FB"/>
    <w:rsid w:val="00D476CC"/>
    <w:rsid w:val="00D55E55"/>
    <w:rsid w:val="00D6084A"/>
    <w:rsid w:val="00D64165"/>
    <w:rsid w:val="00D663ED"/>
    <w:rsid w:val="00D66BB4"/>
    <w:rsid w:val="00D67A17"/>
    <w:rsid w:val="00D74882"/>
    <w:rsid w:val="00D759EE"/>
    <w:rsid w:val="00D80789"/>
    <w:rsid w:val="00D8223F"/>
    <w:rsid w:val="00D95081"/>
    <w:rsid w:val="00D956AA"/>
    <w:rsid w:val="00DA45C4"/>
    <w:rsid w:val="00DA543F"/>
    <w:rsid w:val="00DA68D9"/>
    <w:rsid w:val="00DC0173"/>
    <w:rsid w:val="00DC0181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5EB4"/>
    <w:rsid w:val="00E049CB"/>
    <w:rsid w:val="00E23DA1"/>
    <w:rsid w:val="00E2478E"/>
    <w:rsid w:val="00E25470"/>
    <w:rsid w:val="00E27471"/>
    <w:rsid w:val="00E310E1"/>
    <w:rsid w:val="00E349B1"/>
    <w:rsid w:val="00E44564"/>
    <w:rsid w:val="00E55704"/>
    <w:rsid w:val="00E565B9"/>
    <w:rsid w:val="00E6132B"/>
    <w:rsid w:val="00E61C71"/>
    <w:rsid w:val="00E644B0"/>
    <w:rsid w:val="00E72A62"/>
    <w:rsid w:val="00E72D70"/>
    <w:rsid w:val="00E747B4"/>
    <w:rsid w:val="00E80A46"/>
    <w:rsid w:val="00E83B02"/>
    <w:rsid w:val="00E85FA0"/>
    <w:rsid w:val="00E87997"/>
    <w:rsid w:val="00E93194"/>
    <w:rsid w:val="00E95F38"/>
    <w:rsid w:val="00EA7A67"/>
    <w:rsid w:val="00EC0B04"/>
    <w:rsid w:val="00EC4A51"/>
    <w:rsid w:val="00EC5C1D"/>
    <w:rsid w:val="00ED176B"/>
    <w:rsid w:val="00ED57BF"/>
    <w:rsid w:val="00ED5CC6"/>
    <w:rsid w:val="00ED7943"/>
    <w:rsid w:val="00EE30A3"/>
    <w:rsid w:val="00EE4670"/>
    <w:rsid w:val="00EF159C"/>
    <w:rsid w:val="00F07C69"/>
    <w:rsid w:val="00F11D6C"/>
    <w:rsid w:val="00F12137"/>
    <w:rsid w:val="00F15669"/>
    <w:rsid w:val="00F31B35"/>
    <w:rsid w:val="00F31F48"/>
    <w:rsid w:val="00F339CD"/>
    <w:rsid w:val="00F33A43"/>
    <w:rsid w:val="00F362BE"/>
    <w:rsid w:val="00F40378"/>
    <w:rsid w:val="00F41650"/>
    <w:rsid w:val="00F4295B"/>
    <w:rsid w:val="00F47143"/>
    <w:rsid w:val="00F64875"/>
    <w:rsid w:val="00F83D95"/>
    <w:rsid w:val="00F9569D"/>
    <w:rsid w:val="00FC306C"/>
    <w:rsid w:val="00FC3690"/>
    <w:rsid w:val="00FC4A87"/>
    <w:rsid w:val="00FC54ED"/>
    <w:rsid w:val="00FC6457"/>
    <w:rsid w:val="00FC6ECA"/>
    <w:rsid w:val="00FD2923"/>
    <w:rsid w:val="00FD3076"/>
    <w:rsid w:val="00FD46BA"/>
    <w:rsid w:val="00FE1221"/>
    <w:rsid w:val="00FE1CBC"/>
    <w:rsid w:val="00FE2E58"/>
    <w:rsid w:val="00FE5458"/>
    <w:rsid w:val="00FF35CF"/>
    <w:rsid w:val="00FF467A"/>
    <w:rsid w:val="00FF6513"/>
    <w:rsid w:val="02297F3C"/>
    <w:rsid w:val="02C87841"/>
    <w:rsid w:val="02EB4A64"/>
    <w:rsid w:val="187DC619"/>
    <w:rsid w:val="1CF89AA0"/>
    <w:rsid w:val="2005CD3C"/>
    <w:rsid w:val="27ABCEA3"/>
    <w:rsid w:val="2CCE9031"/>
    <w:rsid w:val="38AB9EE6"/>
    <w:rsid w:val="494A1ADC"/>
    <w:rsid w:val="4ECD86F3"/>
    <w:rsid w:val="4F38F1BA"/>
    <w:rsid w:val="54DB8676"/>
    <w:rsid w:val="58B83138"/>
    <w:rsid w:val="5C53B388"/>
    <w:rsid w:val="625E7C06"/>
    <w:rsid w:val="646B768F"/>
    <w:rsid w:val="6BB941D5"/>
    <w:rsid w:val="70500E36"/>
    <w:rsid w:val="7E827096"/>
    <w:rsid w:val="7FD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729FB"/>
  <w15:docId w15:val="{13C191CF-42BF-474D-B622-D04E4911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A1A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2C0D7E"/>
    <w:pPr>
      <w:spacing w:after="120" w:line="260" w:lineRule="atLeast"/>
    </w:pPr>
    <w:rPr>
      <w:rFonts w:ascii="Georgia" w:eastAsia="Arial" w:hAnsi="Georgia" w:cs="Times New Roman"/>
      <w:sz w:val="24"/>
      <w:szCs w:val="24"/>
      <w:lang w:val="en-AU"/>
    </w:rPr>
  </w:style>
  <w:style w:type="paragraph" w:customStyle="1" w:styleId="DefaultText">
    <w:name w:val="Default Text"/>
    <w:basedOn w:val="Normal"/>
    <w:rsid w:val="002C0D7E"/>
    <w:pPr>
      <w:spacing w:after="0" w:line="240" w:lineRule="auto"/>
      <w:jc w:val="both"/>
    </w:pPr>
    <w:rPr>
      <w:rFonts w:eastAsia="Times New Roman" w:cs="Times New Roman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A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www.closingthegap.gov.au/national-agreement/targets" TargetMode="External" Id="rId13" /><Relationship Type="http://schemas.openxmlformats.org/officeDocument/2006/relationships/image" Target="media/image4.png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tyles" Target="styles.xml" Id="rId7" /><Relationship Type="http://schemas.openxmlformats.org/officeDocument/2006/relationships/hyperlink" Target="http://www.dpc.nsw.gov.au/about/about_the_department" TargetMode="External" Id="rId12" /><Relationship Type="http://schemas.openxmlformats.org/officeDocument/2006/relationships/image" Target="media/image3.png" Id="rId17" /><Relationship Type="http://schemas.openxmlformats.org/officeDocument/2006/relationships/theme" Target="theme/theme1.xml" Id="rId25" /><Relationship Type="http://schemas.openxmlformats.org/officeDocument/2006/relationships/image" Target="media/image2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openxmlformats.org/officeDocument/2006/relationships/image" Target="media/image1.png" Id="rId15" /><Relationship Type="http://schemas.openxmlformats.org/officeDocument/2006/relationships/footer" Target="footer3.xml" Id="rId23" /><Relationship Type="http://schemas.openxmlformats.org/officeDocument/2006/relationships/footnotes" Target="foot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www.psc.nsw.gov.au/workforce-management/capability-framework/the-capability-framework" TargetMode="External" Id="rId14" /><Relationship Type="http://schemas.openxmlformats.org/officeDocument/2006/relationships/header" Target="header2.xml" Id="rId22" /><Relationship Type="http://schemas.openxmlformats.org/officeDocument/2006/relationships/customXml" Target="/customXML/item7.xml" Id="R4d60314e1c2a41fe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4E3871FEBC3EDC3EE0531950520A6160" version="1.0.0">
  <systemFields>
    <field name="Objective-Id">
      <value order="0">A5449395</value>
    </field>
    <field name="Objective-Title">
      <value order="0">09-10 - Senior Analyst - Closing the Gap - PIU (final)</value>
    </field>
    <field name="Objective-Description">
      <value order="0"/>
    </field>
    <field name="Objective-CreationStamp">
      <value order="0">2022-06-28T00:27:40Z</value>
    </field>
    <field name="Objective-IsApproved">
      <value order="0">false</value>
    </field>
    <field name="Objective-IsPublished">
      <value order="0">true</value>
    </field>
    <field name="Objective-DatePublished">
      <value order="0">2022-06-28T01:39:41Z</value>
    </field>
    <field name="Objective-ModificationStamp">
      <value order="0">2022-06-28T01:39:41Z</value>
    </field>
    <field name="Objective-Owner">
      <value order="0">Jane Lorentzen</value>
    </field>
    <field name="Objective-Path">
      <value order="0">Objective Global Folder:DPC:People and Operations Group:People, Culture and Talent:People and Culture - DPC:Establishment:Role Descriptions:Role Descriptions and Evaluations:Clerk 09/10</value>
    </field>
    <field name="Objective-Parent">
      <value order="0">Clerk 09/10</value>
    </field>
    <field name="Objective-State">
      <value order="0">Published</value>
    </field>
    <field name="Objective-VersionId">
      <value order="0">vA9695754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DPC17/02644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OFFICIAL</value>
      </field>
      <field name="Objective-Document Type">
        <value order="0">Role Description (RD)</value>
      </field>
      <field name="Objective-Approval Status">
        <value order="0">Never Submitted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0"/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0"/>
      </field>
      <field name="Objective-Shared By">
        <value order="0"/>
      </field>
      <field name="Objective-Connect Creator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70B20A79E314583D4B43BCF22EE06" ma:contentTypeVersion="13" ma:contentTypeDescription="Create a new document." ma:contentTypeScope="" ma:versionID="eb098f712497d25c843dfd45035ec362">
  <xsd:schema xmlns:xsd="http://www.w3.org/2001/XMLSchema" xmlns:xs="http://www.w3.org/2001/XMLSchema" xmlns:p="http://schemas.microsoft.com/office/2006/metadata/properties" xmlns:ns2="ce251b90-1423-4c93-8a59-bcbc6d2cbfa0" xmlns:ns3="501be16c-125e-443f-9717-a112e66c68c8" targetNamespace="http://schemas.microsoft.com/office/2006/metadata/properties" ma:root="true" ma:fieldsID="ff762f718a554bf38cd6a57578468901" ns2:_="" ns3:_="">
    <xsd:import namespace="ce251b90-1423-4c93-8a59-bcbc6d2cbfa0"/>
    <xsd:import namespace="501be16c-125e-443f-9717-a112e66c6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51b90-1423-4c93-8a59-bcbc6d2cb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be16c-125e-443f-9717-a112e66c6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C6D8-568F-49F2-8FFC-E94DDDEC3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903BF-B5D0-4F93-919D-34EF39F81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53FBA8-1CA1-4283-B890-1F0FEFE7E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51b90-1423-4c93-8a59-bcbc6d2cbfa0"/>
    <ds:schemaRef ds:uri="501be16c-125e-443f-9717-a112e66c6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3D24FB-3578-4176-A16D-FBA3B87D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10</TotalTime>
  <Pages>7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Anbarasu Palanisamy</dc:creator>
  <cp:keywords/>
  <cp:lastModifiedBy>Jane Lorentzen</cp:lastModifiedBy>
  <cp:revision>2</cp:revision>
  <dcterms:created xsi:type="dcterms:W3CDTF">2022-06-28T00:27:00Z</dcterms:created>
  <dcterms:modified xsi:type="dcterms:W3CDTF">2022-06-28T00:27:00Z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A5449395</vt:lpwstr>
  </property>
  <property fmtid="{D5CDD505-2E9C-101B-9397-08002B2CF9AE}" pid="4" name="Objective-Title">
    <vt:lpwstr>09-10 - Senior Analyst - Closing the Gap - PIU (final)</vt:lpwstr>
  </property>
  <property fmtid="{D5CDD505-2E9C-101B-9397-08002B2CF9AE}" pid="5" name="Objective-Description">
    <vt:lpwstr/>
  </property>
  <property fmtid="{D5CDD505-2E9C-101B-9397-08002B2CF9AE}" pid="6" name="Objective-CreationStamp">
    <vt:filetime>2022-06-28T00:27:40Z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2022-06-28T01:39:41Z</vt:filetime>
  </property>
  <property fmtid="{D5CDD505-2E9C-101B-9397-08002B2CF9AE}" pid="10" name="Objective-ModificationStamp">
    <vt:filetime>2022-06-28T01:39:41Z</vt:filetime>
  </property>
  <property fmtid="{D5CDD505-2E9C-101B-9397-08002B2CF9AE}" pid="11" name="Objective-Owner">
    <vt:lpwstr>Jane Lorentzen</vt:lpwstr>
  </property>
  <property fmtid="{D5CDD505-2E9C-101B-9397-08002B2CF9AE}" pid="12" name="Objective-Path">
    <vt:lpwstr>Objective Global Folder:DPC:People and Operations Group:People, Culture and Talent:People and Culture - DPC:Establishment:Role Descriptions:Role Descriptions and Evaluations:Clerk 09/10</vt:lpwstr>
  </property>
  <property fmtid="{D5CDD505-2E9C-101B-9397-08002B2CF9AE}" pid="13" name="Objective-Parent">
    <vt:lpwstr>Clerk 09/10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vA9695754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DPC17/02644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nsitivity Label">
    <vt:lpwstr>OFFICIAL</vt:lpwstr>
  </property>
  <property fmtid="{D5CDD505-2E9C-101B-9397-08002B2CF9AE}" pid="23" name="Objective-Approval Status">
    <vt:lpwstr>Never Submitted</vt:lpwstr>
  </property>
  <property fmtid="{D5CDD505-2E9C-101B-9397-08002B2CF9AE}" pid="24" name="Objective-Document Type">
    <vt:lpwstr>Role Description (RD)</vt:lpwstr>
  </property>
  <property fmtid="{D5CDD505-2E9C-101B-9397-08002B2CF9AE}" pid="25" name="Objective-Approval History">
    <vt:lpwstr/>
  </property>
  <property fmtid="{D5CDD505-2E9C-101B-9397-08002B2CF9AE}" pid="26" name="Objective-Print and Dispatch Instructions">
    <vt:lpwstr/>
  </property>
  <property fmtid="{D5CDD505-2E9C-101B-9397-08002B2CF9AE}" pid="27" name="Objective-Connect Creator">
    <vt:lpwstr/>
  </property>
  <property fmtid="{D5CDD505-2E9C-101B-9397-08002B2CF9AE}" pid="28" name="Objective-Submitted By">
    <vt:lpwstr/>
  </property>
  <property fmtid="{D5CDD505-2E9C-101B-9397-08002B2CF9AE}" pid="29" name="Objective-Shared By">
    <vt:lpwstr/>
  </property>
  <property fmtid="{D5CDD505-2E9C-101B-9397-08002B2CF9AE}" pid="30" name="Objective-Approval Due">
    <vt:lpwstr/>
  </property>
  <property fmtid="{D5CDD505-2E9C-101B-9397-08002B2CF9AE}" pid="31" name="Objective-Current Approver">
    <vt:lpwstr/>
  </property>
  <property fmtid="{D5CDD505-2E9C-101B-9397-08002B2CF9AE}" pid="32" name="Objective-Document Tag(s)">
    <vt:lpwstr/>
  </property>
  <property fmtid="{D5CDD505-2E9C-101B-9397-08002B2CF9AE}" pid="33" name="Objective-Print and Dispatch Approach">
    <vt:lpwstr/>
  </property>
  <property fmtid="{D5CDD505-2E9C-101B-9397-08002B2CF9AE}" pid="34" name="Objective-Approval Date">
    <vt:lpwstr/>
  </property>
  <property fmtid="{D5CDD505-2E9C-101B-9397-08002B2CF9AE}" pid="35" name="Objective-Comment">
    <vt:lpwstr/>
  </property>
  <property fmtid="{D5CDD505-2E9C-101B-9397-08002B2CF9AE}" pid="36" name="Objective-Sensitivity Label [system]">
    <vt:lpwstr>None</vt:lpwstr>
  </property>
  <property fmtid="{D5CDD505-2E9C-101B-9397-08002B2CF9AE}" pid="37" name="Objective-Document Type [system]">
    <vt:lpwstr>Role Description (RD)</vt:lpwstr>
  </property>
  <property fmtid="{D5CDD505-2E9C-101B-9397-08002B2CF9AE}" pid="38" name="Objective-Approval Status [system]">
    <vt:lpwstr>Never Submitted</vt:lpwstr>
  </property>
  <property fmtid="{D5CDD505-2E9C-101B-9397-08002B2CF9AE}" pid="39" name="Objective-Approval Due [system]">
    <vt:lpwstr/>
  </property>
  <property fmtid="{D5CDD505-2E9C-101B-9397-08002B2CF9AE}" pid="40" name="Objective-Approval Date [system]">
    <vt:lpwstr/>
  </property>
  <property fmtid="{D5CDD505-2E9C-101B-9397-08002B2CF9AE}" pid="41" name="Objective-Submitted By [system]">
    <vt:lpwstr/>
  </property>
  <property fmtid="{D5CDD505-2E9C-101B-9397-08002B2CF9AE}" pid="42" name="Objective-Current Approver [system]">
    <vt:lpwstr/>
  </property>
  <property fmtid="{D5CDD505-2E9C-101B-9397-08002B2CF9AE}" pid="43" name="Objective-Approval History [system]">
    <vt:lpwstr/>
  </property>
  <property fmtid="{D5CDD505-2E9C-101B-9397-08002B2CF9AE}" pid="44" name="Objective-Print and Dispatch Approach [system]">
    <vt:lpwstr/>
  </property>
  <property fmtid="{D5CDD505-2E9C-101B-9397-08002B2CF9AE}" pid="45" name="Objective-Print and Dispatch Instructions [system]">
    <vt:lpwstr/>
  </property>
  <property fmtid="{D5CDD505-2E9C-101B-9397-08002B2CF9AE}" pid="46" name="Objective-Document Tag(s) [system]">
    <vt:lpwstr/>
  </property>
  <property fmtid="{D5CDD505-2E9C-101B-9397-08002B2CF9AE}" pid="47" name="Objective-Shared By [system]">
    <vt:lpwstr/>
  </property>
  <property fmtid="{D5CDD505-2E9C-101B-9397-08002B2CF9AE}" pid="48" name="Objective-Connect Creator [system]">
    <vt:lpwstr/>
  </property>
  <property fmtid="{D5CDD505-2E9C-101B-9397-08002B2CF9AE}" pid="49" name="ContentTypeId">
    <vt:lpwstr>0x010100EAA70B20A79E314583D4B43BCF22EE06</vt:lpwstr>
  </property>
  <property fmtid="{D5CDD505-2E9C-101B-9397-08002B2CF9AE}" pid="50" name="ClassificationContentMarkingHeaderShapeIds">
    <vt:lpwstr>2,3,8</vt:lpwstr>
  </property>
  <property fmtid="{D5CDD505-2E9C-101B-9397-08002B2CF9AE}" pid="51" name="ClassificationContentMarkingHeaderFontProps">
    <vt:lpwstr>#ff0000,10,Calibri</vt:lpwstr>
  </property>
  <property fmtid="{D5CDD505-2E9C-101B-9397-08002B2CF9AE}" pid="52" name="ClassificationContentMarkingHeaderText">
    <vt:lpwstr>OFFICIAL</vt:lpwstr>
  </property>
  <property fmtid="{D5CDD505-2E9C-101B-9397-08002B2CF9AE}" pid="53" name="ClassificationContentMarkingFooterShapeIds">
    <vt:lpwstr>c,f,10</vt:lpwstr>
  </property>
  <property fmtid="{D5CDD505-2E9C-101B-9397-08002B2CF9AE}" pid="54" name="ClassificationContentMarkingFooterFontProps">
    <vt:lpwstr>#ff0000,10,Calibri</vt:lpwstr>
  </property>
  <property fmtid="{D5CDD505-2E9C-101B-9397-08002B2CF9AE}" pid="55" name="ClassificationContentMarkingFooterText">
    <vt:lpwstr>OFFICIAL</vt:lpwstr>
  </property>
  <property fmtid="{D5CDD505-2E9C-101B-9397-08002B2CF9AE}" pid="56" name="MSIP_Label_a6214476-0a12-4e5a-9f69-27718960d391_Enabled">
    <vt:lpwstr>true</vt:lpwstr>
  </property>
  <property fmtid="{D5CDD505-2E9C-101B-9397-08002B2CF9AE}" pid="57" name="MSIP_Label_a6214476-0a12-4e5a-9f69-27718960d391_SetDate">
    <vt:lpwstr>2022-04-13T23:17:37Z</vt:lpwstr>
  </property>
  <property fmtid="{D5CDD505-2E9C-101B-9397-08002B2CF9AE}" pid="58" name="MSIP_Label_a6214476-0a12-4e5a-9f69-27718960d391_Method">
    <vt:lpwstr>Standard</vt:lpwstr>
  </property>
  <property fmtid="{D5CDD505-2E9C-101B-9397-08002B2CF9AE}" pid="59" name="MSIP_Label_a6214476-0a12-4e5a-9f69-27718960d391_Name">
    <vt:lpwstr>OFFICIAL</vt:lpwstr>
  </property>
  <property fmtid="{D5CDD505-2E9C-101B-9397-08002B2CF9AE}" pid="60" name="MSIP_Label_a6214476-0a12-4e5a-9f69-27718960d391_SiteId">
    <vt:lpwstr>1ef97a68-e8ab-44ed-a16d-b579fe2d7cd8</vt:lpwstr>
  </property>
  <property fmtid="{D5CDD505-2E9C-101B-9397-08002B2CF9AE}" pid="61" name="MSIP_Label_a6214476-0a12-4e5a-9f69-27718960d391_ActionId">
    <vt:lpwstr>c78e76b9-231f-472c-9018-2f9fe72d1dbf</vt:lpwstr>
  </property>
  <property fmtid="{D5CDD505-2E9C-101B-9397-08002B2CF9AE}" pid="62" name="MSIP_Label_a6214476-0a12-4e5a-9f69-27718960d391_ContentBits">
    <vt:lpwstr>3</vt:lpwstr>
  </property>
</Properties>
</file>