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B5CF" w14:textId="2D80B4D3" w:rsidR="00BC349B" w:rsidRDefault="005418D9">
      <w:pPr>
        <w:spacing w:before="75" w:line="483" w:lineRule="exact"/>
        <w:ind w:left="227"/>
        <w:rPr>
          <w:sz w:val="42"/>
        </w:rPr>
      </w:pPr>
      <w:r>
        <w:rPr>
          <w:noProof/>
        </w:rPr>
        <w:drawing>
          <wp:anchor distT="0" distB="0" distL="114300" distR="114300" simplePos="0" relativeHeight="251659776" behindDoc="0" locked="0" layoutInCell="1" allowOverlap="1" wp14:anchorId="1AB423FA" wp14:editId="278DA1AE">
            <wp:simplePos x="0" y="0"/>
            <wp:positionH relativeFrom="column">
              <wp:posOffset>6114553</wp:posOffset>
            </wp:positionH>
            <wp:positionV relativeFrom="paragraph">
              <wp:posOffset>19740</wp:posOffset>
            </wp:positionV>
            <wp:extent cx="684000" cy="723600"/>
            <wp:effectExtent l="0" t="0" r="0" b="0"/>
            <wp:wrapNone/>
            <wp:docPr id="1371967508" name="Picture 1" descr="Picture 2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5,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2"/>
        </w:rPr>
        <w:t>Role Description</w:t>
      </w:r>
    </w:p>
    <w:p w14:paraId="4150B65E" w14:textId="2E27BA3C" w:rsidR="00BC349B" w:rsidRDefault="00000000">
      <w:pPr>
        <w:spacing w:line="483" w:lineRule="exact"/>
        <w:ind w:left="227"/>
        <w:rPr>
          <w:b/>
          <w:sz w:val="42"/>
        </w:rPr>
      </w:pPr>
      <w:r>
        <w:rPr>
          <w:b/>
          <w:sz w:val="42"/>
        </w:rPr>
        <w:t xml:space="preserve">Property &amp; Events </w:t>
      </w:r>
      <w:r w:rsidR="00896C2F" w:rsidRPr="00480862">
        <w:rPr>
          <w:b/>
          <w:sz w:val="42"/>
        </w:rPr>
        <w:t>Manage</w:t>
      </w:r>
      <w:r w:rsidR="00564836" w:rsidRPr="00480862">
        <w:rPr>
          <w:b/>
          <w:sz w:val="42"/>
        </w:rPr>
        <w:t>ment lead</w:t>
      </w:r>
    </w:p>
    <w:p w14:paraId="1BB6DA25" w14:textId="77777777" w:rsidR="00BC349B" w:rsidRDefault="00BC349B">
      <w:pPr>
        <w:pStyle w:val="BodyText"/>
        <w:rPr>
          <w:b/>
          <w:sz w:val="20"/>
        </w:rPr>
      </w:pPr>
    </w:p>
    <w:p w14:paraId="50DB8838" w14:textId="77777777" w:rsidR="00BC349B" w:rsidRDefault="00BC349B">
      <w:pPr>
        <w:pStyle w:val="BodyText"/>
        <w:spacing w:before="4"/>
        <w:rPr>
          <w:b/>
          <w:sz w:val="14"/>
        </w:rPr>
      </w:pPr>
    </w:p>
    <w:tbl>
      <w:tblPr>
        <w:tblW w:w="0" w:type="auto"/>
        <w:tblInd w:w="120" w:type="dxa"/>
        <w:tblLayout w:type="fixed"/>
        <w:tblCellMar>
          <w:left w:w="0" w:type="dxa"/>
          <w:right w:w="0" w:type="dxa"/>
        </w:tblCellMar>
        <w:tblLook w:val="01E0" w:firstRow="1" w:lastRow="1" w:firstColumn="1" w:lastColumn="1" w:noHBand="0" w:noVBand="0"/>
      </w:tblPr>
      <w:tblGrid>
        <w:gridCol w:w="3314"/>
        <w:gridCol w:w="7272"/>
      </w:tblGrid>
      <w:tr w:rsidR="00A7751E" w14:paraId="7214773F" w14:textId="77777777">
        <w:trPr>
          <w:trHeight w:val="360"/>
        </w:trPr>
        <w:tc>
          <w:tcPr>
            <w:tcW w:w="3314" w:type="dxa"/>
            <w:tcBorders>
              <w:top w:val="single" w:sz="8" w:space="0" w:color="000000"/>
            </w:tcBorders>
            <w:shd w:val="clear" w:color="auto" w:fill="00A88F"/>
          </w:tcPr>
          <w:p w14:paraId="1105B0D3" w14:textId="77777777" w:rsidR="00A7751E" w:rsidRDefault="00A7751E" w:rsidP="00A7751E">
            <w:pPr>
              <w:pStyle w:val="TableParagraph"/>
              <w:spacing w:before="86"/>
              <w:rPr>
                <w:b/>
                <w:sz w:val="20"/>
              </w:rPr>
            </w:pPr>
            <w:r>
              <w:rPr>
                <w:b/>
                <w:color w:val="FFFFFF"/>
                <w:sz w:val="20"/>
              </w:rPr>
              <w:t>Cluster</w:t>
            </w:r>
          </w:p>
        </w:tc>
        <w:tc>
          <w:tcPr>
            <w:tcW w:w="7272" w:type="dxa"/>
            <w:tcBorders>
              <w:top w:val="single" w:sz="8" w:space="0" w:color="000000"/>
            </w:tcBorders>
            <w:shd w:val="clear" w:color="auto" w:fill="00A88F"/>
          </w:tcPr>
          <w:p w14:paraId="225D5862" w14:textId="4BA923A2" w:rsidR="00A7751E" w:rsidRPr="005418D9" w:rsidRDefault="00A7751E" w:rsidP="00A7751E">
            <w:pPr>
              <w:pStyle w:val="TableParagraph"/>
              <w:spacing w:before="89"/>
              <w:ind w:left="768"/>
              <w:rPr>
                <w:color w:val="FFFFFF" w:themeColor="background1"/>
              </w:rPr>
            </w:pPr>
            <w:r w:rsidRPr="00A7751E">
              <w:rPr>
                <w:color w:val="FFFFFF" w:themeColor="background1"/>
              </w:rPr>
              <w:t>Planning, Housing and Infrastructure</w:t>
            </w:r>
          </w:p>
        </w:tc>
      </w:tr>
      <w:tr w:rsidR="00A7751E" w14:paraId="51522EF9" w14:textId="77777777">
        <w:trPr>
          <w:trHeight w:val="360"/>
        </w:trPr>
        <w:tc>
          <w:tcPr>
            <w:tcW w:w="3314" w:type="dxa"/>
            <w:shd w:val="clear" w:color="auto" w:fill="00A88F"/>
          </w:tcPr>
          <w:p w14:paraId="162FAF50" w14:textId="77777777" w:rsidR="00A7751E" w:rsidRDefault="00A7751E" w:rsidP="00A7751E">
            <w:pPr>
              <w:pStyle w:val="TableParagraph"/>
              <w:spacing w:before="95"/>
              <w:rPr>
                <w:b/>
                <w:sz w:val="20"/>
              </w:rPr>
            </w:pPr>
            <w:r>
              <w:rPr>
                <w:b/>
                <w:color w:val="FFFFFF"/>
                <w:sz w:val="20"/>
              </w:rPr>
              <w:t>Agency</w:t>
            </w:r>
          </w:p>
        </w:tc>
        <w:tc>
          <w:tcPr>
            <w:tcW w:w="7272" w:type="dxa"/>
            <w:shd w:val="clear" w:color="auto" w:fill="00A88F"/>
          </w:tcPr>
          <w:p w14:paraId="3E655A9E" w14:textId="5DF9139E" w:rsidR="00A7751E" w:rsidRPr="005418D9" w:rsidRDefault="00A7751E" w:rsidP="00A7751E">
            <w:pPr>
              <w:pStyle w:val="TableParagraph"/>
              <w:spacing w:before="98"/>
              <w:ind w:left="768"/>
              <w:rPr>
                <w:color w:val="FFFFFF" w:themeColor="background1"/>
              </w:rPr>
            </w:pPr>
            <w:r w:rsidRPr="00A7751E">
              <w:rPr>
                <w:color w:val="FFFFFF" w:themeColor="background1"/>
              </w:rPr>
              <w:t>Department of Planning, Housing and Infrastructure</w:t>
            </w:r>
          </w:p>
        </w:tc>
      </w:tr>
      <w:tr w:rsidR="00A7751E" w14:paraId="6EF01603" w14:textId="77777777">
        <w:trPr>
          <w:trHeight w:val="380"/>
        </w:trPr>
        <w:tc>
          <w:tcPr>
            <w:tcW w:w="3314" w:type="dxa"/>
            <w:shd w:val="clear" w:color="auto" w:fill="00A88F"/>
          </w:tcPr>
          <w:p w14:paraId="58E0DC8C" w14:textId="77777777" w:rsidR="00A7751E" w:rsidRDefault="00A7751E" w:rsidP="00A7751E">
            <w:pPr>
              <w:pStyle w:val="TableParagraph"/>
              <w:spacing w:before="95"/>
              <w:rPr>
                <w:b/>
                <w:sz w:val="20"/>
              </w:rPr>
            </w:pPr>
            <w:r>
              <w:rPr>
                <w:b/>
                <w:color w:val="FFFFFF"/>
                <w:sz w:val="20"/>
              </w:rPr>
              <w:t>Division/Branch/Unit</w:t>
            </w:r>
          </w:p>
        </w:tc>
        <w:tc>
          <w:tcPr>
            <w:tcW w:w="7272" w:type="dxa"/>
            <w:shd w:val="clear" w:color="auto" w:fill="00A88F"/>
          </w:tcPr>
          <w:p w14:paraId="4579DBBF" w14:textId="3F01290B" w:rsidR="00A7751E" w:rsidRPr="005418D9" w:rsidRDefault="00A7751E" w:rsidP="00A7751E">
            <w:pPr>
              <w:pStyle w:val="TableParagraph"/>
              <w:spacing w:before="98"/>
              <w:ind w:left="768"/>
              <w:rPr>
                <w:color w:val="FFFFFF" w:themeColor="background1"/>
              </w:rPr>
            </w:pPr>
            <w:r w:rsidRPr="00A7751E">
              <w:rPr>
                <w:color w:val="FFFFFF" w:themeColor="background1"/>
              </w:rPr>
              <w:t>Property, Development and Valuations / Hunter and Central Coast Development Corporation/Asset Management Team</w:t>
            </w:r>
          </w:p>
        </w:tc>
      </w:tr>
      <w:tr w:rsidR="00BC349B" w14:paraId="0A40C112" w14:textId="77777777">
        <w:trPr>
          <w:trHeight w:val="360"/>
        </w:trPr>
        <w:tc>
          <w:tcPr>
            <w:tcW w:w="3314" w:type="dxa"/>
            <w:shd w:val="clear" w:color="auto" w:fill="00A88F"/>
          </w:tcPr>
          <w:p w14:paraId="7A01FBB9" w14:textId="77777777" w:rsidR="00BC349B" w:rsidRDefault="00000000">
            <w:pPr>
              <w:pStyle w:val="TableParagraph"/>
              <w:spacing w:before="95"/>
              <w:rPr>
                <w:b/>
                <w:sz w:val="20"/>
              </w:rPr>
            </w:pPr>
            <w:r>
              <w:rPr>
                <w:b/>
                <w:color w:val="FFFFFF"/>
                <w:sz w:val="20"/>
              </w:rPr>
              <w:t>Classification/Grade/Band</w:t>
            </w:r>
          </w:p>
        </w:tc>
        <w:tc>
          <w:tcPr>
            <w:tcW w:w="7272" w:type="dxa"/>
            <w:shd w:val="clear" w:color="auto" w:fill="00A88F"/>
          </w:tcPr>
          <w:p w14:paraId="3922E1E4" w14:textId="60157067" w:rsidR="00BC349B" w:rsidRPr="005418D9" w:rsidRDefault="00A7751E">
            <w:pPr>
              <w:pStyle w:val="TableParagraph"/>
              <w:spacing w:before="98"/>
              <w:ind w:left="768"/>
              <w:rPr>
                <w:color w:val="FFFFFF" w:themeColor="background1"/>
              </w:rPr>
            </w:pPr>
            <w:r w:rsidRPr="005418D9">
              <w:rPr>
                <w:color w:val="FFFFFF" w:themeColor="background1"/>
              </w:rPr>
              <w:t>Clerk Grade 7/8</w:t>
            </w:r>
          </w:p>
        </w:tc>
      </w:tr>
      <w:tr w:rsidR="00BC349B" w14:paraId="2A4D1A65" w14:textId="77777777">
        <w:trPr>
          <w:trHeight w:val="380"/>
        </w:trPr>
        <w:tc>
          <w:tcPr>
            <w:tcW w:w="3314" w:type="dxa"/>
            <w:shd w:val="clear" w:color="auto" w:fill="00A88F"/>
          </w:tcPr>
          <w:p w14:paraId="713B8FD3" w14:textId="77777777" w:rsidR="00BC349B" w:rsidRDefault="00000000">
            <w:pPr>
              <w:pStyle w:val="TableParagraph"/>
              <w:spacing w:before="95"/>
              <w:rPr>
                <w:b/>
                <w:sz w:val="20"/>
              </w:rPr>
            </w:pPr>
            <w:r>
              <w:rPr>
                <w:b/>
                <w:color w:val="FFFFFF"/>
                <w:sz w:val="20"/>
              </w:rPr>
              <w:t>Role Number</w:t>
            </w:r>
          </w:p>
        </w:tc>
        <w:tc>
          <w:tcPr>
            <w:tcW w:w="7272" w:type="dxa"/>
            <w:shd w:val="clear" w:color="auto" w:fill="00A88F"/>
          </w:tcPr>
          <w:p w14:paraId="15098C03" w14:textId="4DC7AB9F" w:rsidR="00BC349B" w:rsidRPr="005418D9" w:rsidRDefault="00A7751E">
            <w:pPr>
              <w:pStyle w:val="TableParagraph"/>
              <w:spacing w:before="98"/>
              <w:ind w:left="768"/>
              <w:rPr>
                <w:color w:val="FFFFFF" w:themeColor="background1"/>
              </w:rPr>
            </w:pPr>
            <w:r w:rsidRPr="005418D9">
              <w:rPr>
                <w:color w:val="FFFFFF" w:themeColor="background1"/>
              </w:rPr>
              <w:t>TBC</w:t>
            </w:r>
          </w:p>
        </w:tc>
      </w:tr>
      <w:tr w:rsidR="00BC349B" w14:paraId="55FE30FC" w14:textId="77777777">
        <w:trPr>
          <w:trHeight w:val="380"/>
        </w:trPr>
        <w:tc>
          <w:tcPr>
            <w:tcW w:w="3314" w:type="dxa"/>
            <w:shd w:val="clear" w:color="auto" w:fill="00A88F"/>
          </w:tcPr>
          <w:p w14:paraId="6AFA5D38" w14:textId="77777777" w:rsidR="00BC349B" w:rsidRDefault="00000000">
            <w:pPr>
              <w:pStyle w:val="TableParagraph"/>
              <w:spacing w:before="97"/>
              <w:rPr>
                <w:b/>
                <w:sz w:val="20"/>
              </w:rPr>
            </w:pPr>
            <w:r>
              <w:rPr>
                <w:b/>
                <w:color w:val="FFFFFF"/>
                <w:sz w:val="20"/>
              </w:rPr>
              <w:t>ANZSCO Code</w:t>
            </w:r>
          </w:p>
        </w:tc>
        <w:tc>
          <w:tcPr>
            <w:tcW w:w="7272" w:type="dxa"/>
            <w:shd w:val="clear" w:color="auto" w:fill="00A88F"/>
          </w:tcPr>
          <w:p w14:paraId="21D726F4" w14:textId="1AB0FA0E" w:rsidR="00BC349B" w:rsidRPr="005418D9" w:rsidRDefault="00480862">
            <w:pPr>
              <w:pStyle w:val="TableParagraph"/>
              <w:spacing w:before="99"/>
              <w:ind w:left="768"/>
              <w:rPr>
                <w:color w:val="FFFFFF" w:themeColor="background1"/>
              </w:rPr>
            </w:pPr>
            <w:r>
              <w:rPr>
                <w:color w:val="FFFFFF" w:themeColor="background1"/>
              </w:rPr>
              <w:t>612112</w:t>
            </w:r>
          </w:p>
        </w:tc>
      </w:tr>
      <w:tr w:rsidR="00BC349B" w14:paraId="27D619BA" w14:textId="77777777">
        <w:trPr>
          <w:trHeight w:val="360"/>
        </w:trPr>
        <w:tc>
          <w:tcPr>
            <w:tcW w:w="3314" w:type="dxa"/>
            <w:shd w:val="clear" w:color="auto" w:fill="00A88F"/>
          </w:tcPr>
          <w:p w14:paraId="13AA254B" w14:textId="77777777" w:rsidR="00BC349B" w:rsidRDefault="00000000">
            <w:pPr>
              <w:pStyle w:val="TableParagraph"/>
              <w:spacing w:before="95"/>
              <w:rPr>
                <w:b/>
                <w:sz w:val="20"/>
              </w:rPr>
            </w:pPr>
            <w:r>
              <w:rPr>
                <w:b/>
                <w:color w:val="FFFFFF"/>
                <w:sz w:val="20"/>
              </w:rPr>
              <w:t>PCAT Code</w:t>
            </w:r>
          </w:p>
        </w:tc>
        <w:tc>
          <w:tcPr>
            <w:tcW w:w="7272" w:type="dxa"/>
            <w:shd w:val="clear" w:color="auto" w:fill="00A88F"/>
          </w:tcPr>
          <w:p w14:paraId="01655763" w14:textId="77CADB57" w:rsidR="00BC349B" w:rsidRPr="005418D9" w:rsidRDefault="00480862">
            <w:pPr>
              <w:pStyle w:val="TableParagraph"/>
              <w:spacing w:before="98"/>
              <w:ind w:left="768"/>
              <w:rPr>
                <w:color w:val="FFFFFF" w:themeColor="background1"/>
              </w:rPr>
            </w:pPr>
            <w:r>
              <w:rPr>
                <w:color w:val="FFFFFF" w:themeColor="background1"/>
              </w:rPr>
              <w:t>1212491</w:t>
            </w:r>
          </w:p>
        </w:tc>
      </w:tr>
      <w:tr w:rsidR="00BC349B" w14:paraId="690FA8EC" w14:textId="77777777" w:rsidTr="005418D9">
        <w:trPr>
          <w:trHeight w:val="360"/>
        </w:trPr>
        <w:tc>
          <w:tcPr>
            <w:tcW w:w="3314" w:type="dxa"/>
            <w:shd w:val="clear" w:color="auto" w:fill="00A88F"/>
          </w:tcPr>
          <w:p w14:paraId="5BA5C737" w14:textId="77777777" w:rsidR="00BC349B" w:rsidRDefault="00000000">
            <w:pPr>
              <w:pStyle w:val="TableParagraph"/>
              <w:spacing w:before="95"/>
              <w:rPr>
                <w:b/>
                <w:sz w:val="20"/>
              </w:rPr>
            </w:pPr>
            <w:r>
              <w:rPr>
                <w:b/>
                <w:color w:val="FFFFFF"/>
                <w:sz w:val="20"/>
              </w:rPr>
              <w:t>Date of Approval</w:t>
            </w:r>
          </w:p>
        </w:tc>
        <w:tc>
          <w:tcPr>
            <w:tcW w:w="7272" w:type="dxa"/>
            <w:shd w:val="clear" w:color="auto" w:fill="00A88F"/>
          </w:tcPr>
          <w:p w14:paraId="01D87BBD" w14:textId="25EAB2A0" w:rsidR="00BC349B" w:rsidRPr="005418D9" w:rsidRDefault="005418D9">
            <w:pPr>
              <w:pStyle w:val="TableParagraph"/>
              <w:spacing w:before="98"/>
              <w:ind w:left="768"/>
              <w:rPr>
                <w:color w:val="FFFFFF" w:themeColor="background1"/>
              </w:rPr>
            </w:pPr>
            <w:r w:rsidRPr="005418D9">
              <w:rPr>
                <w:color w:val="FFFFFF" w:themeColor="background1"/>
              </w:rPr>
              <w:t>May 2025</w:t>
            </w:r>
          </w:p>
        </w:tc>
      </w:tr>
      <w:tr w:rsidR="005418D9" w14:paraId="76F876C9" w14:textId="77777777">
        <w:trPr>
          <w:trHeight w:val="360"/>
        </w:trPr>
        <w:tc>
          <w:tcPr>
            <w:tcW w:w="3314" w:type="dxa"/>
            <w:tcBorders>
              <w:bottom w:val="single" w:sz="8" w:space="0" w:color="000000"/>
            </w:tcBorders>
            <w:shd w:val="clear" w:color="auto" w:fill="00A88F"/>
          </w:tcPr>
          <w:p w14:paraId="4A60B10D" w14:textId="123D15A7" w:rsidR="005418D9" w:rsidRDefault="005418D9">
            <w:pPr>
              <w:pStyle w:val="TableParagraph"/>
              <w:spacing w:before="95"/>
              <w:rPr>
                <w:b/>
                <w:color w:val="FFFFFF"/>
                <w:sz w:val="20"/>
              </w:rPr>
            </w:pPr>
            <w:r>
              <w:rPr>
                <w:b/>
                <w:color w:val="FFFFFF"/>
                <w:sz w:val="20"/>
              </w:rPr>
              <w:t>Agency Website</w:t>
            </w:r>
          </w:p>
        </w:tc>
        <w:tc>
          <w:tcPr>
            <w:tcW w:w="7272" w:type="dxa"/>
            <w:tcBorders>
              <w:bottom w:val="single" w:sz="8" w:space="0" w:color="000000"/>
            </w:tcBorders>
            <w:shd w:val="clear" w:color="auto" w:fill="00A88F"/>
          </w:tcPr>
          <w:p w14:paraId="7A750973" w14:textId="430ABFC3" w:rsidR="005418D9" w:rsidRPr="005418D9" w:rsidRDefault="005418D9">
            <w:pPr>
              <w:pStyle w:val="TableParagraph"/>
              <w:spacing w:before="98"/>
              <w:ind w:left="768"/>
              <w:rPr>
                <w:color w:val="FFFFFF" w:themeColor="background1"/>
              </w:rPr>
            </w:pPr>
            <w:hyperlink r:id="rId8" w:tgtFrame="_blank" w:history="1">
              <w:r w:rsidRPr="001E10BA">
                <w:rPr>
                  <w:color w:val="FFFFFF" w:themeColor="background1"/>
                </w:rPr>
                <w:t>https://www.nsw.gov.au/departments-and-agencies/department-o</w:t>
              </w:r>
            </w:hyperlink>
            <w:r w:rsidRPr="001E10BA">
              <w:rPr>
                <w:color w:val="FFFFFF" w:themeColor="background1"/>
              </w:rPr>
              <w:t>f-planning-housing-and-infrastructure </w:t>
            </w:r>
          </w:p>
        </w:tc>
      </w:tr>
    </w:tbl>
    <w:p w14:paraId="108D9BA6" w14:textId="77777777" w:rsidR="00A7751E" w:rsidRPr="00614552" w:rsidRDefault="00A7751E" w:rsidP="00A7751E">
      <w:pPr>
        <w:tabs>
          <w:tab w:val="left" w:pos="2925"/>
        </w:tabs>
        <w:spacing w:before="240" w:after="200" w:line="276" w:lineRule="auto"/>
        <w:rPr>
          <w:rStyle w:val="Heading1Char"/>
        </w:rPr>
      </w:pPr>
      <w:r w:rsidRPr="00614552">
        <w:rPr>
          <w:rStyle w:val="Heading1Char"/>
        </w:rPr>
        <w:t>Agency overview</w:t>
      </w:r>
    </w:p>
    <w:p w14:paraId="32B13900" w14:textId="77777777" w:rsidR="005418D9" w:rsidRPr="006F75C3" w:rsidRDefault="005418D9" w:rsidP="005418D9">
      <w:pPr>
        <w:tabs>
          <w:tab w:val="left" w:pos="2925"/>
        </w:tabs>
        <w:spacing w:after="200" w:line="276" w:lineRule="auto"/>
        <w:contextualSpacing/>
        <w:rPr>
          <w:rFonts w:eastAsia="MS Mincho"/>
        </w:rPr>
      </w:pPr>
      <w:r w:rsidRPr="006F75C3">
        <w:rPr>
          <w:rFonts w:eastAsia="MS Mincho"/>
        </w:rPr>
        <w:t>The Department of Planning, Housing and Infrastructure (DPHI) improves the liveability and prosperity of NSW.</w:t>
      </w:r>
      <w:r>
        <w:rPr>
          <w:rFonts w:eastAsia="MS Mincho"/>
        </w:rPr>
        <w:t xml:space="preserve"> </w:t>
      </w:r>
      <w:r w:rsidRPr="006F75C3">
        <w:rPr>
          <w:rFonts w:eastAsia="MS Mincho"/>
        </w:rPr>
        <w:t>To achieve this, we:</w:t>
      </w:r>
    </w:p>
    <w:p w14:paraId="53E47E47" w14:textId="77777777" w:rsidR="005418D9" w:rsidRPr="006F75C3" w:rsidRDefault="005418D9" w:rsidP="005418D9">
      <w:pPr>
        <w:pStyle w:val="ListParagraph"/>
        <w:widowControl/>
        <w:numPr>
          <w:ilvl w:val="0"/>
          <w:numId w:val="12"/>
        </w:numPr>
        <w:tabs>
          <w:tab w:val="left" w:pos="2925"/>
        </w:tabs>
        <w:autoSpaceDE/>
        <w:autoSpaceDN/>
        <w:spacing w:before="0" w:after="200" w:line="276" w:lineRule="auto"/>
        <w:contextualSpacing/>
        <w:rPr>
          <w:rFonts w:eastAsia="MS Mincho"/>
        </w:rPr>
      </w:pPr>
      <w:r w:rsidRPr="006F75C3">
        <w:rPr>
          <w:rFonts w:eastAsia="MS Mincho"/>
        </w:rPr>
        <w:t>create vibrant, productive spaces and precincts;</w:t>
      </w:r>
    </w:p>
    <w:p w14:paraId="7FCD5C5B" w14:textId="77777777" w:rsidR="005418D9" w:rsidRPr="006F75C3" w:rsidRDefault="005418D9" w:rsidP="005418D9">
      <w:pPr>
        <w:pStyle w:val="ListParagraph"/>
        <w:widowControl/>
        <w:numPr>
          <w:ilvl w:val="0"/>
          <w:numId w:val="12"/>
        </w:numPr>
        <w:tabs>
          <w:tab w:val="left" w:pos="2925"/>
        </w:tabs>
        <w:autoSpaceDE/>
        <w:autoSpaceDN/>
        <w:spacing w:before="0" w:after="200" w:line="276" w:lineRule="auto"/>
        <w:contextualSpacing/>
        <w:rPr>
          <w:rFonts w:eastAsia="MS Mincho"/>
        </w:rPr>
      </w:pPr>
      <w:r w:rsidRPr="006F75C3">
        <w:rPr>
          <w:rFonts w:eastAsia="MS Mincho"/>
        </w:rPr>
        <w:t>manage lands, assets and property effectively; and</w:t>
      </w:r>
    </w:p>
    <w:p w14:paraId="045D04DA" w14:textId="77777777" w:rsidR="005418D9" w:rsidRPr="006F75C3" w:rsidRDefault="005418D9" w:rsidP="005418D9">
      <w:pPr>
        <w:pStyle w:val="ListParagraph"/>
        <w:widowControl/>
        <w:numPr>
          <w:ilvl w:val="0"/>
          <w:numId w:val="12"/>
        </w:numPr>
        <w:tabs>
          <w:tab w:val="left" w:pos="2925"/>
        </w:tabs>
        <w:autoSpaceDE/>
        <w:autoSpaceDN/>
        <w:spacing w:before="0" w:after="200" w:line="276" w:lineRule="auto"/>
        <w:contextualSpacing/>
        <w:rPr>
          <w:rFonts w:eastAsia="MS Mincho"/>
        </w:rPr>
      </w:pPr>
      <w:r w:rsidRPr="006F75C3">
        <w:rPr>
          <w:rFonts w:eastAsia="MS Mincho"/>
        </w:rPr>
        <w:t>deliver affordable and diverse housing.</w:t>
      </w:r>
    </w:p>
    <w:p w14:paraId="7F8FC0FC" w14:textId="77777777" w:rsidR="005418D9" w:rsidRDefault="005418D9" w:rsidP="005418D9">
      <w:pPr>
        <w:spacing w:after="200" w:line="276" w:lineRule="auto"/>
        <w:rPr>
          <w:rFonts w:eastAsia="MS Mincho"/>
        </w:rPr>
      </w:pPr>
      <w:r w:rsidRPr="006F75C3">
        <w:rPr>
          <w:rFonts w:eastAsia="MS Mincho"/>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48EB80AD" w14:textId="77777777" w:rsidR="005418D9" w:rsidRDefault="005418D9" w:rsidP="005418D9">
      <w:pPr>
        <w:spacing w:after="200" w:line="276" w:lineRule="auto"/>
        <w:contextualSpacing/>
        <w:rPr>
          <w:lang w:val="en-AU"/>
        </w:rPr>
      </w:pPr>
      <w:r w:rsidRPr="000D194A">
        <w:t>Hunter &amp; Central Coast Development Corporation (HCCDC) is a member of the Property, Development &amp; Valuation (PDV) group (the Group) within the Department of Planning, Housing and Infrastructure (DPHI).  The Group oversees the management of NSW Government assets, including: strategic development of NSW Government owned land and precincts; asset and facilities management for a wide variety of NSW Government owned real property assets; delivery and management of NSW Government office accommodation; real property transaction management and advisory; and, valuation of NSW property for rating, taxing and compulsory acquisition purposes. </w:t>
      </w:r>
      <w:r w:rsidRPr="000D194A">
        <w:rPr>
          <w:lang w:val="en-AU"/>
        </w:rPr>
        <w:t> </w:t>
      </w:r>
    </w:p>
    <w:p w14:paraId="5966EE60" w14:textId="77777777" w:rsidR="00A5780C" w:rsidRPr="000D194A" w:rsidRDefault="00A5780C" w:rsidP="005418D9">
      <w:pPr>
        <w:spacing w:after="200" w:line="276" w:lineRule="auto"/>
        <w:contextualSpacing/>
        <w:rPr>
          <w:lang w:val="en-AU"/>
        </w:rPr>
      </w:pPr>
    </w:p>
    <w:p w14:paraId="0DB453E1" w14:textId="470B98F5" w:rsidR="005418D9" w:rsidRDefault="005418D9" w:rsidP="005418D9">
      <w:pPr>
        <w:spacing w:after="200" w:line="276" w:lineRule="auto"/>
        <w:contextualSpacing/>
        <w:rPr>
          <w:lang w:val="en-AU"/>
        </w:rPr>
      </w:pPr>
      <w:r w:rsidRPr="000D194A">
        <w:t>HCCDC is responsible for the planning and delivery of economic and urban development in the Hunter and Central Coast regions.  HCCDC’s aim is to strengthen global gateways to these regions by creating diverse and sustainable regional economies, with thriving communities and leading metropolitan cities at their hearts.  HCCDC is focused on creating vibrant places with great spaces, providing more employment opportunities and more housing, and attracting innovative talent and enterprises that provide unrivalled lifestyles in rich natural and built environments.</w:t>
      </w:r>
      <w:r w:rsidRPr="000D194A">
        <w:rPr>
          <w:lang w:val="en-AU"/>
        </w:rPr>
        <w:t> </w:t>
      </w:r>
    </w:p>
    <w:p w14:paraId="22F7BECE" w14:textId="77777777" w:rsidR="005418D9" w:rsidRDefault="005418D9">
      <w:pPr>
        <w:rPr>
          <w:lang w:val="en-AU"/>
        </w:rPr>
      </w:pPr>
      <w:r>
        <w:rPr>
          <w:lang w:val="en-AU"/>
        </w:rPr>
        <w:br w:type="page"/>
      </w:r>
    </w:p>
    <w:p w14:paraId="4A0F465F" w14:textId="77777777" w:rsidR="005418D9" w:rsidRPr="000D194A" w:rsidRDefault="005418D9" w:rsidP="005418D9">
      <w:pPr>
        <w:spacing w:after="200" w:line="276" w:lineRule="auto"/>
        <w:contextualSpacing/>
        <w:rPr>
          <w:lang w:val="en-AU"/>
        </w:rPr>
      </w:pPr>
    </w:p>
    <w:p w14:paraId="45632CC6" w14:textId="77777777" w:rsidR="00BC349B" w:rsidRDefault="00000000">
      <w:pPr>
        <w:pStyle w:val="Heading1"/>
        <w:spacing w:before="201"/>
      </w:pPr>
      <w:r>
        <w:t>Primary purpose of the role</w:t>
      </w:r>
    </w:p>
    <w:p w14:paraId="4D19523E" w14:textId="75431176" w:rsidR="00BC349B" w:rsidRDefault="005418D9" w:rsidP="00A5780C">
      <w:pPr>
        <w:pStyle w:val="BodyText"/>
        <w:spacing w:before="11"/>
        <w:ind w:left="142"/>
      </w:pPr>
      <w:r>
        <w:t xml:space="preserve">This role is responsible </w:t>
      </w:r>
      <w:r w:rsidR="00564836">
        <w:t>for the</w:t>
      </w:r>
      <w:r w:rsidR="00480862">
        <w:t xml:space="preserve"> compliance </w:t>
      </w:r>
      <w:r w:rsidR="00A5780C">
        <w:t>and management</w:t>
      </w:r>
      <w:r w:rsidR="00564836">
        <w:t xml:space="preserve"> </w:t>
      </w:r>
      <w:r w:rsidR="00A5780C">
        <w:t xml:space="preserve">of </w:t>
      </w:r>
      <w:r w:rsidR="00564836">
        <w:t xml:space="preserve">the HCCDC asset portfolio </w:t>
      </w:r>
      <w:r w:rsidR="008215EE">
        <w:t>and the implementation of the</w:t>
      </w:r>
      <w:r w:rsidR="00564836">
        <w:t xml:space="preserve"> Asset Management Framework and</w:t>
      </w:r>
      <w:r w:rsidR="00A5780C">
        <w:t xml:space="preserve"> associated business</w:t>
      </w:r>
      <w:r w:rsidR="00564836">
        <w:t xml:space="preserve"> plans</w:t>
      </w:r>
      <w:r w:rsidR="008215EE">
        <w:t xml:space="preserve">. This role oversees value for money initiatives that provide return on investment </w:t>
      </w:r>
      <w:r w:rsidR="00564836">
        <w:t xml:space="preserve">whilst providing essential services for the tenants, site users and community. </w:t>
      </w:r>
    </w:p>
    <w:p w14:paraId="65DBEC58" w14:textId="77777777" w:rsidR="00A5780C" w:rsidRDefault="00A5780C" w:rsidP="00480862">
      <w:pPr>
        <w:pStyle w:val="BodyText"/>
        <w:spacing w:before="11"/>
        <w:ind w:left="284"/>
        <w:rPr>
          <w:sz w:val="25"/>
        </w:rPr>
      </w:pPr>
    </w:p>
    <w:p w14:paraId="5F74EAEA" w14:textId="77777777" w:rsidR="00BC349B" w:rsidRDefault="00000000">
      <w:pPr>
        <w:pStyle w:val="Heading1"/>
      </w:pPr>
      <w:bookmarkStart w:id="0" w:name="Key_accountabilities"/>
      <w:bookmarkEnd w:id="0"/>
      <w:r>
        <w:t>Key accountabilities</w:t>
      </w:r>
    </w:p>
    <w:p w14:paraId="74F7300D" w14:textId="10A1D336" w:rsidR="00627528" w:rsidRDefault="00627528">
      <w:pPr>
        <w:pStyle w:val="ListParagraph"/>
        <w:numPr>
          <w:ilvl w:val="0"/>
          <w:numId w:val="11"/>
        </w:numPr>
        <w:tabs>
          <w:tab w:val="left" w:pos="840"/>
          <w:tab w:val="left" w:pos="841"/>
        </w:tabs>
        <w:spacing w:before="122"/>
        <w:ind w:hanging="360"/>
      </w:pPr>
      <w:r w:rsidRPr="00627528">
        <w:t>Oversee a range of property and asset management activities, including regular inspection of properties, provi</w:t>
      </w:r>
      <w:r>
        <w:t>sion of</w:t>
      </w:r>
      <w:r w:rsidRPr="00627528">
        <w:t xml:space="preserve"> advice, updates and input into strategies to deal with ownership, operation, asset management issues, site control and management of site access</w:t>
      </w:r>
    </w:p>
    <w:p w14:paraId="5F19964E" w14:textId="4789CE88" w:rsidR="00EC67CA" w:rsidRDefault="00480862" w:rsidP="00EC67CA">
      <w:pPr>
        <w:pStyle w:val="ListParagraph"/>
        <w:numPr>
          <w:ilvl w:val="0"/>
          <w:numId w:val="11"/>
        </w:numPr>
        <w:tabs>
          <w:tab w:val="left" w:pos="840"/>
          <w:tab w:val="left" w:pos="841"/>
        </w:tabs>
        <w:spacing w:before="122"/>
        <w:ind w:hanging="360"/>
      </w:pPr>
      <w:r>
        <w:t>Review the</w:t>
      </w:r>
      <w:r w:rsidR="00EC67CA" w:rsidRPr="00EC67CA">
        <w:t xml:space="preserve"> management processes and procedures in line with industry best practice, </w:t>
      </w:r>
      <w:r>
        <w:t xml:space="preserve">ensuring the reflection of </w:t>
      </w:r>
      <w:r w:rsidR="00EC67CA" w:rsidRPr="00EC67CA">
        <w:t xml:space="preserve">changes </w:t>
      </w:r>
      <w:r>
        <w:t>in</w:t>
      </w:r>
      <w:r w:rsidR="00EC67CA" w:rsidRPr="00EC67CA">
        <w:t xml:space="preserve"> legislation and </w:t>
      </w:r>
      <w:r w:rsidR="00A5780C">
        <w:t xml:space="preserve">emerging </w:t>
      </w:r>
      <w:r w:rsidR="00A5780C" w:rsidRPr="00EC67CA">
        <w:t>technology</w:t>
      </w:r>
      <w:r w:rsidR="00EC67CA" w:rsidRPr="00EC67CA">
        <w:t xml:space="preserve"> to ensure that all statutory requirements are </w:t>
      </w:r>
      <w:r w:rsidR="00A5780C">
        <w:t>acheived</w:t>
      </w:r>
    </w:p>
    <w:p w14:paraId="5EF7D675" w14:textId="1DBC8F80" w:rsidR="00EC67CA" w:rsidRDefault="00EC67CA" w:rsidP="00EC67CA">
      <w:pPr>
        <w:pStyle w:val="ListParagraph"/>
        <w:numPr>
          <w:ilvl w:val="0"/>
          <w:numId w:val="11"/>
        </w:numPr>
        <w:tabs>
          <w:tab w:val="left" w:pos="840"/>
          <w:tab w:val="left" w:pos="841"/>
        </w:tabs>
        <w:spacing w:before="122"/>
        <w:ind w:hanging="360"/>
      </w:pPr>
      <w:r w:rsidRPr="00EC67CA">
        <w:t xml:space="preserve">Monitor the on-going management and administration of lease and licence agreements to ensure the </w:t>
      </w:r>
      <w:r>
        <w:t>asset management plans,</w:t>
      </w:r>
      <w:r w:rsidRPr="00EC67CA">
        <w:t xml:space="preserve"> policies and procedures are adhered to</w:t>
      </w:r>
    </w:p>
    <w:p w14:paraId="5B73FDE3" w14:textId="77777777" w:rsidR="00EC67CA" w:rsidRDefault="00EC67CA" w:rsidP="00EC67CA">
      <w:pPr>
        <w:pStyle w:val="ListParagraph"/>
        <w:numPr>
          <w:ilvl w:val="0"/>
          <w:numId w:val="11"/>
        </w:numPr>
        <w:tabs>
          <w:tab w:val="left" w:pos="840"/>
          <w:tab w:val="left" w:pos="841"/>
        </w:tabs>
        <w:spacing w:before="122"/>
        <w:ind w:hanging="360"/>
      </w:pPr>
      <w:r w:rsidRPr="00EC67CA">
        <w:t xml:space="preserve">Provide budget information and cost control advice including cash flow forecasting </w:t>
      </w:r>
      <w:r>
        <w:t xml:space="preserve">to inform the disposal and </w:t>
      </w:r>
      <w:r w:rsidRPr="00EC67CA">
        <w:t xml:space="preserve">acquisition </w:t>
      </w:r>
      <w:r>
        <w:t xml:space="preserve">of properties, and </w:t>
      </w:r>
      <w:r w:rsidRPr="00EC67CA">
        <w:t>establish property management budgets and regular budget variance reporting</w:t>
      </w:r>
    </w:p>
    <w:p w14:paraId="2364FD68" w14:textId="6BCF2730" w:rsidR="00BC349B" w:rsidRDefault="00000000">
      <w:pPr>
        <w:pStyle w:val="ListParagraph"/>
        <w:numPr>
          <w:ilvl w:val="0"/>
          <w:numId w:val="11"/>
        </w:numPr>
        <w:tabs>
          <w:tab w:val="left" w:pos="840"/>
          <w:tab w:val="left" w:pos="841"/>
        </w:tabs>
        <w:spacing w:before="122"/>
        <w:ind w:hanging="360"/>
      </w:pPr>
      <w:r>
        <w:t>Identify and manage revenue generating</w:t>
      </w:r>
      <w:r w:rsidRPr="00A5780C">
        <w:t xml:space="preserve"> </w:t>
      </w:r>
      <w:r>
        <w:t>opportunities</w:t>
      </w:r>
      <w:r w:rsidR="007D1B9B">
        <w:t xml:space="preserve">, including </w:t>
      </w:r>
      <w:r w:rsidR="00480862">
        <w:t xml:space="preserve">seeking </w:t>
      </w:r>
      <w:r w:rsidR="00A5780C">
        <w:t>out events,</w:t>
      </w:r>
      <w:r w:rsidR="00480862">
        <w:t xml:space="preserve"> </w:t>
      </w:r>
      <w:r w:rsidR="007D1B9B">
        <w:t>leasing and licensing opportunities,</w:t>
      </w:r>
      <w:r w:rsidR="002F4AF4">
        <w:t xml:space="preserve"> and </w:t>
      </w:r>
      <w:r w:rsidR="00480862">
        <w:t>researching best practice in the industry</w:t>
      </w:r>
      <w:r w:rsidR="002F4AF4">
        <w:t xml:space="preserve"> </w:t>
      </w:r>
    </w:p>
    <w:p w14:paraId="3C456D96" w14:textId="77777777" w:rsidR="00480862" w:rsidRDefault="00000000" w:rsidP="00A5780C">
      <w:pPr>
        <w:pStyle w:val="ListParagraph"/>
        <w:numPr>
          <w:ilvl w:val="0"/>
          <w:numId w:val="11"/>
        </w:numPr>
        <w:tabs>
          <w:tab w:val="left" w:pos="840"/>
          <w:tab w:val="left" w:pos="841"/>
        </w:tabs>
        <w:spacing w:before="122"/>
        <w:ind w:hanging="360"/>
      </w:pPr>
      <w:r>
        <w:t>Manage all portfolio asset and lease management activities including the negotiation and drafting of lease</w:t>
      </w:r>
      <w:r w:rsidR="002F4AF4">
        <w:t xml:space="preserve"> and</w:t>
      </w:r>
      <w:r>
        <w:t xml:space="preserve"> licenses to produce a quality revenue generating</w:t>
      </w:r>
      <w:r w:rsidRPr="00A5780C">
        <w:t xml:space="preserve"> </w:t>
      </w:r>
      <w:r>
        <w:t>portfolio</w:t>
      </w:r>
    </w:p>
    <w:p w14:paraId="2946AC5C" w14:textId="7C9833EC" w:rsidR="00BC349B" w:rsidRPr="00A5780C" w:rsidRDefault="00480862" w:rsidP="00A5780C">
      <w:pPr>
        <w:pStyle w:val="ListParagraph"/>
        <w:numPr>
          <w:ilvl w:val="0"/>
          <w:numId w:val="11"/>
        </w:numPr>
        <w:tabs>
          <w:tab w:val="left" w:pos="840"/>
          <w:tab w:val="left" w:pos="841"/>
        </w:tabs>
        <w:spacing w:before="122"/>
        <w:ind w:hanging="360"/>
      </w:pPr>
      <w:r>
        <w:t xml:space="preserve">Manage compliance of Tennant and HCCDC obligations including invoicing tenants and users as required </w:t>
      </w:r>
    </w:p>
    <w:p w14:paraId="0DA89676" w14:textId="77777777" w:rsidR="00A5780C" w:rsidRPr="00A5780C" w:rsidRDefault="00A5780C" w:rsidP="00A5780C">
      <w:pPr>
        <w:pStyle w:val="ListParagraph"/>
        <w:tabs>
          <w:tab w:val="left" w:pos="840"/>
          <w:tab w:val="left" w:pos="841"/>
        </w:tabs>
        <w:spacing w:before="122"/>
        <w:ind w:firstLine="0"/>
      </w:pPr>
    </w:p>
    <w:p w14:paraId="174F0903" w14:textId="77777777" w:rsidR="00BC349B" w:rsidRDefault="00000000">
      <w:pPr>
        <w:pStyle w:val="Heading1"/>
      </w:pPr>
      <w:r>
        <w:t>Key challenges</w:t>
      </w:r>
    </w:p>
    <w:p w14:paraId="4E19656C" w14:textId="1D37E817" w:rsidR="00BC349B" w:rsidRDefault="00000000">
      <w:pPr>
        <w:pStyle w:val="ListParagraph"/>
        <w:numPr>
          <w:ilvl w:val="0"/>
          <w:numId w:val="11"/>
        </w:numPr>
        <w:tabs>
          <w:tab w:val="left" w:pos="840"/>
          <w:tab w:val="left" w:pos="841"/>
        </w:tabs>
        <w:spacing w:before="244" w:line="273" w:lineRule="auto"/>
        <w:ind w:right="489" w:hanging="360"/>
      </w:pPr>
      <w:r>
        <w:t xml:space="preserve">Prioritise </w:t>
      </w:r>
      <w:r w:rsidR="00A5780C">
        <w:t xml:space="preserve">activities </w:t>
      </w:r>
      <w:r w:rsidR="00480862">
        <w:t xml:space="preserve">given </w:t>
      </w:r>
      <w:r>
        <w:t>conflicting demands</w:t>
      </w:r>
      <w:r w:rsidR="00A5780C">
        <w:t xml:space="preserve"> and </w:t>
      </w:r>
      <w:r>
        <w:t xml:space="preserve">deadlines </w:t>
      </w:r>
      <w:r w:rsidR="00A5780C">
        <w:t>whilst ensuring</w:t>
      </w:r>
      <w:r>
        <w:t xml:space="preserve"> that service is of high quality and delivered in a timely</w:t>
      </w:r>
      <w:r>
        <w:rPr>
          <w:spacing w:val="-21"/>
        </w:rPr>
        <w:t xml:space="preserve"> </w:t>
      </w:r>
      <w:r>
        <w:t>manner</w:t>
      </w:r>
    </w:p>
    <w:p w14:paraId="1075001F" w14:textId="2BFC9943" w:rsidR="002F4AF4" w:rsidRDefault="002F4AF4">
      <w:pPr>
        <w:pStyle w:val="ListParagraph"/>
        <w:numPr>
          <w:ilvl w:val="0"/>
          <w:numId w:val="11"/>
        </w:numPr>
        <w:tabs>
          <w:tab w:val="left" w:pos="840"/>
          <w:tab w:val="left" w:pos="841"/>
        </w:tabs>
        <w:spacing w:before="2"/>
        <w:ind w:hanging="360"/>
      </w:pPr>
      <w:r>
        <w:t>Liaise with varied tenants across the portfolio</w:t>
      </w:r>
      <w:r w:rsidR="007D1B9B">
        <w:t xml:space="preserve"> including managing expectations related to heritage assets and site and use restrictions.</w:t>
      </w:r>
    </w:p>
    <w:p w14:paraId="2FD523B0" w14:textId="77777777" w:rsidR="00BC349B" w:rsidRDefault="00BC349B">
      <w:pPr>
        <w:pStyle w:val="BodyText"/>
        <w:spacing w:before="5"/>
        <w:rPr>
          <w:sz w:val="20"/>
        </w:rPr>
      </w:pPr>
    </w:p>
    <w:p w14:paraId="1EC6ECCF" w14:textId="77777777" w:rsidR="00BC349B" w:rsidRDefault="00000000">
      <w:pPr>
        <w:pStyle w:val="Heading1"/>
      </w:pPr>
      <w:r>
        <w:t>Key relationships</w:t>
      </w:r>
    </w:p>
    <w:p w14:paraId="50777AD2" w14:textId="77777777" w:rsidR="00BC349B" w:rsidRDefault="00BC349B">
      <w:pPr>
        <w:pStyle w:val="BodyText"/>
        <w:spacing w:before="8"/>
        <w:rPr>
          <w:b/>
          <w:sz w:val="17"/>
        </w:rPr>
      </w:pPr>
    </w:p>
    <w:tbl>
      <w:tblPr>
        <w:tblStyle w:val="PSCPurple"/>
        <w:tblW w:w="10587" w:type="dxa"/>
        <w:tblLayout w:type="fixed"/>
        <w:tblLook w:val="04A0" w:firstRow="1" w:lastRow="0" w:firstColumn="1" w:lastColumn="0" w:noHBand="0" w:noVBand="1"/>
      </w:tblPr>
      <w:tblGrid>
        <w:gridCol w:w="3601"/>
        <w:gridCol w:w="6946"/>
        <w:gridCol w:w="40"/>
      </w:tblGrid>
      <w:tr w:rsidR="00E06505" w:rsidRPr="00E06505" w14:paraId="665F3D6A" w14:textId="77777777" w:rsidTr="00FC58F8">
        <w:trPr>
          <w:gridAfter w:val="1"/>
          <w:cnfStyle w:val="100000000000" w:firstRow="1" w:lastRow="0" w:firstColumn="0" w:lastColumn="0" w:oddVBand="0" w:evenVBand="0" w:oddHBand="0" w:evenHBand="0" w:firstRowFirstColumn="0" w:firstRowLastColumn="0" w:lastRowFirstColumn="0" w:lastRowLastColumn="0"/>
          <w:wAfter w:w="40" w:type="dxa"/>
          <w:cantSplit/>
          <w:tblHeader/>
        </w:trPr>
        <w:tc>
          <w:tcPr>
            <w:tcW w:w="3601" w:type="dxa"/>
          </w:tcPr>
          <w:p w14:paraId="5C41ACEC" w14:textId="77777777" w:rsidR="00E06505" w:rsidRPr="00E06505" w:rsidRDefault="00E06505" w:rsidP="00E06505">
            <w:pPr>
              <w:spacing w:before="40" w:after="40" w:line="280" w:lineRule="atLeast"/>
              <w:rPr>
                <w:b/>
                <w:color w:val="FFFFFF"/>
              </w:rPr>
            </w:pPr>
            <w:r w:rsidRPr="00E06505">
              <w:rPr>
                <w:b/>
                <w:color w:val="FFFFFF"/>
              </w:rPr>
              <w:t>Who</w:t>
            </w:r>
          </w:p>
        </w:tc>
        <w:tc>
          <w:tcPr>
            <w:tcW w:w="6946" w:type="dxa"/>
          </w:tcPr>
          <w:p w14:paraId="5E93C7A7" w14:textId="77777777" w:rsidR="00E06505" w:rsidRPr="00E06505" w:rsidRDefault="00E06505" w:rsidP="00E06505">
            <w:pPr>
              <w:spacing w:before="40" w:after="40" w:line="280" w:lineRule="atLeast"/>
              <w:rPr>
                <w:b/>
                <w:color w:val="FFFFFF"/>
              </w:rPr>
            </w:pPr>
            <w:r w:rsidRPr="00E06505">
              <w:rPr>
                <w:b/>
                <w:color w:val="FFFFFF"/>
              </w:rPr>
              <w:t>Why</w:t>
            </w:r>
          </w:p>
        </w:tc>
      </w:tr>
      <w:tr w:rsidR="00E06505" w:rsidRPr="00E06505" w14:paraId="386B859A" w14:textId="77777777" w:rsidTr="00FC58F8">
        <w:trPr>
          <w:gridAfter w:val="1"/>
          <w:wAfter w:w="40" w:type="dxa"/>
          <w:cantSplit/>
        </w:trPr>
        <w:tc>
          <w:tcPr>
            <w:tcW w:w="3601" w:type="dxa"/>
            <w:tcBorders>
              <w:top w:val="single" w:sz="8" w:space="0" w:color="auto"/>
              <w:bottom w:val="single" w:sz="8" w:space="0" w:color="auto"/>
            </w:tcBorders>
            <w:shd w:val="clear" w:color="auto" w:fill="BCBEC0"/>
          </w:tcPr>
          <w:p w14:paraId="6EC3ECFD" w14:textId="77777777" w:rsidR="00E06505" w:rsidRPr="00E06505" w:rsidRDefault="00E06505" w:rsidP="00E06505">
            <w:pPr>
              <w:keepNext/>
              <w:spacing w:before="40" w:after="40" w:line="280" w:lineRule="atLeast"/>
              <w:rPr>
                <w:b/>
              </w:rPr>
            </w:pPr>
            <w:bookmarkStart w:id="1" w:name="InternalRelationships"/>
            <w:r w:rsidRPr="00E06505">
              <w:rPr>
                <w:b/>
              </w:rPr>
              <w:t>Internal</w:t>
            </w:r>
          </w:p>
        </w:tc>
        <w:tc>
          <w:tcPr>
            <w:tcW w:w="6946" w:type="dxa"/>
            <w:tcBorders>
              <w:top w:val="single" w:sz="8" w:space="0" w:color="auto"/>
              <w:bottom w:val="single" w:sz="8" w:space="0" w:color="auto"/>
            </w:tcBorders>
            <w:shd w:val="clear" w:color="auto" w:fill="BCBEC0"/>
          </w:tcPr>
          <w:p w14:paraId="6D678BCF" w14:textId="77777777" w:rsidR="00E06505" w:rsidRPr="00E06505" w:rsidRDefault="00E06505" w:rsidP="00E06505">
            <w:pPr>
              <w:keepNext/>
              <w:spacing w:before="40" w:after="40" w:line="280" w:lineRule="atLeast"/>
              <w:rPr>
                <w:b/>
              </w:rPr>
            </w:pPr>
          </w:p>
        </w:tc>
      </w:tr>
      <w:tr w:rsidR="00E06505" w:rsidRPr="00E06505" w14:paraId="730CFAE3" w14:textId="77777777" w:rsidTr="00FC58F8">
        <w:trPr>
          <w:gridAfter w:val="1"/>
          <w:wAfter w:w="40" w:type="dxa"/>
          <w:cantSplit/>
        </w:trPr>
        <w:tc>
          <w:tcPr>
            <w:tcW w:w="3601" w:type="dxa"/>
            <w:tcBorders>
              <w:top w:val="single" w:sz="8" w:space="0" w:color="auto"/>
              <w:bottom w:val="single" w:sz="8" w:space="0" w:color="BCBEC0"/>
            </w:tcBorders>
          </w:tcPr>
          <w:p w14:paraId="0FF13319" w14:textId="77777777" w:rsidR="00E06505" w:rsidRPr="00E06505" w:rsidRDefault="00E06505" w:rsidP="00E06505">
            <w:pPr>
              <w:spacing w:before="40" w:after="40" w:line="280" w:lineRule="atLeast"/>
            </w:pPr>
            <w:r w:rsidRPr="00E06505">
              <w:t xml:space="preserve">Line Manager </w:t>
            </w:r>
          </w:p>
        </w:tc>
        <w:tc>
          <w:tcPr>
            <w:tcW w:w="6946" w:type="dxa"/>
            <w:tcBorders>
              <w:top w:val="single" w:sz="8" w:space="0" w:color="auto"/>
              <w:bottom w:val="single" w:sz="8" w:space="0" w:color="BCBEC0"/>
            </w:tcBorders>
          </w:tcPr>
          <w:p w14:paraId="33420ADE"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Receive Guidance, support and feedback</w:t>
            </w:r>
          </w:p>
          <w:p w14:paraId="07A7B6C0"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Liaise to understand and deliver program and service outcomes.</w:t>
            </w:r>
          </w:p>
          <w:p w14:paraId="481A9DE5"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Provide technical advice, information and recommendations on a range of matters.</w:t>
            </w:r>
          </w:p>
          <w:p w14:paraId="4028323C"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Recommend and seek approval for proposed works.</w:t>
            </w:r>
          </w:p>
          <w:p w14:paraId="611BEBAE"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Provide input into monthly reporting on project performance and budget management.</w:t>
            </w:r>
          </w:p>
          <w:p w14:paraId="072D61C8"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Provide assistance with day-to-day management of team activities.</w:t>
            </w:r>
          </w:p>
        </w:tc>
      </w:tr>
      <w:tr w:rsidR="00E06505" w:rsidRPr="00E06505" w14:paraId="1505086A" w14:textId="77777777" w:rsidTr="00FC58F8">
        <w:trPr>
          <w:gridAfter w:val="1"/>
          <w:wAfter w:w="40" w:type="dxa"/>
          <w:cantSplit/>
        </w:trPr>
        <w:tc>
          <w:tcPr>
            <w:tcW w:w="3601" w:type="dxa"/>
            <w:tcBorders>
              <w:top w:val="single" w:sz="8" w:space="0" w:color="auto"/>
              <w:bottom w:val="single" w:sz="8" w:space="0" w:color="BCBEC0"/>
            </w:tcBorders>
          </w:tcPr>
          <w:p w14:paraId="5401D05F" w14:textId="77777777" w:rsidR="00E06505" w:rsidRPr="00E06505" w:rsidRDefault="00E06505" w:rsidP="00E06505">
            <w:pPr>
              <w:spacing w:before="40" w:after="40" w:line="280" w:lineRule="atLeast"/>
            </w:pPr>
            <w:r w:rsidRPr="00E06505">
              <w:lastRenderedPageBreak/>
              <w:t>Team members/Direct Reports</w:t>
            </w:r>
          </w:p>
        </w:tc>
        <w:tc>
          <w:tcPr>
            <w:tcW w:w="6946" w:type="dxa"/>
            <w:tcBorders>
              <w:top w:val="single" w:sz="8" w:space="0" w:color="auto"/>
              <w:bottom w:val="single" w:sz="8" w:space="0" w:color="BCBEC0"/>
            </w:tcBorders>
          </w:tcPr>
          <w:p w14:paraId="64A3BABB"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Collaborate to share information on programs and projects and provide technical advice.</w:t>
            </w:r>
          </w:p>
          <w:p w14:paraId="783F7930"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Participate in meetings to contribute and seek ideas to improve performance, program, and service delivery and work outcomes.</w:t>
            </w:r>
          </w:p>
          <w:p w14:paraId="36191DCD"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Provide support to achieve business and operational outcomes.</w:t>
            </w:r>
          </w:p>
          <w:p w14:paraId="7C990295"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Work collaboratively to determine the best approach to facilities management in relation to current business needs</w:t>
            </w:r>
          </w:p>
        </w:tc>
      </w:tr>
      <w:tr w:rsidR="00E06505" w:rsidRPr="00E06505" w14:paraId="79FB2B63" w14:textId="77777777" w:rsidTr="00FC58F8">
        <w:trPr>
          <w:gridAfter w:val="1"/>
          <w:wAfter w:w="40" w:type="dxa"/>
          <w:cantSplit/>
        </w:trPr>
        <w:tc>
          <w:tcPr>
            <w:tcW w:w="3601" w:type="dxa"/>
            <w:tcBorders>
              <w:top w:val="single" w:sz="8" w:space="0" w:color="BCBEC0"/>
              <w:bottom w:val="single" w:sz="8" w:space="0" w:color="BCBEC0"/>
            </w:tcBorders>
            <w:shd w:val="clear" w:color="auto" w:fill="BCBEC0"/>
          </w:tcPr>
          <w:p w14:paraId="7D208EC4" w14:textId="77777777" w:rsidR="00E06505" w:rsidRPr="00E06505" w:rsidRDefault="00E06505" w:rsidP="00E06505">
            <w:pPr>
              <w:spacing w:before="40" w:after="40" w:line="280" w:lineRule="atLeast"/>
              <w:rPr>
                <w:b/>
              </w:rPr>
            </w:pPr>
            <w:bookmarkStart w:id="2" w:name="ExternalRelationships"/>
            <w:bookmarkEnd w:id="1"/>
            <w:r w:rsidRPr="00E06505">
              <w:rPr>
                <w:b/>
              </w:rPr>
              <w:t>External</w:t>
            </w:r>
          </w:p>
        </w:tc>
        <w:tc>
          <w:tcPr>
            <w:tcW w:w="6946" w:type="dxa"/>
            <w:tcBorders>
              <w:top w:val="single" w:sz="8" w:space="0" w:color="BCBEC0"/>
              <w:bottom w:val="single" w:sz="8" w:space="0" w:color="BCBEC0"/>
            </w:tcBorders>
            <w:shd w:val="clear" w:color="auto" w:fill="BCBEC0"/>
          </w:tcPr>
          <w:p w14:paraId="6511E13F" w14:textId="77777777" w:rsidR="00E06505" w:rsidRPr="00E06505" w:rsidRDefault="00E06505" w:rsidP="00E06505">
            <w:pPr>
              <w:spacing w:before="40" w:after="40" w:line="280" w:lineRule="atLeast"/>
              <w:rPr>
                <w:b/>
              </w:rPr>
            </w:pPr>
          </w:p>
        </w:tc>
      </w:tr>
      <w:tr w:rsidR="00E06505" w:rsidRPr="00E06505" w14:paraId="2F16E1AC" w14:textId="77777777" w:rsidTr="00FC58F8">
        <w:trPr>
          <w:cantSplit/>
        </w:trPr>
        <w:tc>
          <w:tcPr>
            <w:tcW w:w="3601" w:type="dxa"/>
            <w:tcBorders>
              <w:bottom w:val="single" w:sz="4" w:space="0" w:color="auto"/>
            </w:tcBorders>
          </w:tcPr>
          <w:p w14:paraId="33BC7EAF" w14:textId="77777777" w:rsidR="00E06505" w:rsidRPr="00E06505" w:rsidRDefault="00E06505" w:rsidP="00E06505">
            <w:pPr>
              <w:spacing w:before="40" w:after="40" w:line="280" w:lineRule="atLeast"/>
              <w:rPr>
                <w:rFonts w:cs="Times New Roman"/>
              </w:rPr>
            </w:pPr>
            <w:r w:rsidRPr="00E06505">
              <w:rPr>
                <w:rFonts w:cs="Times New Roman"/>
              </w:rPr>
              <w:t>State and Local Government agencies, private sector, industry and community stakeholders</w:t>
            </w:r>
          </w:p>
        </w:tc>
        <w:tc>
          <w:tcPr>
            <w:tcW w:w="6986" w:type="dxa"/>
            <w:gridSpan w:val="2"/>
            <w:tcBorders>
              <w:bottom w:val="single" w:sz="4" w:space="0" w:color="auto"/>
            </w:tcBorders>
          </w:tcPr>
          <w:p w14:paraId="6154D404"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Establish and maintain effective relationships and communication networks.</w:t>
            </w:r>
          </w:p>
          <w:p w14:paraId="0E56927F"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Pro-actively identify opportunities to work with State Agencies to contribute to delivering on Government priorities.</w:t>
            </w:r>
          </w:p>
          <w:p w14:paraId="2A3EBAF9"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Liaise to ensure effective coordination and cooperation to effectively respond to enquiries, deal with complex issues and resolve disputes and customer concerns.</w:t>
            </w:r>
          </w:p>
          <w:p w14:paraId="4397BC12"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 xml:space="preserve">Provide clear information and high quality advice on current matters. </w:t>
            </w:r>
          </w:p>
        </w:tc>
      </w:tr>
      <w:tr w:rsidR="00E06505" w:rsidRPr="00E06505" w14:paraId="4D924EA5" w14:textId="77777777" w:rsidTr="00FC58F8">
        <w:trPr>
          <w:cantSplit/>
        </w:trPr>
        <w:tc>
          <w:tcPr>
            <w:tcW w:w="3601" w:type="dxa"/>
          </w:tcPr>
          <w:p w14:paraId="1BDC42E0" w14:textId="77777777" w:rsidR="00E06505" w:rsidRPr="00E06505" w:rsidRDefault="00E06505" w:rsidP="00E06505">
            <w:pPr>
              <w:spacing w:before="40" w:after="40" w:line="280" w:lineRule="atLeast"/>
              <w:rPr>
                <w:rFonts w:cs="Times New Roman"/>
              </w:rPr>
            </w:pPr>
            <w:r w:rsidRPr="00E06505">
              <w:rPr>
                <w:rFonts w:cs="Times New Roman"/>
              </w:rPr>
              <w:t>External contractors and consultants</w:t>
            </w:r>
          </w:p>
        </w:tc>
        <w:tc>
          <w:tcPr>
            <w:tcW w:w="6986" w:type="dxa"/>
            <w:gridSpan w:val="2"/>
          </w:tcPr>
          <w:p w14:paraId="6BFE5879"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Lead effective management and set up of external service provider arrangements.</w:t>
            </w:r>
          </w:p>
          <w:p w14:paraId="179516A4"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 xml:space="preserve">Set clear performance parameters, monitor delivery of services and resolve issues to improve service outcomes. </w:t>
            </w:r>
          </w:p>
        </w:tc>
      </w:tr>
      <w:tr w:rsidR="00E06505" w:rsidRPr="00E06505" w14:paraId="17B30BDD" w14:textId="77777777" w:rsidTr="00FC58F8">
        <w:trPr>
          <w:cantSplit/>
        </w:trPr>
        <w:tc>
          <w:tcPr>
            <w:tcW w:w="3601" w:type="dxa"/>
          </w:tcPr>
          <w:p w14:paraId="00DFEB35" w14:textId="77777777" w:rsidR="00E06505" w:rsidRPr="00E06505" w:rsidRDefault="00E06505" w:rsidP="00E06505">
            <w:pPr>
              <w:spacing w:before="40" w:after="40" w:line="280" w:lineRule="atLeast"/>
              <w:rPr>
                <w:rFonts w:cs="Times New Roman"/>
              </w:rPr>
            </w:pPr>
            <w:r w:rsidRPr="00E06505">
              <w:rPr>
                <w:rFonts w:cs="Times New Roman"/>
              </w:rPr>
              <w:t>Leaseholders and licensees</w:t>
            </w:r>
          </w:p>
        </w:tc>
        <w:tc>
          <w:tcPr>
            <w:tcW w:w="6986" w:type="dxa"/>
            <w:gridSpan w:val="2"/>
          </w:tcPr>
          <w:p w14:paraId="294F0CDF" w14:textId="1271570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 xml:space="preserve">Respond to requests for </w:t>
            </w:r>
            <w:r>
              <w:rPr>
                <w:rFonts w:cs="Times New Roman"/>
              </w:rPr>
              <w:t>property</w:t>
            </w:r>
            <w:r w:rsidRPr="00E06505">
              <w:rPr>
                <w:rFonts w:cs="Times New Roman"/>
              </w:rPr>
              <w:t xml:space="preserve"> management activities</w:t>
            </w:r>
          </w:p>
          <w:p w14:paraId="58AD9ED4" w14:textId="77777777" w:rsidR="00E06505" w:rsidRPr="00E06505" w:rsidRDefault="00E06505" w:rsidP="00E06505">
            <w:pPr>
              <w:numPr>
                <w:ilvl w:val="0"/>
                <w:numId w:val="13"/>
              </w:numPr>
              <w:spacing w:before="20" w:after="20" w:line="280" w:lineRule="atLeast"/>
              <w:ind w:left="314"/>
              <w:rPr>
                <w:rFonts w:cs="Times New Roman"/>
              </w:rPr>
            </w:pPr>
            <w:r w:rsidRPr="00E06505">
              <w:rPr>
                <w:rFonts w:cs="Times New Roman"/>
              </w:rPr>
              <w:t>Regular engagement and communication to ensure short and long-term needs are managed and expectations acknowledged</w:t>
            </w:r>
          </w:p>
        </w:tc>
      </w:tr>
      <w:bookmarkEnd w:id="2"/>
    </w:tbl>
    <w:p w14:paraId="482800C7" w14:textId="77777777" w:rsidR="00BC349B" w:rsidRDefault="00BC349B">
      <w:pPr>
        <w:pStyle w:val="BodyText"/>
        <w:rPr>
          <w:b/>
          <w:sz w:val="28"/>
        </w:rPr>
      </w:pPr>
    </w:p>
    <w:p w14:paraId="41B2B400" w14:textId="77777777" w:rsidR="00BC349B" w:rsidRDefault="00BC349B">
      <w:pPr>
        <w:pStyle w:val="BodyText"/>
        <w:spacing w:before="3"/>
        <w:rPr>
          <w:b/>
          <w:sz w:val="26"/>
        </w:rPr>
      </w:pPr>
    </w:p>
    <w:p w14:paraId="7FB03871" w14:textId="77777777" w:rsidR="00BC349B" w:rsidRDefault="00000000">
      <w:pPr>
        <w:spacing w:before="1"/>
        <w:ind w:left="120"/>
        <w:rPr>
          <w:b/>
          <w:sz w:val="26"/>
        </w:rPr>
      </w:pPr>
      <w:bookmarkStart w:id="3" w:name="Role_dimensions"/>
      <w:bookmarkEnd w:id="3"/>
      <w:r>
        <w:rPr>
          <w:b/>
          <w:sz w:val="26"/>
        </w:rPr>
        <w:t>Role dimensions</w:t>
      </w:r>
    </w:p>
    <w:p w14:paraId="26723C17" w14:textId="77777777" w:rsidR="00BC349B" w:rsidRDefault="00000000">
      <w:pPr>
        <w:pStyle w:val="Heading2"/>
        <w:spacing w:before="120"/>
      </w:pPr>
      <w:bookmarkStart w:id="4" w:name="Decision_making"/>
      <w:bookmarkEnd w:id="4"/>
      <w:r>
        <w:rPr>
          <w:color w:val="6D6E71"/>
        </w:rPr>
        <w:t>Decision making</w:t>
      </w:r>
    </w:p>
    <w:p w14:paraId="23B299F2" w14:textId="77777777" w:rsidR="00BC349B" w:rsidRDefault="00000000">
      <w:pPr>
        <w:pStyle w:val="ListParagraph"/>
        <w:numPr>
          <w:ilvl w:val="0"/>
          <w:numId w:val="11"/>
        </w:numPr>
        <w:tabs>
          <w:tab w:val="left" w:pos="839"/>
          <w:tab w:val="left" w:pos="841"/>
        </w:tabs>
        <w:spacing w:before="0" w:line="269" w:lineRule="exact"/>
      </w:pPr>
      <w:bookmarkStart w:id="5" w:name="_Has_responsibility_for_setting_own_wor"/>
      <w:bookmarkEnd w:id="5"/>
      <w:r>
        <w:t>Has</w:t>
      </w:r>
      <w:r>
        <w:rPr>
          <w:spacing w:val="-3"/>
        </w:rPr>
        <w:t xml:space="preserve"> </w:t>
      </w:r>
      <w:r>
        <w:t>responsibility</w:t>
      </w:r>
      <w:r>
        <w:rPr>
          <w:spacing w:val="-8"/>
        </w:rPr>
        <w:t xml:space="preserve"> </w:t>
      </w:r>
      <w:r>
        <w:t>for</w:t>
      </w:r>
      <w:r>
        <w:rPr>
          <w:spacing w:val="-5"/>
        </w:rPr>
        <w:t xml:space="preserve"> </w:t>
      </w:r>
      <w:r>
        <w:t>setting</w:t>
      </w:r>
      <w:r>
        <w:rPr>
          <w:spacing w:val="-4"/>
        </w:rPr>
        <w:t xml:space="preserve"> </w:t>
      </w:r>
      <w:r>
        <w:t>own</w:t>
      </w:r>
      <w:r>
        <w:rPr>
          <w:spacing w:val="-4"/>
        </w:rPr>
        <w:t xml:space="preserve"> </w:t>
      </w:r>
      <w:r>
        <w:t>work</w:t>
      </w:r>
      <w:r>
        <w:rPr>
          <w:spacing w:val="-1"/>
        </w:rPr>
        <w:t xml:space="preserve"> </w:t>
      </w:r>
      <w:r>
        <w:t>priorities</w:t>
      </w:r>
      <w:r>
        <w:rPr>
          <w:spacing w:val="-6"/>
        </w:rPr>
        <w:t xml:space="preserve"> </w:t>
      </w:r>
      <w:r>
        <w:t>within</w:t>
      </w:r>
      <w:r>
        <w:rPr>
          <w:spacing w:val="-4"/>
        </w:rPr>
        <w:t xml:space="preserve"> </w:t>
      </w:r>
      <w:r>
        <w:t>the</w:t>
      </w:r>
      <w:r>
        <w:rPr>
          <w:spacing w:val="-4"/>
        </w:rPr>
        <w:t xml:space="preserve"> </w:t>
      </w:r>
      <w:r>
        <w:t>overall</w:t>
      </w:r>
      <w:r>
        <w:rPr>
          <w:spacing w:val="-4"/>
        </w:rPr>
        <w:t xml:space="preserve"> </w:t>
      </w:r>
      <w:r>
        <w:t>agreed</w:t>
      </w:r>
      <w:r>
        <w:rPr>
          <w:spacing w:val="-8"/>
        </w:rPr>
        <w:t xml:space="preserve"> </w:t>
      </w:r>
      <w:r>
        <w:t>work</w:t>
      </w:r>
      <w:r>
        <w:rPr>
          <w:spacing w:val="-1"/>
        </w:rPr>
        <w:t xml:space="preserve"> </w:t>
      </w:r>
      <w:r>
        <w:t>program</w:t>
      </w:r>
    </w:p>
    <w:p w14:paraId="15C88D71" w14:textId="7A375EE0" w:rsidR="00BC349B" w:rsidRDefault="007D1B9B">
      <w:pPr>
        <w:pStyle w:val="ListParagraph"/>
        <w:numPr>
          <w:ilvl w:val="0"/>
          <w:numId w:val="11"/>
        </w:numPr>
        <w:tabs>
          <w:tab w:val="left" w:pos="840"/>
          <w:tab w:val="left" w:pos="841"/>
        </w:tabs>
        <w:spacing w:before="122" w:line="237" w:lineRule="auto"/>
        <w:ind w:right="176" w:hanging="360"/>
      </w:pPr>
      <w:r>
        <w:t>Accountable for the development and provision of advice and coordination across the HCCDC asset portfolio, working within a framework of sector and department priorities, policies and procedures, legislative and regulatory frameworks, delegations and resource</w:t>
      </w:r>
      <w:r>
        <w:rPr>
          <w:spacing w:val="-25"/>
        </w:rPr>
        <w:t xml:space="preserve"> </w:t>
      </w:r>
      <w:r>
        <w:t>parameters</w:t>
      </w:r>
    </w:p>
    <w:p w14:paraId="49E6E830" w14:textId="77777777" w:rsidR="00BC349B" w:rsidRDefault="00BC349B">
      <w:pPr>
        <w:pStyle w:val="BodyText"/>
        <w:spacing w:before="9"/>
        <w:rPr>
          <w:sz w:val="21"/>
        </w:rPr>
      </w:pPr>
    </w:p>
    <w:p w14:paraId="3A6665DC" w14:textId="77777777" w:rsidR="00BC349B" w:rsidRDefault="00000000" w:rsidP="003E25CF">
      <w:pPr>
        <w:pStyle w:val="Heading2"/>
        <w:ind w:left="0"/>
      </w:pPr>
      <w:bookmarkStart w:id="6" w:name="Reporting_line"/>
      <w:bookmarkEnd w:id="6"/>
      <w:r>
        <w:rPr>
          <w:color w:val="6D6E71"/>
        </w:rPr>
        <w:t>Reporting line</w:t>
      </w:r>
    </w:p>
    <w:p w14:paraId="055E7C65" w14:textId="13EEEB80" w:rsidR="00BC349B" w:rsidRDefault="00E06505">
      <w:pPr>
        <w:pStyle w:val="BodyText"/>
        <w:spacing w:before="121"/>
        <w:ind w:left="120"/>
      </w:pPr>
      <w:r>
        <w:t>Senior Asset and Property Manager.</w:t>
      </w:r>
    </w:p>
    <w:p w14:paraId="6DD1E049" w14:textId="77777777" w:rsidR="00E06505" w:rsidRPr="00E06505" w:rsidRDefault="00E06505" w:rsidP="00E06505">
      <w:pPr>
        <w:keepNext/>
        <w:widowControl/>
        <w:autoSpaceDE/>
        <w:autoSpaceDN/>
        <w:spacing w:before="240" w:after="120" w:line="260" w:lineRule="atLeast"/>
        <w:outlineLvl w:val="1"/>
        <w:rPr>
          <w:b/>
          <w:bCs/>
          <w:iCs/>
          <w:color w:val="6D6E71"/>
          <w:sz w:val="24"/>
          <w:szCs w:val="28"/>
          <w:lang w:val="en-AU"/>
        </w:rPr>
      </w:pPr>
      <w:r w:rsidRPr="00E06505">
        <w:rPr>
          <w:b/>
          <w:bCs/>
          <w:iCs/>
          <w:color w:val="6D6E71"/>
          <w:sz w:val="24"/>
          <w:szCs w:val="28"/>
          <w:lang w:val="en-AU"/>
        </w:rPr>
        <w:t>Direct reports</w:t>
      </w:r>
    </w:p>
    <w:p w14:paraId="2796427D" w14:textId="77777777" w:rsidR="00E06505" w:rsidRPr="00E06505" w:rsidRDefault="00E06505" w:rsidP="00E06505">
      <w:pPr>
        <w:widowControl/>
        <w:autoSpaceDE/>
        <w:autoSpaceDN/>
        <w:spacing w:after="120" w:line="260" w:lineRule="atLeast"/>
        <w:rPr>
          <w:szCs w:val="20"/>
          <w:lang w:val="en-AU"/>
        </w:rPr>
      </w:pPr>
      <w:bookmarkStart w:id="7" w:name="DirectReports"/>
      <w:bookmarkEnd w:id="7"/>
      <w:r w:rsidRPr="00E06505">
        <w:rPr>
          <w:szCs w:val="20"/>
          <w:lang w:val="en-AU"/>
        </w:rPr>
        <w:t>up to 2</w:t>
      </w:r>
    </w:p>
    <w:p w14:paraId="4A817387" w14:textId="77777777" w:rsidR="00E06505" w:rsidRPr="00E06505" w:rsidRDefault="00E06505" w:rsidP="00E06505">
      <w:pPr>
        <w:keepNext/>
        <w:widowControl/>
        <w:autoSpaceDE/>
        <w:autoSpaceDN/>
        <w:spacing w:before="240" w:after="120" w:line="260" w:lineRule="atLeast"/>
        <w:outlineLvl w:val="1"/>
        <w:rPr>
          <w:b/>
          <w:bCs/>
          <w:iCs/>
          <w:color w:val="6D6E71"/>
          <w:sz w:val="24"/>
          <w:szCs w:val="28"/>
          <w:lang w:val="en-AU"/>
        </w:rPr>
      </w:pPr>
      <w:r w:rsidRPr="00E06505">
        <w:rPr>
          <w:b/>
          <w:bCs/>
          <w:iCs/>
          <w:color w:val="6D6E71"/>
          <w:sz w:val="24"/>
          <w:szCs w:val="28"/>
          <w:lang w:val="en-AU"/>
        </w:rPr>
        <w:t>Budget/Expenditure</w:t>
      </w:r>
    </w:p>
    <w:p w14:paraId="6339CBC5" w14:textId="7F5601B7" w:rsidR="00480862" w:rsidRDefault="00E06505" w:rsidP="00E06505">
      <w:pPr>
        <w:widowControl/>
        <w:autoSpaceDE/>
        <w:autoSpaceDN/>
        <w:spacing w:after="120" w:line="260" w:lineRule="atLeast"/>
        <w:rPr>
          <w:rFonts w:cs="Times New Roman"/>
          <w:szCs w:val="20"/>
          <w:lang w:val="en-AU"/>
        </w:rPr>
      </w:pPr>
      <w:bookmarkStart w:id="8" w:name="Budget"/>
      <w:bookmarkEnd w:id="8"/>
      <w:r w:rsidRPr="00E06505">
        <w:rPr>
          <w:rFonts w:cs="Times New Roman"/>
          <w:szCs w:val="20"/>
          <w:lang w:val="en-AU"/>
        </w:rPr>
        <w:t>As per financial delegations.</w:t>
      </w:r>
    </w:p>
    <w:p w14:paraId="218CCB2F" w14:textId="77777777" w:rsidR="00480862" w:rsidRDefault="00480862">
      <w:pPr>
        <w:rPr>
          <w:rFonts w:cs="Times New Roman"/>
          <w:szCs w:val="20"/>
          <w:lang w:val="en-AU"/>
        </w:rPr>
      </w:pPr>
      <w:r>
        <w:rPr>
          <w:rFonts w:cs="Times New Roman"/>
          <w:szCs w:val="20"/>
          <w:lang w:val="en-AU"/>
        </w:rPr>
        <w:br w:type="page"/>
      </w:r>
    </w:p>
    <w:p w14:paraId="5953CFC1" w14:textId="77777777" w:rsidR="00E06505" w:rsidRPr="00E06505" w:rsidRDefault="00E06505" w:rsidP="00E06505">
      <w:pPr>
        <w:widowControl/>
        <w:autoSpaceDE/>
        <w:autoSpaceDN/>
        <w:spacing w:after="120" w:line="260" w:lineRule="atLeast"/>
        <w:rPr>
          <w:rFonts w:cs="Times New Roman"/>
          <w:szCs w:val="20"/>
          <w:lang w:val="en-AU"/>
        </w:rPr>
      </w:pPr>
    </w:p>
    <w:p w14:paraId="2C6BE7FF" w14:textId="77777777" w:rsidR="00E06505" w:rsidRPr="00E06505" w:rsidRDefault="00E06505" w:rsidP="00E06505">
      <w:pPr>
        <w:keepNext/>
        <w:widowControl/>
        <w:autoSpaceDE/>
        <w:autoSpaceDN/>
        <w:spacing w:after="120" w:line="400" w:lineRule="atLeast"/>
        <w:outlineLvl w:val="0"/>
        <w:rPr>
          <w:b/>
          <w:bCs/>
          <w:kern w:val="32"/>
          <w:sz w:val="26"/>
          <w:szCs w:val="32"/>
          <w:lang w:val="en-AU"/>
        </w:rPr>
      </w:pPr>
      <w:bookmarkStart w:id="9" w:name="Capability_summary"/>
      <w:bookmarkEnd w:id="9"/>
      <w:r w:rsidRPr="00E06505">
        <w:rPr>
          <w:b/>
          <w:bCs/>
          <w:kern w:val="32"/>
          <w:sz w:val="26"/>
          <w:szCs w:val="32"/>
          <w:lang w:val="en-AU"/>
        </w:rPr>
        <w:t>Key knowledge and experience</w:t>
      </w:r>
    </w:p>
    <w:p w14:paraId="42AFE72C" w14:textId="6057FBFE" w:rsidR="00E06505" w:rsidRPr="00E06505" w:rsidRDefault="00E06505" w:rsidP="00E06505">
      <w:pPr>
        <w:widowControl/>
        <w:numPr>
          <w:ilvl w:val="0"/>
          <w:numId w:val="14"/>
        </w:numPr>
        <w:autoSpaceDE/>
        <w:autoSpaceDN/>
        <w:spacing w:after="200" w:line="276" w:lineRule="auto"/>
        <w:contextualSpacing/>
        <w:rPr>
          <w:szCs w:val="26"/>
          <w:lang w:val="en-AU"/>
        </w:rPr>
      </w:pPr>
      <w:r w:rsidRPr="00E06505">
        <w:rPr>
          <w:szCs w:val="26"/>
          <w:lang w:val="en-AU"/>
        </w:rPr>
        <w:t>Demonstrated experience leading asset management activities</w:t>
      </w:r>
      <w:r w:rsidR="007D1B9B">
        <w:rPr>
          <w:szCs w:val="26"/>
          <w:lang w:val="en-AU"/>
        </w:rPr>
        <w:t xml:space="preserve"> with exposure to commercial and retail and heritage assets</w:t>
      </w:r>
      <w:r w:rsidRPr="00E06505">
        <w:rPr>
          <w:szCs w:val="26"/>
          <w:lang w:val="en-AU"/>
        </w:rPr>
        <w:t>.</w:t>
      </w:r>
    </w:p>
    <w:p w14:paraId="71444C09" w14:textId="77777777" w:rsidR="00E06505" w:rsidRPr="00E06505" w:rsidRDefault="00E06505" w:rsidP="00E06505">
      <w:pPr>
        <w:keepNext/>
        <w:widowControl/>
        <w:autoSpaceDE/>
        <w:autoSpaceDN/>
        <w:spacing w:after="120" w:line="400" w:lineRule="atLeast"/>
        <w:outlineLvl w:val="0"/>
        <w:rPr>
          <w:b/>
          <w:bCs/>
          <w:kern w:val="32"/>
          <w:sz w:val="26"/>
          <w:szCs w:val="32"/>
          <w:lang w:val="en-AU"/>
        </w:rPr>
      </w:pPr>
      <w:r w:rsidRPr="00E06505">
        <w:rPr>
          <w:b/>
          <w:bCs/>
          <w:kern w:val="32"/>
          <w:sz w:val="26"/>
          <w:szCs w:val="32"/>
          <w:lang w:val="en-AU"/>
        </w:rPr>
        <w:t>Essential requirements</w:t>
      </w:r>
    </w:p>
    <w:p w14:paraId="6425F94B" w14:textId="77777777" w:rsidR="00E06505" w:rsidRPr="00E06505" w:rsidRDefault="00E06505" w:rsidP="00E06505">
      <w:pPr>
        <w:widowControl/>
        <w:numPr>
          <w:ilvl w:val="0"/>
          <w:numId w:val="14"/>
        </w:numPr>
        <w:autoSpaceDE/>
        <w:autoSpaceDN/>
        <w:spacing w:after="200" w:line="276" w:lineRule="auto"/>
        <w:contextualSpacing/>
        <w:rPr>
          <w:szCs w:val="26"/>
          <w:lang w:val="en-AU"/>
        </w:rPr>
      </w:pPr>
      <w:r w:rsidRPr="00E06505">
        <w:rPr>
          <w:szCs w:val="26"/>
          <w:lang w:val="en-AU"/>
        </w:rPr>
        <w:t xml:space="preserve">Ability to travel, conduct site visits and work at sites </w:t>
      </w:r>
      <w:bookmarkStart w:id="10" w:name="_Hlk198198954"/>
      <w:r w:rsidRPr="00E06505">
        <w:rPr>
          <w:szCs w:val="26"/>
          <w:lang w:val="en-AU"/>
        </w:rPr>
        <w:t xml:space="preserve">within the Hunter and Central Coast as directed. </w:t>
      </w:r>
    </w:p>
    <w:p w14:paraId="1FD98E2F" w14:textId="77777777" w:rsidR="00E06505" w:rsidRPr="00E06505" w:rsidRDefault="00E06505" w:rsidP="00E06505">
      <w:pPr>
        <w:widowControl/>
        <w:numPr>
          <w:ilvl w:val="0"/>
          <w:numId w:val="14"/>
        </w:numPr>
        <w:autoSpaceDE/>
        <w:autoSpaceDN/>
        <w:spacing w:after="200" w:line="276" w:lineRule="auto"/>
        <w:contextualSpacing/>
        <w:rPr>
          <w:szCs w:val="26"/>
          <w:lang w:val="en-AU"/>
        </w:rPr>
      </w:pPr>
      <w:r w:rsidRPr="00E06505">
        <w:rPr>
          <w:szCs w:val="26"/>
          <w:lang w:val="en-AU"/>
        </w:rPr>
        <w:t>Current driver’s licence.</w:t>
      </w:r>
    </w:p>
    <w:p w14:paraId="7830760A" w14:textId="77777777" w:rsidR="00E06505" w:rsidRDefault="00E06505" w:rsidP="00E06505">
      <w:pPr>
        <w:widowControl/>
        <w:numPr>
          <w:ilvl w:val="0"/>
          <w:numId w:val="14"/>
        </w:numPr>
        <w:autoSpaceDE/>
        <w:autoSpaceDN/>
        <w:spacing w:after="200" w:line="276" w:lineRule="auto"/>
        <w:contextualSpacing/>
        <w:rPr>
          <w:szCs w:val="26"/>
          <w:lang w:val="en-AU"/>
        </w:rPr>
      </w:pPr>
      <w:bookmarkStart w:id="11" w:name="_Hlk198035335"/>
      <w:bookmarkEnd w:id="10"/>
      <w:r w:rsidRPr="00E06505">
        <w:rPr>
          <w:szCs w:val="26"/>
          <w:lang w:val="en-AU"/>
        </w:rPr>
        <w:t xml:space="preserve">Ability to be on call as required </w:t>
      </w:r>
    </w:p>
    <w:p w14:paraId="06EA42CC" w14:textId="77777777" w:rsidR="00480862" w:rsidRPr="00E06505" w:rsidRDefault="00480862" w:rsidP="003E25CF">
      <w:pPr>
        <w:widowControl/>
        <w:autoSpaceDE/>
        <w:autoSpaceDN/>
        <w:spacing w:after="200" w:line="276" w:lineRule="auto"/>
        <w:ind w:left="720"/>
        <w:contextualSpacing/>
        <w:rPr>
          <w:szCs w:val="26"/>
          <w:lang w:val="en-AU"/>
        </w:rPr>
      </w:pPr>
    </w:p>
    <w:p w14:paraId="4558EDC8" w14:textId="77777777" w:rsidR="00E06505" w:rsidRPr="00E06505" w:rsidRDefault="00E06505" w:rsidP="00E06505">
      <w:pPr>
        <w:keepNext/>
        <w:widowControl/>
        <w:autoSpaceDE/>
        <w:autoSpaceDN/>
        <w:spacing w:after="120" w:line="260" w:lineRule="atLeast"/>
        <w:outlineLvl w:val="1"/>
        <w:rPr>
          <w:b/>
          <w:bCs/>
          <w:iCs/>
          <w:sz w:val="24"/>
          <w:szCs w:val="28"/>
          <w:lang w:val="en-AU"/>
        </w:rPr>
      </w:pPr>
      <w:bookmarkStart w:id="12" w:name="EssentialReqs"/>
      <w:bookmarkEnd w:id="11"/>
      <w:bookmarkEnd w:id="12"/>
      <w:r w:rsidRPr="00E06505">
        <w:rPr>
          <w:b/>
          <w:bCs/>
          <w:iCs/>
          <w:sz w:val="24"/>
          <w:szCs w:val="28"/>
          <w:lang w:val="en-AU"/>
        </w:rPr>
        <w:t>Capabilities for the role</w:t>
      </w:r>
    </w:p>
    <w:p w14:paraId="7FA6F4EF" w14:textId="77777777" w:rsidR="00E06505" w:rsidRPr="00E06505" w:rsidRDefault="00E06505" w:rsidP="00E06505">
      <w:pPr>
        <w:widowControl/>
        <w:autoSpaceDE/>
        <w:autoSpaceDN/>
        <w:spacing w:after="120" w:line="260" w:lineRule="atLeast"/>
        <w:rPr>
          <w:rFonts w:cs="Times New Roman"/>
          <w:szCs w:val="20"/>
          <w:lang w:val="en-AU"/>
        </w:rPr>
      </w:pPr>
      <w:r w:rsidRPr="00E06505">
        <w:rPr>
          <w:rFonts w:cs="Times New Roman"/>
          <w:lang w:val="en-AU"/>
        </w:rPr>
        <w:t xml:space="preserve">The </w:t>
      </w:r>
      <w:hyperlink r:id="rId9" w:history="1">
        <w:r w:rsidRPr="00E06505">
          <w:rPr>
            <w:rFonts w:cs="Times New Roman"/>
            <w:color w:val="0000FF"/>
            <w:sz w:val="20"/>
            <w:u w:val="single"/>
            <w:lang w:val="en-AU"/>
          </w:rPr>
          <w:t>NSW public sector capability framework</w:t>
        </w:r>
      </w:hyperlink>
      <w:r w:rsidRPr="00E06505">
        <w:rPr>
          <w:rFonts w:cs="Times New Roman"/>
          <w:lang w:val="en-AU"/>
        </w:rPr>
        <w:t xml:space="preserve"> describes the capabilities (knowledge, skills and abilities) needed</w:t>
      </w:r>
      <w:r w:rsidRPr="00E06505">
        <w:rPr>
          <w:rFonts w:cs="Times New Roman"/>
          <w:szCs w:val="20"/>
          <w:lang w:val="en-AU"/>
        </w:rPr>
        <w:t xml:space="preserve">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30F6883" w14:textId="77777777" w:rsidR="00E06505" w:rsidRPr="00E06505" w:rsidRDefault="00E06505" w:rsidP="00E06505">
      <w:pPr>
        <w:widowControl/>
        <w:autoSpaceDE/>
        <w:autoSpaceDN/>
        <w:spacing w:after="120" w:line="260" w:lineRule="atLeast"/>
        <w:rPr>
          <w:rFonts w:cs="Times New Roman"/>
          <w:szCs w:val="20"/>
          <w:lang w:val="en-AU"/>
        </w:rPr>
      </w:pPr>
      <w:r w:rsidRPr="00E06505">
        <w:rPr>
          <w:rFonts w:cs="Times New Roman"/>
          <w:szCs w:val="20"/>
          <w:lang w:val="en-AU"/>
        </w:rPr>
        <w:t>The capabilities are separated into focus capabilities and complementary capabilities</w:t>
      </w:r>
    </w:p>
    <w:p w14:paraId="3987E230" w14:textId="77777777" w:rsidR="00BC349B" w:rsidRPr="003E25CF" w:rsidRDefault="00000000">
      <w:pPr>
        <w:pStyle w:val="Heading2"/>
        <w:spacing w:before="75"/>
      </w:pPr>
      <w:r w:rsidRPr="00355FA8">
        <w:t>Capability summary</w:t>
      </w:r>
    </w:p>
    <w:p w14:paraId="2CFD12C5" w14:textId="0C7CAFAD" w:rsidR="00BC349B" w:rsidRDefault="00000000">
      <w:pPr>
        <w:pStyle w:val="BodyText"/>
        <w:spacing w:before="121" w:line="276" w:lineRule="auto"/>
        <w:ind w:left="120" w:right="607"/>
      </w:pPr>
      <w:r>
        <w:t>Below is the full list of capabilities and the level required for this role. The capabilities in bold are the focus capabilities for this role. Refer to the next section for further information about the focus capabilities.</w:t>
      </w: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2726"/>
        <w:gridCol w:w="4709"/>
        <w:gridCol w:w="1668"/>
      </w:tblGrid>
      <w:tr w:rsidR="00E06505" w:rsidRPr="00E06505" w14:paraId="5967A8FF" w14:textId="77777777" w:rsidTr="00E06505">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vAlign w:val="center"/>
          </w:tcPr>
          <w:p w14:paraId="1F705D0D" w14:textId="77777777" w:rsidR="00E06505" w:rsidRPr="00E06505" w:rsidRDefault="00E06505" w:rsidP="00E06505">
            <w:pPr>
              <w:spacing w:after="120" w:line="260" w:lineRule="atLeast"/>
              <w:rPr>
                <w:rFonts w:cs="Times New Roman"/>
              </w:rPr>
            </w:pPr>
            <w:r w:rsidRPr="00E06505">
              <w:rPr>
                <w:rFonts w:cs="Times New Roman"/>
                <w:b/>
              </w:rPr>
              <w:t>Capability group/sets</w:t>
            </w:r>
          </w:p>
        </w:tc>
        <w:tc>
          <w:tcPr>
            <w:tcW w:w="2726" w:type="dxa"/>
            <w:shd w:val="clear" w:color="auto" w:fill="BFBFBF"/>
          </w:tcPr>
          <w:p w14:paraId="34AE8A53" w14:textId="77777777" w:rsidR="00E06505" w:rsidRPr="00E06505" w:rsidRDefault="00E06505" w:rsidP="00E06505">
            <w:pPr>
              <w:spacing w:after="120" w:line="260" w:lineRule="atLeast"/>
              <w:rPr>
                <w:rFonts w:cs="Times New Roman"/>
              </w:rPr>
            </w:pPr>
            <w:r w:rsidRPr="00E06505">
              <w:rPr>
                <w:rFonts w:cs="Times New Roman"/>
                <w:b/>
              </w:rPr>
              <w:t>Capability name</w:t>
            </w:r>
          </w:p>
        </w:tc>
        <w:tc>
          <w:tcPr>
            <w:tcW w:w="4709" w:type="dxa"/>
            <w:shd w:val="clear" w:color="auto" w:fill="BFBFBF"/>
          </w:tcPr>
          <w:p w14:paraId="26FD5A63" w14:textId="77777777" w:rsidR="00E06505" w:rsidRPr="00E06505" w:rsidRDefault="00E06505" w:rsidP="00E06505">
            <w:pPr>
              <w:spacing w:after="120" w:line="260" w:lineRule="atLeast"/>
              <w:rPr>
                <w:rFonts w:cs="Times New Roman"/>
              </w:rPr>
            </w:pPr>
            <w:r w:rsidRPr="00E06505">
              <w:rPr>
                <w:rFonts w:cs="Times New Roman"/>
                <w:b/>
              </w:rPr>
              <w:t>Behavioural indicators</w:t>
            </w:r>
          </w:p>
        </w:tc>
        <w:tc>
          <w:tcPr>
            <w:tcW w:w="1668" w:type="dxa"/>
            <w:shd w:val="clear" w:color="auto" w:fill="BFBFBF"/>
          </w:tcPr>
          <w:p w14:paraId="60813F56" w14:textId="77777777" w:rsidR="00E06505" w:rsidRPr="00E06505" w:rsidRDefault="00E06505" w:rsidP="00E06505">
            <w:pPr>
              <w:spacing w:after="120" w:line="260" w:lineRule="atLeast"/>
              <w:rPr>
                <w:rFonts w:cs="Times New Roman"/>
                <w:b/>
                <w:bCs/>
              </w:rPr>
            </w:pPr>
            <w:r w:rsidRPr="00E06505">
              <w:rPr>
                <w:rFonts w:cs="Times New Roman"/>
                <w:b/>
                <w:bCs/>
              </w:rPr>
              <w:t>Level</w:t>
            </w:r>
          </w:p>
        </w:tc>
      </w:tr>
      <w:tr w:rsidR="00E06505" w:rsidRPr="00E06505" w14:paraId="63C75F57" w14:textId="77777777" w:rsidTr="00FC58F8">
        <w:trPr>
          <w:cantSplit/>
        </w:trPr>
        <w:tc>
          <w:tcPr>
            <w:tcW w:w="1385" w:type="dxa"/>
          </w:tcPr>
          <w:p w14:paraId="78CB27E8" w14:textId="77777777" w:rsidR="00E06505" w:rsidRPr="00E06505" w:rsidRDefault="00E06505" w:rsidP="00E06505">
            <w:pPr>
              <w:spacing w:line="260" w:lineRule="atLeast"/>
              <w:jc w:val="center"/>
              <w:rPr>
                <w:noProof/>
                <w:lang w:eastAsia="en-AU"/>
              </w:rPr>
            </w:pPr>
            <w:r w:rsidRPr="00E06505">
              <w:rPr>
                <w:noProof/>
                <w:lang w:eastAsia="en-AU"/>
              </w:rPr>
              <w:drawing>
                <wp:inline distT="0" distB="0" distL="0" distR="0" wp14:anchorId="76B63081" wp14:editId="466FBA47">
                  <wp:extent cx="749300" cy="749300"/>
                  <wp:effectExtent l="0" t="0" r="0" b="0"/>
                  <wp:docPr id="49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C6F75A" w14:textId="77777777" w:rsidR="00E06505" w:rsidRPr="00E06505" w:rsidRDefault="00E06505" w:rsidP="00E06505">
            <w:pPr>
              <w:spacing w:line="260" w:lineRule="atLeast"/>
              <w:rPr>
                <w:color w:val="000000"/>
              </w:rPr>
            </w:pPr>
            <w:r w:rsidRPr="00E06505">
              <w:rPr>
                <w:b/>
                <w:bCs/>
                <w:color w:val="000000"/>
              </w:rPr>
              <w:t>Act with Integrity</w:t>
            </w:r>
          </w:p>
          <w:p w14:paraId="000C0C25" w14:textId="77777777" w:rsidR="00E06505" w:rsidRPr="00E06505" w:rsidRDefault="00E06505" w:rsidP="00E06505">
            <w:pPr>
              <w:spacing w:line="260" w:lineRule="atLeast"/>
              <w:rPr>
                <w:color w:val="000000"/>
              </w:rPr>
            </w:pPr>
            <w:r w:rsidRPr="00E06505">
              <w:rPr>
                <w:color w:val="000000"/>
              </w:rPr>
              <w:t>Be ethical and professional, and uphold and promote the public sector values</w:t>
            </w:r>
          </w:p>
        </w:tc>
        <w:tc>
          <w:tcPr>
            <w:tcW w:w="4709" w:type="dxa"/>
          </w:tcPr>
          <w:p w14:paraId="693A8FC0" w14:textId="77777777" w:rsidR="00E06505" w:rsidRPr="00E06505" w:rsidRDefault="00E06505" w:rsidP="00E06505">
            <w:pPr>
              <w:numPr>
                <w:ilvl w:val="0"/>
                <w:numId w:val="15"/>
              </w:numPr>
              <w:spacing w:after="120" w:line="260" w:lineRule="atLeast"/>
            </w:pPr>
            <w:r w:rsidRPr="00E06505">
              <w:t>Represent the organisation in an honest, ethical and professional way and encourage others to do so</w:t>
            </w:r>
          </w:p>
          <w:p w14:paraId="06A9AE51" w14:textId="77777777" w:rsidR="00E06505" w:rsidRPr="00E06505" w:rsidRDefault="00E06505" w:rsidP="00E06505">
            <w:pPr>
              <w:numPr>
                <w:ilvl w:val="0"/>
                <w:numId w:val="15"/>
              </w:numPr>
              <w:spacing w:after="120" w:line="260" w:lineRule="atLeast"/>
            </w:pPr>
            <w:r w:rsidRPr="00E06505">
              <w:t>Act professionally and support a culture of integrity</w:t>
            </w:r>
          </w:p>
          <w:p w14:paraId="36911A51" w14:textId="77777777" w:rsidR="00E06505" w:rsidRPr="00E06505" w:rsidRDefault="00E06505" w:rsidP="00E06505">
            <w:pPr>
              <w:numPr>
                <w:ilvl w:val="0"/>
                <w:numId w:val="15"/>
              </w:numPr>
              <w:spacing w:after="120" w:line="260" w:lineRule="atLeast"/>
            </w:pPr>
            <w:r w:rsidRPr="00E06505">
              <w:t>Identify and explain ethical issues and set an example for others to follow</w:t>
            </w:r>
          </w:p>
          <w:p w14:paraId="77AB5470" w14:textId="77777777" w:rsidR="00E06505" w:rsidRPr="00E06505" w:rsidRDefault="00E06505" w:rsidP="00E06505">
            <w:pPr>
              <w:numPr>
                <w:ilvl w:val="0"/>
                <w:numId w:val="15"/>
              </w:numPr>
              <w:spacing w:after="120" w:line="260" w:lineRule="atLeast"/>
            </w:pPr>
            <w:r w:rsidRPr="00E06505">
              <w:t>Ensure that others are aware of and understand the legislation and policy framework within which they operate</w:t>
            </w:r>
          </w:p>
          <w:p w14:paraId="02D343AD" w14:textId="77777777" w:rsidR="00E06505" w:rsidRPr="00E06505" w:rsidRDefault="00E06505" w:rsidP="00E06505">
            <w:pPr>
              <w:numPr>
                <w:ilvl w:val="0"/>
                <w:numId w:val="15"/>
              </w:numPr>
              <w:spacing w:after="120" w:line="260" w:lineRule="atLeast"/>
            </w:pPr>
            <w:r w:rsidRPr="00E06505">
              <w:t>Act to prevent and report misconduct and illegal and inappropriate behaviour</w:t>
            </w:r>
          </w:p>
        </w:tc>
        <w:tc>
          <w:tcPr>
            <w:tcW w:w="1668" w:type="dxa"/>
          </w:tcPr>
          <w:p w14:paraId="7DD80867" w14:textId="77777777" w:rsidR="00E06505" w:rsidRPr="00E06505" w:rsidRDefault="00E06505" w:rsidP="00E06505">
            <w:pPr>
              <w:spacing w:line="260" w:lineRule="atLeast"/>
            </w:pPr>
            <w:r w:rsidRPr="00E06505">
              <w:t>Adept</w:t>
            </w:r>
          </w:p>
        </w:tc>
      </w:tr>
      <w:tr w:rsidR="00E06505" w:rsidRPr="00E06505" w14:paraId="0ECBE7E8" w14:textId="77777777" w:rsidTr="00FC58F8">
        <w:trPr>
          <w:cantSplit/>
        </w:trPr>
        <w:tc>
          <w:tcPr>
            <w:tcW w:w="1385" w:type="dxa"/>
          </w:tcPr>
          <w:p w14:paraId="72A16A30" w14:textId="77777777" w:rsidR="00E06505" w:rsidRPr="00E06505" w:rsidRDefault="00E06505" w:rsidP="00E06505">
            <w:pPr>
              <w:spacing w:line="260" w:lineRule="atLeast"/>
              <w:jc w:val="center"/>
              <w:rPr>
                <w:noProof/>
                <w:lang w:eastAsia="en-AU"/>
              </w:rPr>
            </w:pPr>
            <w:r w:rsidRPr="00E06505">
              <w:rPr>
                <w:noProof/>
                <w:lang w:eastAsia="en-AU"/>
              </w:rPr>
              <w:lastRenderedPageBreak/>
              <w:drawing>
                <wp:inline distT="0" distB="0" distL="0" distR="0" wp14:anchorId="474A018C" wp14:editId="7D2A23D5">
                  <wp:extent cx="749300" cy="749300"/>
                  <wp:effectExtent l="0" t="0" r="0" b="0"/>
                  <wp:docPr id="884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573AE9F" w14:textId="77777777" w:rsidR="00E06505" w:rsidRPr="00E06505" w:rsidRDefault="00E06505" w:rsidP="00E06505">
            <w:pPr>
              <w:spacing w:line="260" w:lineRule="atLeast"/>
              <w:rPr>
                <w:color w:val="000000"/>
              </w:rPr>
            </w:pPr>
            <w:r w:rsidRPr="00E06505">
              <w:rPr>
                <w:b/>
                <w:bCs/>
                <w:color w:val="000000"/>
              </w:rPr>
              <w:t>Communicate Effectively</w:t>
            </w:r>
          </w:p>
          <w:p w14:paraId="31FED4EA" w14:textId="77777777" w:rsidR="00E06505" w:rsidRPr="00E06505" w:rsidRDefault="00E06505" w:rsidP="00E06505">
            <w:pPr>
              <w:spacing w:line="260" w:lineRule="atLeast"/>
              <w:rPr>
                <w:color w:val="000000"/>
              </w:rPr>
            </w:pPr>
            <w:r w:rsidRPr="00E06505">
              <w:rPr>
                <w:color w:val="000000"/>
              </w:rPr>
              <w:t>Communicate clearly, actively listen to others, and respond with understanding and respect</w:t>
            </w:r>
          </w:p>
        </w:tc>
        <w:tc>
          <w:tcPr>
            <w:tcW w:w="4709" w:type="dxa"/>
          </w:tcPr>
          <w:p w14:paraId="183AF5F8" w14:textId="77777777" w:rsidR="00E06505" w:rsidRPr="00E06505" w:rsidRDefault="00E06505" w:rsidP="00E06505">
            <w:pPr>
              <w:numPr>
                <w:ilvl w:val="0"/>
                <w:numId w:val="15"/>
              </w:numPr>
              <w:spacing w:after="120" w:line="260" w:lineRule="atLeast"/>
            </w:pPr>
            <w:r w:rsidRPr="00E06505">
              <w:t>Tailor communication to diverse audiences</w:t>
            </w:r>
          </w:p>
          <w:p w14:paraId="28FAE038" w14:textId="77777777" w:rsidR="00E06505" w:rsidRPr="00E06505" w:rsidRDefault="00E06505" w:rsidP="00E06505">
            <w:pPr>
              <w:numPr>
                <w:ilvl w:val="0"/>
                <w:numId w:val="15"/>
              </w:numPr>
              <w:spacing w:after="120" w:line="260" w:lineRule="atLeast"/>
            </w:pPr>
            <w:r w:rsidRPr="00E06505">
              <w:t>Clearly explain complex concepts and arguments to individuals and groups</w:t>
            </w:r>
          </w:p>
          <w:p w14:paraId="3B7895DE" w14:textId="77777777" w:rsidR="00E06505" w:rsidRPr="00E06505" w:rsidRDefault="00E06505" w:rsidP="00E06505">
            <w:pPr>
              <w:numPr>
                <w:ilvl w:val="0"/>
                <w:numId w:val="15"/>
              </w:numPr>
              <w:spacing w:after="120" w:line="260" w:lineRule="atLeast"/>
            </w:pPr>
            <w:r w:rsidRPr="00E06505">
              <w:t>Create opportunities for others to be heard, listen attentively and encourage them to express their views</w:t>
            </w:r>
          </w:p>
          <w:p w14:paraId="1C1A311B" w14:textId="77777777" w:rsidR="00E06505" w:rsidRPr="00E06505" w:rsidRDefault="00E06505" w:rsidP="00E06505">
            <w:pPr>
              <w:numPr>
                <w:ilvl w:val="0"/>
                <w:numId w:val="15"/>
              </w:numPr>
              <w:spacing w:after="120" w:line="260" w:lineRule="atLeast"/>
            </w:pPr>
            <w:r w:rsidRPr="00E06505">
              <w:t>Share information across teams and units to enable informed decision making</w:t>
            </w:r>
          </w:p>
          <w:p w14:paraId="33DA88EA" w14:textId="77777777" w:rsidR="00E06505" w:rsidRPr="00E06505" w:rsidRDefault="00E06505" w:rsidP="00E06505">
            <w:pPr>
              <w:numPr>
                <w:ilvl w:val="0"/>
                <w:numId w:val="15"/>
              </w:numPr>
              <w:spacing w:after="120" w:line="260" w:lineRule="atLeast"/>
            </w:pPr>
            <w:r w:rsidRPr="00E06505">
              <w:t>Write fluently in plain English and in a range of styles and formats</w:t>
            </w:r>
          </w:p>
          <w:p w14:paraId="61C34402" w14:textId="77777777" w:rsidR="00E06505" w:rsidRPr="00E06505" w:rsidRDefault="00E06505" w:rsidP="00E06505">
            <w:pPr>
              <w:numPr>
                <w:ilvl w:val="0"/>
                <w:numId w:val="15"/>
              </w:numPr>
              <w:spacing w:after="120" w:line="260" w:lineRule="atLeast"/>
            </w:pPr>
            <w:r w:rsidRPr="00E06505">
              <w:t>Use contemporary communication channels to share information, engage and interact with diverse audiences</w:t>
            </w:r>
          </w:p>
        </w:tc>
        <w:tc>
          <w:tcPr>
            <w:tcW w:w="1668" w:type="dxa"/>
          </w:tcPr>
          <w:p w14:paraId="1B14FA1D" w14:textId="77777777" w:rsidR="00E06505" w:rsidRPr="00E06505" w:rsidRDefault="00E06505" w:rsidP="00E06505">
            <w:pPr>
              <w:spacing w:line="260" w:lineRule="atLeast"/>
            </w:pPr>
            <w:r w:rsidRPr="00E06505">
              <w:t>Adept</w:t>
            </w:r>
          </w:p>
        </w:tc>
      </w:tr>
      <w:tr w:rsidR="00E06505" w:rsidRPr="00E06505" w14:paraId="78E0E0A9" w14:textId="77777777" w:rsidTr="00FC58F8">
        <w:trPr>
          <w:cantSplit/>
        </w:trPr>
        <w:tc>
          <w:tcPr>
            <w:tcW w:w="1385" w:type="dxa"/>
          </w:tcPr>
          <w:p w14:paraId="3F8C59B1" w14:textId="77777777" w:rsidR="00E06505" w:rsidRPr="00E06505" w:rsidRDefault="00E06505" w:rsidP="00E06505">
            <w:pPr>
              <w:spacing w:line="260" w:lineRule="atLeast"/>
              <w:jc w:val="center"/>
              <w:rPr>
                <w:noProof/>
                <w:lang w:eastAsia="en-AU"/>
              </w:rPr>
            </w:pPr>
            <w:r w:rsidRPr="00E06505">
              <w:rPr>
                <w:noProof/>
                <w:lang w:eastAsia="en-AU"/>
              </w:rPr>
              <w:drawing>
                <wp:inline distT="0" distB="0" distL="0" distR="0" wp14:anchorId="54ADA9A0" wp14:editId="255133B9">
                  <wp:extent cx="749300" cy="749300"/>
                  <wp:effectExtent l="0" t="0" r="0" b="0"/>
                  <wp:docPr id="244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659ADCD" w14:textId="77777777" w:rsidR="00E06505" w:rsidRPr="00E06505" w:rsidRDefault="00E06505" w:rsidP="00E06505">
            <w:pPr>
              <w:spacing w:line="260" w:lineRule="atLeast"/>
              <w:rPr>
                <w:color w:val="000000"/>
              </w:rPr>
            </w:pPr>
            <w:r w:rsidRPr="00E06505">
              <w:rPr>
                <w:b/>
                <w:bCs/>
                <w:color w:val="000000"/>
              </w:rPr>
              <w:t>Influence and Negotiate</w:t>
            </w:r>
          </w:p>
          <w:p w14:paraId="396D446D" w14:textId="77777777" w:rsidR="00E06505" w:rsidRPr="00E06505" w:rsidRDefault="00E06505" w:rsidP="00E06505">
            <w:pPr>
              <w:spacing w:line="260" w:lineRule="atLeast"/>
              <w:rPr>
                <w:color w:val="000000"/>
              </w:rPr>
            </w:pPr>
            <w:r w:rsidRPr="00E06505">
              <w:rPr>
                <w:color w:val="000000"/>
              </w:rPr>
              <w:t>Gain consensus and commitment from others, and resolve issues and conflicts</w:t>
            </w:r>
          </w:p>
        </w:tc>
        <w:tc>
          <w:tcPr>
            <w:tcW w:w="4709" w:type="dxa"/>
          </w:tcPr>
          <w:p w14:paraId="2FE6D0DB" w14:textId="77777777" w:rsidR="00E06505" w:rsidRPr="00E06505" w:rsidRDefault="00E06505" w:rsidP="00E06505">
            <w:pPr>
              <w:numPr>
                <w:ilvl w:val="0"/>
                <w:numId w:val="15"/>
              </w:numPr>
              <w:spacing w:after="120" w:line="260" w:lineRule="atLeast"/>
            </w:pPr>
            <w:r w:rsidRPr="00E06505">
              <w:t>Use facts, knowledge and experience to support recommendations</w:t>
            </w:r>
          </w:p>
          <w:p w14:paraId="44E7316F" w14:textId="77777777" w:rsidR="00E06505" w:rsidRPr="00E06505" w:rsidRDefault="00E06505" w:rsidP="00E06505">
            <w:pPr>
              <w:numPr>
                <w:ilvl w:val="0"/>
                <w:numId w:val="15"/>
              </w:numPr>
              <w:spacing w:after="120" w:line="260" w:lineRule="atLeast"/>
            </w:pPr>
            <w:r w:rsidRPr="00E06505">
              <w:t>Work towards positive and mutually satisfactory outcomes</w:t>
            </w:r>
          </w:p>
          <w:p w14:paraId="74603AED" w14:textId="77777777" w:rsidR="00E06505" w:rsidRPr="00E06505" w:rsidRDefault="00E06505" w:rsidP="00E06505">
            <w:pPr>
              <w:numPr>
                <w:ilvl w:val="0"/>
                <w:numId w:val="15"/>
              </w:numPr>
              <w:spacing w:after="120" w:line="260" w:lineRule="atLeast"/>
            </w:pPr>
            <w:r w:rsidRPr="00E06505">
              <w:t>Identify and resolve issues in discussion with other staff and stakeholders</w:t>
            </w:r>
          </w:p>
          <w:p w14:paraId="2AC17A81" w14:textId="77777777" w:rsidR="00E06505" w:rsidRPr="00E06505" w:rsidRDefault="00E06505" w:rsidP="00E06505">
            <w:pPr>
              <w:numPr>
                <w:ilvl w:val="0"/>
                <w:numId w:val="15"/>
              </w:numPr>
              <w:spacing w:after="120" w:line="260" w:lineRule="atLeast"/>
            </w:pPr>
            <w:r w:rsidRPr="00E06505">
              <w:t>Identify others’ concerns and expectations</w:t>
            </w:r>
          </w:p>
          <w:p w14:paraId="5B85699F" w14:textId="77777777" w:rsidR="00E06505" w:rsidRPr="00E06505" w:rsidRDefault="00E06505" w:rsidP="00E06505">
            <w:pPr>
              <w:numPr>
                <w:ilvl w:val="0"/>
                <w:numId w:val="15"/>
              </w:numPr>
              <w:spacing w:after="120" w:line="260" w:lineRule="atLeast"/>
            </w:pPr>
            <w:r w:rsidRPr="00E06505">
              <w:t>Respond constructively to conflict and disagreements and be open to compromise</w:t>
            </w:r>
          </w:p>
          <w:p w14:paraId="2831F2E6" w14:textId="77777777" w:rsidR="00E06505" w:rsidRPr="00E06505" w:rsidRDefault="00E06505" w:rsidP="00E06505">
            <w:pPr>
              <w:numPr>
                <w:ilvl w:val="0"/>
                <w:numId w:val="15"/>
              </w:numPr>
              <w:spacing w:after="120" w:line="260" w:lineRule="atLeast"/>
            </w:pPr>
            <w:r w:rsidRPr="00E06505">
              <w:t>Keep discussions focused on the key issues</w:t>
            </w:r>
          </w:p>
        </w:tc>
        <w:tc>
          <w:tcPr>
            <w:tcW w:w="1668" w:type="dxa"/>
          </w:tcPr>
          <w:p w14:paraId="1F4017E1" w14:textId="77777777" w:rsidR="00E06505" w:rsidRPr="00E06505" w:rsidRDefault="00E06505" w:rsidP="00E06505">
            <w:pPr>
              <w:spacing w:line="260" w:lineRule="atLeast"/>
            </w:pPr>
            <w:r w:rsidRPr="00E06505">
              <w:t>Intermediate</w:t>
            </w:r>
          </w:p>
        </w:tc>
      </w:tr>
      <w:tr w:rsidR="00E06505" w:rsidRPr="00E06505" w14:paraId="1C0CAD65" w14:textId="77777777" w:rsidTr="00FC58F8">
        <w:trPr>
          <w:cantSplit/>
        </w:trPr>
        <w:tc>
          <w:tcPr>
            <w:tcW w:w="1385" w:type="dxa"/>
          </w:tcPr>
          <w:p w14:paraId="6617B000" w14:textId="77777777" w:rsidR="00E06505" w:rsidRPr="00E06505" w:rsidRDefault="00E06505" w:rsidP="00E06505">
            <w:pPr>
              <w:spacing w:line="260" w:lineRule="atLeast"/>
              <w:jc w:val="center"/>
              <w:rPr>
                <w:noProof/>
                <w:lang w:eastAsia="en-AU"/>
              </w:rPr>
            </w:pPr>
            <w:r w:rsidRPr="00E06505">
              <w:rPr>
                <w:noProof/>
                <w:lang w:eastAsia="en-AU"/>
              </w:rPr>
              <w:drawing>
                <wp:inline distT="0" distB="0" distL="0" distR="0" wp14:anchorId="3739F675" wp14:editId="45B0AD76">
                  <wp:extent cx="749300" cy="749300"/>
                  <wp:effectExtent l="0" t="0" r="0" b="0"/>
                  <wp:docPr id="602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5C7CC8A" w14:textId="77777777" w:rsidR="00E06505" w:rsidRPr="00E06505" w:rsidRDefault="00E06505" w:rsidP="00E06505">
            <w:pPr>
              <w:spacing w:line="260" w:lineRule="atLeast"/>
              <w:rPr>
                <w:color w:val="000000"/>
              </w:rPr>
            </w:pPr>
            <w:r w:rsidRPr="00E06505">
              <w:rPr>
                <w:b/>
                <w:bCs/>
                <w:color w:val="000000"/>
              </w:rPr>
              <w:t>Deliver Results</w:t>
            </w:r>
          </w:p>
          <w:p w14:paraId="4CFE8A1F" w14:textId="77777777" w:rsidR="00E06505" w:rsidRPr="00E06505" w:rsidRDefault="00E06505" w:rsidP="00E06505">
            <w:pPr>
              <w:spacing w:line="260" w:lineRule="atLeast"/>
              <w:rPr>
                <w:color w:val="000000"/>
              </w:rPr>
            </w:pPr>
            <w:r w:rsidRPr="00E06505">
              <w:rPr>
                <w:color w:val="000000"/>
              </w:rPr>
              <w:t>Achieve results through the efficient use of resources and a commitment to quality outcomes</w:t>
            </w:r>
          </w:p>
        </w:tc>
        <w:tc>
          <w:tcPr>
            <w:tcW w:w="4709" w:type="dxa"/>
          </w:tcPr>
          <w:p w14:paraId="5C05A5BF" w14:textId="77777777" w:rsidR="00E06505" w:rsidRPr="00E06505" w:rsidRDefault="00E06505" w:rsidP="00E06505">
            <w:pPr>
              <w:numPr>
                <w:ilvl w:val="0"/>
                <w:numId w:val="15"/>
              </w:numPr>
              <w:spacing w:after="120" w:line="260" w:lineRule="atLeast"/>
            </w:pPr>
            <w:r w:rsidRPr="00E06505">
              <w:t>Seek and apply the expertise of key individuals to achieve organisational outcomes</w:t>
            </w:r>
          </w:p>
          <w:p w14:paraId="5FB46C19" w14:textId="77777777" w:rsidR="00E06505" w:rsidRPr="00E06505" w:rsidRDefault="00E06505" w:rsidP="00E06505">
            <w:pPr>
              <w:numPr>
                <w:ilvl w:val="0"/>
                <w:numId w:val="15"/>
              </w:numPr>
              <w:spacing w:after="120" w:line="260" w:lineRule="atLeast"/>
            </w:pPr>
            <w:r w:rsidRPr="00E06505">
              <w:t>Drive a culture of achievement and acknowledge input from others</w:t>
            </w:r>
          </w:p>
          <w:p w14:paraId="27A3E183" w14:textId="77777777" w:rsidR="00E06505" w:rsidRPr="00E06505" w:rsidRDefault="00E06505" w:rsidP="00E06505">
            <w:pPr>
              <w:numPr>
                <w:ilvl w:val="0"/>
                <w:numId w:val="15"/>
              </w:numPr>
              <w:spacing w:after="120" w:line="260" w:lineRule="atLeast"/>
            </w:pPr>
            <w:r w:rsidRPr="00E06505">
              <w:t>Determine how outcomes will be measured and guide others on evaluation methods</w:t>
            </w:r>
          </w:p>
          <w:p w14:paraId="550F1DAE" w14:textId="77777777" w:rsidR="00E06505" w:rsidRPr="00E06505" w:rsidRDefault="00E06505" w:rsidP="00E06505">
            <w:pPr>
              <w:numPr>
                <w:ilvl w:val="0"/>
                <w:numId w:val="15"/>
              </w:numPr>
              <w:spacing w:after="120" w:line="260" w:lineRule="atLeast"/>
            </w:pPr>
            <w:r w:rsidRPr="00E06505">
              <w:t>Investigate and create opportunities to enhance the achievement of organisational objectives</w:t>
            </w:r>
          </w:p>
          <w:p w14:paraId="3FF273CD" w14:textId="77777777" w:rsidR="00E06505" w:rsidRPr="00E06505" w:rsidRDefault="00E06505" w:rsidP="00E06505">
            <w:pPr>
              <w:numPr>
                <w:ilvl w:val="0"/>
                <w:numId w:val="15"/>
              </w:numPr>
              <w:spacing w:after="120" w:line="260" w:lineRule="atLeast"/>
            </w:pPr>
            <w:r w:rsidRPr="00E06505">
              <w:t>Make sure others understand that on-time and on-budget results are required and how overall success is defined</w:t>
            </w:r>
          </w:p>
          <w:p w14:paraId="53516646" w14:textId="77777777" w:rsidR="00E06505" w:rsidRPr="00E06505" w:rsidRDefault="00E06505" w:rsidP="00E06505">
            <w:pPr>
              <w:numPr>
                <w:ilvl w:val="0"/>
                <w:numId w:val="15"/>
              </w:numPr>
              <w:spacing w:after="120" w:line="260" w:lineRule="atLeast"/>
            </w:pPr>
            <w:r w:rsidRPr="00E06505">
              <w:t>Control business unit output to ensure government outcomes are achieved within budgets</w:t>
            </w:r>
          </w:p>
          <w:p w14:paraId="74CD6D5C" w14:textId="77777777" w:rsidR="00E06505" w:rsidRPr="00E06505" w:rsidRDefault="00E06505" w:rsidP="00E06505">
            <w:pPr>
              <w:numPr>
                <w:ilvl w:val="0"/>
                <w:numId w:val="15"/>
              </w:numPr>
              <w:spacing w:after="120" w:line="260" w:lineRule="atLeast"/>
            </w:pPr>
            <w:r w:rsidRPr="00E06505">
              <w:t>Progress organisational priorities and ensure that resources are acquired and used effectively</w:t>
            </w:r>
          </w:p>
        </w:tc>
        <w:tc>
          <w:tcPr>
            <w:tcW w:w="1668" w:type="dxa"/>
          </w:tcPr>
          <w:p w14:paraId="07E94BC6" w14:textId="0626EBA9" w:rsidR="00E06505" w:rsidRPr="00E06505" w:rsidRDefault="00E06505" w:rsidP="00E06505">
            <w:pPr>
              <w:spacing w:line="260" w:lineRule="atLeast"/>
            </w:pPr>
            <w:r w:rsidRPr="00E06505">
              <w:t>A</w:t>
            </w:r>
            <w:r>
              <w:t>dept</w:t>
            </w:r>
          </w:p>
        </w:tc>
      </w:tr>
      <w:tr w:rsidR="00E06505" w:rsidRPr="00E06505" w14:paraId="5E0A84B8" w14:textId="77777777" w:rsidTr="00FC58F8">
        <w:trPr>
          <w:cantSplit/>
        </w:trPr>
        <w:tc>
          <w:tcPr>
            <w:tcW w:w="1385" w:type="dxa"/>
          </w:tcPr>
          <w:p w14:paraId="2D64B397" w14:textId="77777777" w:rsidR="00E06505" w:rsidRPr="00E06505" w:rsidRDefault="00E06505" w:rsidP="00E06505">
            <w:pPr>
              <w:spacing w:line="260" w:lineRule="atLeast"/>
              <w:jc w:val="center"/>
              <w:rPr>
                <w:noProof/>
                <w:lang w:eastAsia="en-AU"/>
              </w:rPr>
            </w:pPr>
            <w:r w:rsidRPr="00E06505">
              <w:rPr>
                <w:noProof/>
                <w:lang w:eastAsia="en-AU"/>
              </w:rPr>
              <w:lastRenderedPageBreak/>
              <w:drawing>
                <wp:inline distT="0" distB="0" distL="0" distR="0" wp14:anchorId="25FB623C" wp14:editId="37F44D85">
                  <wp:extent cx="749300" cy="749300"/>
                  <wp:effectExtent l="0" t="0" r="0" b="0"/>
                  <wp:docPr id="439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B4A6EAB" w14:textId="77777777" w:rsidR="00E06505" w:rsidRPr="00E06505" w:rsidRDefault="00E06505" w:rsidP="00E06505">
            <w:pPr>
              <w:spacing w:line="260" w:lineRule="atLeast"/>
              <w:rPr>
                <w:color w:val="000000"/>
              </w:rPr>
            </w:pPr>
            <w:r w:rsidRPr="00E06505">
              <w:rPr>
                <w:b/>
                <w:bCs/>
                <w:color w:val="000000"/>
              </w:rPr>
              <w:t>Plan and Prioritise</w:t>
            </w:r>
          </w:p>
          <w:p w14:paraId="41843C2F" w14:textId="77777777" w:rsidR="00E06505" w:rsidRPr="00E06505" w:rsidRDefault="00E06505" w:rsidP="00E06505">
            <w:pPr>
              <w:spacing w:line="260" w:lineRule="atLeast"/>
              <w:rPr>
                <w:color w:val="000000"/>
              </w:rPr>
            </w:pPr>
            <w:r w:rsidRPr="00E06505">
              <w:rPr>
                <w:color w:val="000000"/>
              </w:rPr>
              <w:t>Plan to achieve priority outcomes and respond flexibly to changing circumstances</w:t>
            </w:r>
          </w:p>
        </w:tc>
        <w:tc>
          <w:tcPr>
            <w:tcW w:w="4709" w:type="dxa"/>
          </w:tcPr>
          <w:p w14:paraId="0905BB68" w14:textId="77777777" w:rsidR="00E06505" w:rsidRPr="00E06505" w:rsidRDefault="00E06505" w:rsidP="00E06505">
            <w:pPr>
              <w:numPr>
                <w:ilvl w:val="0"/>
                <w:numId w:val="15"/>
              </w:numPr>
              <w:spacing w:after="120" w:line="260" w:lineRule="atLeast"/>
            </w:pPr>
            <w:r w:rsidRPr="00E06505">
              <w:t xml:space="preserve">Understand the team and unit objectives and align operational activities accordingly </w:t>
            </w:r>
          </w:p>
          <w:p w14:paraId="3BF34093" w14:textId="77777777" w:rsidR="00E06505" w:rsidRPr="00E06505" w:rsidRDefault="00E06505" w:rsidP="00E06505">
            <w:pPr>
              <w:numPr>
                <w:ilvl w:val="0"/>
                <w:numId w:val="15"/>
              </w:numPr>
              <w:spacing w:after="120" w:line="260" w:lineRule="atLeast"/>
            </w:pPr>
            <w:r w:rsidRPr="00E06505">
              <w:t xml:space="preserve">Initiate and develop team goals and plans, and use feedback to inform future planning </w:t>
            </w:r>
          </w:p>
          <w:p w14:paraId="7E011F4A" w14:textId="77777777" w:rsidR="00E06505" w:rsidRPr="00E06505" w:rsidRDefault="00E06505" w:rsidP="00E06505">
            <w:pPr>
              <w:numPr>
                <w:ilvl w:val="0"/>
                <w:numId w:val="15"/>
              </w:numPr>
              <w:spacing w:after="120" w:line="260" w:lineRule="atLeast"/>
            </w:pPr>
            <w:r w:rsidRPr="00E06505">
              <w:t xml:space="preserve">Respond proactively to changing circumstances and adjust plans and schedules when necessary </w:t>
            </w:r>
          </w:p>
          <w:p w14:paraId="0C1A5C90" w14:textId="77777777" w:rsidR="00E06505" w:rsidRPr="00E06505" w:rsidRDefault="00E06505" w:rsidP="00E06505">
            <w:pPr>
              <w:numPr>
                <w:ilvl w:val="0"/>
                <w:numId w:val="15"/>
              </w:numPr>
              <w:spacing w:after="120" w:line="260" w:lineRule="atLeast"/>
            </w:pPr>
            <w:r w:rsidRPr="00E06505">
              <w:t xml:space="preserve">Consider the implications of immediate and longer-term organisational issues and how these might affect the achievement of team and unit goals </w:t>
            </w:r>
          </w:p>
          <w:p w14:paraId="6A5DAB65" w14:textId="77777777" w:rsidR="00E06505" w:rsidRPr="00E06505" w:rsidRDefault="00E06505" w:rsidP="00E06505">
            <w:pPr>
              <w:numPr>
                <w:ilvl w:val="0"/>
                <w:numId w:val="15"/>
              </w:numPr>
              <w:spacing w:after="120" w:line="260" w:lineRule="atLeast"/>
            </w:pPr>
            <w:r w:rsidRPr="00E06505">
              <w:t>Accommodate and respond with initiative to changing priorities and operating environments</w:t>
            </w:r>
          </w:p>
        </w:tc>
        <w:tc>
          <w:tcPr>
            <w:tcW w:w="1668" w:type="dxa"/>
          </w:tcPr>
          <w:p w14:paraId="26852C8B" w14:textId="77777777" w:rsidR="00E06505" w:rsidRPr="00E06505" w:rsidRDefault="00E06505" w:rsidP="00E06505">
            <w:pPr>
              <w:spacing w:line="260" w:lineRule="atLeast"/>
            </w:pPr>
            <w:r w:rsidRPr="00E06505">
              <w:t>Intermediate</w:t>
            </w:r>
          </w:p>
        </w:tc>
      </w:tr>
      <w:tr w:rsidR="00E06505" w:rsidRPr="00E06505" w14:paraId="4B6D1E89" w14:textId="77777777" w:rsidTr="00FC58F8">
        <w:trPr>
          <w:cantSplit/>
        </w:trPr>
        <w:tc>
          <w:tcPr>
            <w:tcW w:w="1385" w:type="dxa"/>
          </w:tcPr>
          <w:p w14:paraId="549277D6" w14:textId="77777777" w:rsidR="00E06505" w:rsidRPr="00E06505" w:rsidRDefault="00E06505" w:rsidP="00E06505">
            <w:pPr>
              <w:spacing w:line="260" w:lineRule="atLeast"/>
              <w:jc w:val="center"/>
              <w:rPr>
                <w:noProof/>
                <w:lang w:eastAsia="en-AU"/>
              </w:rPr>
            </w:pPr>
            <w:r w:rsidRPr="00E06505">
              <w:rPr>
                <w:noProof/>
                <w:lang w:eastAsia="en-AU"/>
              </w:rPr>
              <w:drawing>
                <wp:inline distT="0" distB="0" distL="0" distR="0" wp14:anchorId="324ECA39" wp14:editId="13B0BD8F">
                  <wp:extent cx="749300" cy="749300"/>
                  <wp:effectExtent l="0" t="0" r="0" b="0"/>
                  <wp:docPr id="797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0C234A" w14:textId="77777777" w:rsidR="00E06505" w:rsidRPr="00E06505" w:rsidRDefault="00E06505" w:rsidP="00E06505">
            <w:pPr>
              <w:spacing w:line="260" w:lineRule="atLeast"/>
              <w:rPr>
                <w:color w:val="000000"/>
              </w:rPr>
            </w:pPr>
            <w:r w:rsidRPr="00E06505">
              <w:rPr>
                <w:b/>
                <w:bCs/>
                <w:color w:val="000000"/>
              </w:rPr>
              <w:t>Think and Solve Problems</w:t>
            </w:r>
          </w:p>
          <w:p w14:paraId="76B2797D" w14:textId="77777777" w:rsidR="00E06505" w:rsidRPr="00E06505" w:rsidRDefault="00E06505" w:rsidP="00E06505">
            <w:pPr>
              <w:spacing w:line="260" w:lineRule="atLeast"/>
              <w:rPr>
                <w:color w:val="000000"/>
              </w:rPr>
            </w:pPr>
            <w:r w:rsidRPr="00E06505">
              <w:rPr>
                <w:color w:val="000000"/>
              </w:rPr>
              <w:t>Think, analyse and consider the broader context to develop practical solutions</w:t>
            </w:r>
          </w:p>
        </w:tc>
        <w:tc>
          <w:tcPr>
            <w:tcW w:w="4709" w:type="dxa"/>
          </w:tcPr>
          <w:p w14:paraId="37EBA5AC" w14:textId="77777777" w:rsidR="00E06505" w:rsidRPr="00E06505" w:rsidRDefault="00E06505" w:rsidP="00E06505">
            <w:pPr>
              <w:numPr>
                <w:ilvl w:val="0"/>
                <w:numId w:val="15"/>
              </w:numPr>
              <w:spacing w:after="120" w:line="260" w:lineRule="atLeast"/>
            </w:pPr>
            <w:r w:rsidRPr="00E06505">
              <w:t>Research and apply critical-thinking techniques in analysing information, identify interrelationships and make recommendations based on relevant evidence</w:t>
            </w:r>
          </w:p>
          <w:p w14:paraId="663F9BA9" w14:textId="77777777" w:rsidR="00E06505" w:rsidRPr="00E06505" w:rsidRDefault="00E06505" w:rsidP="00E06505">
            <w:pPr>
              <w:numPr>
                <w:ilvl w:val="0"/>
                <w:numId w:val="15"/>
              </w:numPr>
              <w:spacing w:after="120" w:line="260" w:lineRule="atLeast"/>
            </w:pPr>
            <w:r w:rsidRPr="00E06505">
              <w:t>Anticipate, identify and address issues and potential problems that may have an impact on organisational objectives and the user experience</w:t>
            </w:r>
          </w:p>
          <w:p w14:paraId="31439CFA" w14:textId="77777777" w:rsidR="00E06505" w:rsidRPr="00E06505" w:rsidRDefault="00E06505" w:rsidP="00E06505">
            <w:pPr>
              <w:numPr>
                <w:ilvl w:val="0"/>
                <w:numId w:val="15"/>
              </w:numPr>
              <w:spacing w:after="120" w:line="260" w:lineRule="atLeast"/>
            </w:pPr>
            <w:r w:rsidRPr="00E06505">
              <w:t>Apply creative-thinking techniques to generate new ideas and options to address issues and improve the user experience</w:t>
            </w:r>
          </w:p>
          <w:p w14:paraId="09EA02F5" w14:textId="77777777" w:rsidR="00E06505" w:rsidRPr="00E06505" w:rsidRDefault="00E06505" w:rsidP="00E06505">
            <w:pPr>
              <w:numPr>
                <w:ilvl w:val="0"/>
                <w:numId w:val="15"/>
              </w:numPr>
              <w:spacing w:after="120" w:line="260" w:lineRule="atLeast"/>
            </w:pPr>
            <w:r w:rsidRPr="00E06505">
              <w:t>Seek contributions and ideas from people with diverse backgrounds and experience</w:t>
            </w:r>
          </w:p>
          <w:p w14:paraId="71802633" w14:textId="77777777" w:rsidR="00E06505" w:rsidRPr="00E06505" w:rsidRDefault="00E06505" w:rsidP="00E06505">
            <w:pPr>
              <w:numPr>
                <w:ilvl w:val="0"/>
                <w:numId w:val="15"/>
              </w:numPr>
              <w:spacing w:after="120" w:line="260" w:lineRule="atLeast"/>
            </w:pPr>
            <w:r w:rsidRPr="00E06505">
              <w:t>Participate in and contribute to team or unit initiatives to resolve common issues or barriers to effectiveness</w:t>
            </w:r>
          </w:p>
          <w:p w14:paraId="5C467161" w14:textId="77777777" w:rsidR="00E06505" w:rsidRPr="00E06505" w:rsidRDefault="00E06505" w:rsidP="00E06505">
            <w:pPr>
              <w:numPr>
                <w:ilvl w:val="0"/>
                <w:numId w:val="15"/>
              </w:numPr>
              <w:spacing w:after="120" w:line="260" w:lineRule="atLeast"/>
            </w:pPr>
            <w:r w:rsidRPr="00E06505">
              <w:t>Identify and share business process improvements to enhance effectiveness</w:t>
            </w:r>
          </w:p>
        </w:tc>
        <w:tc>
          <w:tcPr>
            <w:tcW w:w="1668" w:type="dxa"/>
          </w:tcPr>
          <w:p w14:paraId="15788403" w14:textId="77777777" w:rsidR="00E06505" w:rsidRPr="00E06505" w:rsidRDefault="00E06505" w:rsidP="00E06505">
            <w:pPr>
              <w:spacing w:line="260" w:lineRule="atLeast"/>
            </w:pPr>
            <w:r w:rsidRPr="00E06505">
              <w:t>Adept</w:t>
            </w:r>
          </w:p>
        </w:tc>
      </w:tr>
      <w:tr w:rsidR="00E06505" w:rsidRPr="00E06505" w14:paraId="675440A2" w14:textId="77777777" w:rsidTr="00FC58F8">
        <w:trPr>
          <w:cantSplit/>
        </w:trPr>
        <w:tc>
          <w:tcPr>
            <w:tcW w:w="1385" w:type="dxa"/>
          </w:tcPr>
          <w:p w14:paraId="3439577F" w14:textId="77777777" w:rsidR="00E06505" w:rsidRPr="00E06505" w:rsidRDefault="00E06505" w:rsidP="00E06505">
            <w:pPr>
              <w:spacing w:line="260" w:lineRule="atLeast"/>
              <w:jc w:val="center"/>
              <w:rPr>
                <w:noProof/>
                <w:lang w:eastAsia="en-AU"/>
              </w:rPr>
            </w:pPr>
            <w:r w:rsidRPr="00E06505">
              <w:rPr>
                <w:noProof/>
                <w:lang w:eastAsia="en-AU"/>
              </w:rPr>
              <w:lastRenderedPageBreak/>
              <w:drawing>
                <wp:inline distT="0" distB="0" distL="0" distR="0" wp14:anchorId="7E64CA0C" wp14:editId="7BA829EA">
                  <wp:extent cx="749300" cy="749300"/>
                  <wp:effectExtent l="0" t="0" r="0" b="0"/>
                  <wp:docPr id="634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DE61EE" w14:textId="77777777" w:rsidR="00E06505" w:rsidRPr="00E06505" w:rsidRDefault="00E06505" w:rsidP="00E06505">
            <w:pPr>
              <w:spacing w:line="260" w:lineRule="atLeast"/>
              <w:rPr>
                <w:color w:val="000000"/>
              </w:rPr>
            </w:pPr>
            <w:r w:rsidRPr="00E06505">
              <w:rPr>
                <w:b/>
                <w:bCs/>
                <w:color w:val="000000"/>
              </w:rPr>
              <w:t>Procurement and Contract Management</w:t>
            </w:r>
          </w:p>
          <w:p w14:paraId="6C5FA32D" w14:textId="77777777" w:rsidR="00E06505" w:rsidRPr="00E06505" w:rsidRDefault="00E06505" w:rsidP="00E06505">
            <w:pPr>
              <w:spacing w:line="260" w:lineRule="atLeast"/>
              <w:rPr>
                <w:color w:val="000000"/>
              </w:rPr>
            </w:pPr>
            <w:r w:rsidRPr="00E06505">
              <w:rPr>
                <w:color w:val="000000"/>
              </w:rPr>
              <w:t>Understand and apply procurement processes to ensure effective purchasing and contract performance</w:t>
            </w:r>
          </w:p>
        </w:tc>
        <w:tc>
          <w:tcPr>
            <w:tcW w:w="4709" w:type="dxa"/>
          </w:tcPr>
          <w:p w14:paraId="2C03ECA3" w14:textId="77777777" w:rsidR="00E06505" w:rsidRPr="00E06505" w:rsidRDefault="00E06505" w:rsidP="00E06505">
            <w:pPr>
              <w:numPr>
                <w:ilvl w:val="0"/>
                <w:numId w:val="15"/>
              </w:numPr>
              <w:spacing w:after="120" w:line="260" w:lineRule="atLeast"/>
            </w:pPr>
            <w:r w:rsidRPr="00E06505">
              <w:t>Ensure that employees and contractors apply government and organisational procurement and contract management policies</w:t>
            </w:r>
          </w:p>
          <w:p w14:paraId="2D99E349" w14:textId="77777777" w:rsidR="00E06505" w:rsidRPr="00E06505" w:rsidRDefault="00E06505" w:rsidP="00E06505">
            <w:pPr>
              <w:numPr>
                <w:ilvl w:val="0"/>
                <w:numId w:val="15"/>
              </w:numPr>
              <w:spacing w:after="120" w:line="260" w:lineRule="atLeast"/>
            </w:pPr>
            <w:r w:rsidRPr="00E06505">
              <w:t>Monitor procurement and contract management risks and ensure that this informs contract development, management and procurement decisions</w:t>
            </w:r>
          </w:p>
          <w:p w14:paraId="03B13899" w14:textId="77777777" w:rsidR="00E06505" w:rsidRPr="00E06505" w:rsidRDefault="00E06505" w:rsidP="00E06505">
            <w:pPr>
              <w:numPr>
                <w:ilvl w:val="0"/>
                <w:numId w:val="15"/>
              </w:numPr>
              <w:spacing w:after="120" w:line="260" w:lineRule="atLeast"/>
            </w:pPr>
            <w:r w:rsidRPr="00E06505">
              <w:t>Promote effective risk management in procurement</w:t>
            </w:r>
          </w:p>
          <w:p w14:paraId="40D4E73A" w14:textId="77777777" w:rsidR="00E06505" w:rsidRPr="00E06505" w:rsidRDefault="00E06505" w:rsidP="00E06505">
            <w:pPr>
              <w:numPr>
                <w:ilvl w:val="0"/>
                <w:numId w:val="15"/>
              </w:numPr>
              <w:spacing w:after="120" w:line="260" w:lineRule="atLeast"/>
            </w:pPr>
            <w:r w:rsidRPr="00E06505">
              <w:t>Implement effective governance arrangements to monitor provider, supplier and contractor performance against contracted deliverables and outcomes</w:t>
            </w:r>
          </w:p>
          <w:p w14:paraId="42B764E7" w14:textId="77777777" w:rsidR="00E06505" w:rsidRPr="00E06505" w:rsidRDefault="00E06505" w:rsidP="00E06505">
            <w:pPr>
              <w:numPr>
                <w:ilvl w:val="0"/>
                <w:numId w:val="15"/>
              </w:numPr>
              <w:spacing w:after="120" w:line="260" w:lineRule="atLeast"/>
            </w:pPr>
            <w:r w:rsidRPr="00E06505">
              <w:t>Represent the organisation in resolving complex or sensitive disputes with providers, suppliers and contractors</w:t>
            </w:r>
          </w:p>
        </w:tc>
        <w:tc>
          <w:tcPr>
            <w:tcW w:w="1668" w:type="dxa"/>
          </w:tcPr>
          <w:p w14:paraId="10A6BAAD" w14:textId="75C510F3" w:rsidR="00E06505" w:rsidRPr="00E06505" w:rsidRDefault="00E06505" w:rsidP="00E06505">
            <w:pPr>
              <w:spacing w:line="260" w:lineRule="atLeast"/>
            </w:pPr>
            <w:r>
              <w:t>Adept</w:t>
            </w:r>
          </w:p>
        </w:tc>
      </w:tr>
      <w:tr w:rsidR="00E06505" w:rsidRPr="00E06505" w14:paraId="681BDC2A" w14:textId="77777777" w:rsidTr="00FC58F8">
        <w:trPr>
          <w:cantSplit/>
        </w:trPr>
        <w:tc>
          <w:tcPr>
            <w:tcW w:w="1385" w:type="dxa"/>
          </w:tcPr>
          <w:p w14:paraId="26407320" w14:textId="77777777" w:rsidR="00E06505" w:rsidRPr="00E06505" w:rsidRDefault="00E06505" w:rsidP="00E06505">
            <w:pPr>
              <w:spacing w:line="260" w:lineRule="atLeast"/>
              <w:jc w:val="center"/>
              <w:rPr>
                <w:noProof/>
                <w:lang w:eastAsia="en-AU"/>
              </w:rPr>
            </w:pPr>
            <w:r w:rsidRPr="00E06505">
              <w:rPr>
                <w:noProof/>
                <w:lang w:eastAsia="en-AU"/>
              </w:rPr>
              <w:drawing>
                <wp:inline distT="0" distB="0" distL="0" distR="0" wp14:anchorId="7D5CE413" wp14:editId="6FA6A6A9">
                  <wp:extent cx="749300" cy="749300"/>
                  <wp:effectExtent l="0" t="0" r="0" b="0"/>
                  <wp:docPr id="992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18D5829" w14:textId="77777777" w:rsidR="00E06505" w:rsidRPr="00E06505" w:rsidRDefault="00E06505" w:rsidP="00E06505">
            <w:pPr>
              <w:spacing w:line="260" w:lineRule="atLeast"/>
              <w:rPr>
                <w:color w:val="000000"/>
              </w:rPr>
            </w:pPr>
            <w:r w:rsidRPr="00E06505">
              <w:rPr>
                <w:b/>
                <w:bCs/>
                <w:color w:val="000000"/>
              </w:rPr>
              <w:t>Project Management</w:t>
            </w:r>
          </w:p>
          <w:p w14:paraId="767BE5F2" w14:textId="77777777" w:rsidR="00E06505" w:rsidRPr="00E06505" w:rsidRDefault="00E06505" w:rsidP="00E06505">
            <w:pPr>
              <w:spacing w:line="260" w:lineRule="atLeast"/>
              <w:rPr>
                <w:color w:val="000000"/>
              </w:rPr>
            </w:pPr>
            <w:r w:rsidRPr="00E06505">
              <w:rPr>
                <w:color w:val="000000"/>
              </w:rPr>
              <w:t>Understand and apply effective planning, coordination and control methods</w:t>
            </w:r>
          </w:p>
        </w:tc>
        <w:tc>
          <w:tcPr>
            <w:tcW w:w="4709" w:type="dxa"/>
          </w:tcPr>
          <w:p w14:paraId="0A3178F1" w14:textId="77777777" w:rsidR="00E06505" w:rsidRPr="00E06505" w:rsidRDefault="00E06505" w:rsidP="00E06505">
            <w:pPr>
              <w:numPr>
                <w:ilvl w:val="0"/>
                <w:numId w:val="15"/>
              </w:numPr>
              <w:spacing w:after="120" w:line="260" w:lineRule="atLeast"/>
            </w:pPr>
            <w:r w:rsidRPr="00E06505">
              <w:t>Understand all components of the project management process, including the need to consider change management to realise business benefits</w:t>
            </w:r>
          </w:p>
          <w:p w14:paraId="26F96B20" w14:textId="77777777" w:rsidR="00E06505" w:rsidRPr="00E06505" w:rsidRDefault="00E06505" w:rsidP="00E06505">
            <w:pPr>
              <w:numPr>
                <w:ilvl w:val="0"/>
                <w:numId w:val="15"/>
              </w:numPr>
              <w:spacing w:after="120" w:line="260" w:lineRule="atLeast"/>
            </w:pPr>
            <w:r w:rsidRPr="00E06505">
              <w:t>Prepare clear project proposals and accurate estimates of required costs and resources</w:t>
            </w:r>
          </w:p>
          <w:p w14:paraId="498F7F98" w14:textId="77777777" w:rsidR="00E06505" w:rsidRPr="00E06505" w:rsidRDefault="00E06505" w:rsidP="00E06505">
            <w:pPr>
              <w:numPr>
                <w:ilvl w:val="0"/>
                <w:numId w:val="15"/>
              </w:numPr>
              <w:spacing w:after="120" w:line="260" w:lineRule="atLeast"/>
            </w:pPr>
            <w:r w:rsidRPr="00E06505">
              <w:t>Establish performance outcomes and measures for key project goals, and define monitoring, reporting and communication requirements</w:t>
            </w:r>
          </w:p>
          <w:p w14:paraId="211EC350" w14:textId="77777777" w:rsidR="00E06505" w:rsidRPr="00E06505" w:rsidRDefault="00E06505" w:rsidP="00E06505">
            <w:pPr>
              <w:numPr>
                <w:ilvl w:val="0"/>
                <w:numId w:val="15"/>
              </w:numPr>
              <w:spacing w:after="120" w:line="260" w:lineRule="atLeast"/>
            </w:pPr>
            <w:r w:rsidRPr="00E06505">
              <w:t>Identify and evaluate risks associated with the project and develop mitigation strategies</w:t>
            </w:r>
          </w:p>
          <w:p w14:paraId="3437866A" w14:textId="77777777" w:rsidR="00E06505" w:rsidRPr="00E06505" w:rsidRDefault="00E06505" w:rsidP="00E06505">
            <w:pPr>
              <w:numPr>
                <w:ilvl w:val="0"/>
                <w:numId w:val="15"/>
              </w:numPr>
              <w:spacing w:after="120" w:line="260" w:lineRule="atLeast"/>
            </w:pPr>
            <w:r w:rsidRPr="00E06505">
              <w:t>Identify and consult stakeholders to inform the project strategy</w:t>
            </w:r>
          </w:p>
          <w:p w14:paraId="512C6CBE" w14:textId="77777777" w:rsidR="00E06505" w:rsidRPr="00E06505" w:rsidRDefault="00E06505" w:rsidP="00E06505">
            <w:pPr>
              <w:numPr>
                <w:ilvl w:val="0"/>
                <w:numId w:val="15"/>
              </w:numPr>
              <w:spacing w:after="120" w:line="260" w:lineRule="atLeast"/>
            </w:pPr>
            <w:r w:rsidRPr="00E06505">
              <w:t>Communicate the project’s objectives and its expected benefits</w:t>
            </w:r>
          </w:p>
          <w:p w14:paraId="3054A5DE" w14:textId="77777777" w:rsidR="00E06505" w:rsidRPr="00E06505" w:rsidRDefault="00E06505" w:rsidP="00E06505">
            <w:pPr>
              <w:numPr>
                <w:ilvl w:val="0"/>
                <w:numId w:val="15"/>
              </w:numPr>
              <w:spacing w:after="120" w:line="260" w:lineRule="atLeast"/>
            </w:pPr>
            <w:r w:rsidRPr="00E06505">
              <w:t>Monitor the completion of project milestones against goals and take necessary action</w:t>
            </w:r>
          </w:p>
          <w:p w14:paraId="3A6BFE41" w14:textId="77777777" w:rsidR="00E06505" w:rsidRPr="00E06505" w:rsidRDefault="00E06505" w:rsidP="00E06505">
            <w:pPr>
              <w:numPr>
                <w:ilvl w:val="0"/>
                <w:numId w:val="15"/>
              </w:numPr>
              <w:spacing w:after="120" w:line="260" w:lineRule="atLeast"/>
            </w:pPr>
            <w:r w:rsidRPr="00E06505">
              <w:t>Evaluate progress and identify improvements to inform future projects</w:t>
            </w:r>
          </w:p>
        </w:tc>
        <w:tc>
          <w:tcPr>
            <w:tcW w:w="1668" w:type="dxa"/>
          </w:tcPr>
          <w:p w14:paraId="5C05DDD3" w14:textId="77777777" w:rsidR="00E06505" w:rsidRPr="00E06505" w:rsidRDefault="00E06505" w:rsidP="00E06505">
            <w:pPr>
              <w:spacing w:line="260" w:lineRule="atLeast"/>
            </w:pPr>
            <w:r w:rsidRPr="00E06505">
              <w:t>Adept</w:t>
            </w:r>
          </w:p>
        </w:tc>
      </w:tr>
      <w:tr w:rsidR="00E06505" w:rsidRPr="00E06505" w14:paraId="7D82B740" w14:textId="77777777" w:rsidTr="00FC58F8">
        <w:trPr>
          <w:cantSplit/>
        </w:trPr>
        <w:tc>
          <w:tcPr>
            <w:tcW w:w="1385" w:type="dxa"/>
          </w:tcPr>
          <w:p w14:paraId="0FDA2269" w14:textId="77777777" w:rsidR="00E06505" w:rsidRPr="00E06505" w:rsidRDefault="00E06505" w:rsidP="00E06505">
            <w:pPr>
              <w:spacing w:line="260" w:lineRule="atLeast"/>
              <w:jc w:val="center"/>
              <w:rPr>
                <w:noProof/>
                <w:lang w:eastAsia="en-AU"/>
              </w:rPr>
            </w:pPr>
            <w:r w:rsidRPr="00E06505">
              <w:rPr>
                <w:noProof/>
                <w:lang w:eastAsia="en-AU"/>
              </w:rPr>
              <w:lastRenderedPageBreak/>
              <w:drawing>
                <wp:inline distT="0" distB="0" distL="0" distR="0" wp14:anchorId="675481AD" wp14:editId="2FFFB36C">
                  <wp:extent cx="749300" cy="749300"/>
                  <wp:effectExtent l="0" t="0" r="0" b="0"/>
                  <wp:docPr id="351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E66BFE1" w14:textId="77777777" w:rsidR="00E06505" w:rsidRPr="00E06505" w:rsidRDefault="00E06505" w:rsidP="00E06505">
            <w:pPr>
              <w:spacing w:line="260" w:lineRule="atLeast"/>
              <w:rPr>
                <w:color w:val="000000"/>
              </w:rPr>
            </w:pPr>
            <w:r w:rsidRPr="00E06505">
              <w:rPr>
                <w:b/>
                <w:bCs/>
                <w:color w:val="000000"/>
              </w:rPr>
              <w:t>Manage and Develop People</w:t>
            </w:r>
          </w:p>
          <w:p w14:paraId="06DBFB40" w14:textId="77777777" w:rsidR="00E06505" w:rsidRPr="00E06505" w:rsidRDefault="00E06505" w:rsidP="00E06505">
            <w:pPr>
              <w:spacing w:line="260" w:lineRule="atLeast"/>
              <w:rPr>
                <w:color w:val="000000"/>
              </w:rPr>
            </w:pPr>
            <w:r w:rsidRPr="00E06505">
              <w:rPr>
                <w:color w:val="000000"/>
              </w:rPr>
              <w:t>Engage and motivate staff, and develop capability and potential in others</w:t>
            </w:r>
          </w:p>
        </w:tc>
        <w:tc>
          <w:tcPr>
            <w:tcW w:w="4709" w:type="dxa"/>
          </w:tcPr>
          <w:p w14:paraId="404277EE" w14:textId="77777777" w:rsidR="00E06505" w:rsidRPr="00E06505" w:rsidRDefault="00E06505" w:rsidP="00E06505">
            <w:pPr>
              <w:numPr>
                <w:ilvl w:val="0"/>
                <w:numId w:val="15"/>
              </w:numPr>
              <w:spacing w:after="120" w:line="260" w:lineRule="atLeast"/>
            </w:pPr>
            <w:r w:rsidRPr="00E06505">
              <w:t>Define and clearly communicate roles, responsibilities and performance standards to achieve team outcomes</w:t>
            </w:r>
          </w:p>
          <w:p w14:paraId="50FFA958" w14:textId="77777777" w:rsidR="00E06505" w:rsidRPr="00E06505" w:rsidRDefault="00E06505" w:rsidP="00E06505">
            <w:pPr>
              <w:numPr>
                <w:ilvl w:val="0"/>
                <w:numId w:val="15"/>
              </w:numPr>
              <w:spacing w:after="120" w:line="260" w:lineRule="atLeast"/>
            </w:pPr>
            <w:r w:rsidRPr="00E06505">
              <w:t>Adjust performance development processes to meet the diverse abilities and needs of individuals and teams</w:t>
            </w:r>
          </w:p>
          <w:p w14:paraId="7B108489" w14:textId="77777777" w:rsidR="00E06505" w:rsidRPr="00E06505" w:rsidRDefault="00E06505" w:rsidP="00E06505">
            <w:pPr>
              <w:numPr>
                <w:ilvl w:val="0"/>
                <w:numId w:val="15"/>
              </w:numPr>
              <w:spacing w:after="120" w:line="260" w:lineRule="atLeast"/>
            </w:pPr>
            <w:r w:rsidRPr="00E06505">
              <w:t>Develop work plans that consider capability, strengths and opportunities for development</w:t>
            </w:r>
          </w:p>
          <w:p w14:paraId="43B9675E" w14:textId="77777777" w:rsidR="00E06505" w:rsidRPr="00E06505" w:rsidRDefault="00E06505" w:rsidP="00E06505">
            <w:pPr>
              <w:numPr>
                <w:ilvl w:val="0"/>
                <w:numId w:val="15"/>
              </w:numPr>
              <w:spacing w:after="120" w:line="260" w:lineRule="atLeast"/>
            </w:pPr>
            <w:r w:rsidRPr="00E06505">
              <w:t>Be aware of the influences of bias when managing team members</w:t>
            </w:r>
          </w:p>
          <w:p w14:paraId="3ABF54B2" w14:textId="77777777" w:rsidR="00E06505" w:rsidRPr="00E06505" w:rsidRDefault="00E06505" w:rsidP="00E06505">
            <w:pPr>
              <w:numPr>
                <w:ilvl w:val="0"/>
                <w:numId w:val="15"/>
              </w:numPr>
              <w:spacing w:after="120" w:line="260" w:lineRule="atLeast"/>
            </w:pPr>
            <w:r w:rsidRPr="00E06505">
              <w:t>Seek feedback on own management capabilities and develop strategies to address any gaps</w:t>
            </w:r>
          </w:p>
          <w:p w14:paraId="5920F872" w14:textId="77777777" w:rsidR="00E06505" w:rsidRPr="00E06505" w:rsidRDefault="00E06505" w:rsidP="00E06505">
            <w:pPr>
              <w:numPr>
                <w:ilvl w:val="0"/>
                <w:numId w:val="15"/>
              </w:numPr>
              <w:spacing w:after="120" w:line="260" w:lineRule="atLeast"/>
            </w:pPr>
            <w:r w:rsidRPr="00E06505">
              <w:t>Address and resolve team and individual performance issues, including unsatisfactory performance, in a timely and effective way</w:t>
            </w:r>
          </w:p>
          <w:p w14:paraId="60E807B3" w14:textId="77777777" w:rsidR="00E06505" w:rsidRPr="00E06505" w:rsidRDefault="00E06505" w:rsidP="00E06505">
            <w:pPr>
              <w:numPr>
                <w:ilvl w:val="0"/>
                <w:numId w:val="15"/>
              </w:numPr>
              <w:spacing w:after="120" w:line="260" w:lineRule="atLeast"/>
            </w:pPr>
            <w:r w:rsidRPr="00E06505">
              <w:t>Monitor and report on team performance in line with established performance development frameworks</w:t>
            </w:r>
          </w:p>
        </w:tc>
        <w:tc>
          <w:tcPr>
            <w:tcW w:w="1668" w:type="dxa"/>
          </w:tcPr>
          <w:p w14:paraId="407C5982" w14:textId="77777777" w:rsidR="00E06505" w:rsidRPr="00E06505" w:rsidRDefault="00E06505" w:rsidP="00E06505">
            <w:pPr>
              <w:spacing w:line="260" w:lineRule="atLeast"/>
            </w:pPr>
            <w:r w:rsidRPr="00E06505">
              <w:t>Adept</w:t>
            </w:r>
          </w:p>
        </w:tc>
      </w:tr>
    </w:tbl>
    <w:p w14:paraId="1ABD0917" w14:textId="77777777" w:rsidR="00E06505" w:rsidRPr="00E06505" w:rsidRDefault="00E06505" w:rsidP="00E06505">
      <w:pPr>
        <w:keepNext/>
        <w:keepLines/>
        <w:widowControl/>
        <w:autoSpaceDE/>
        <w:autoSpaceDN/>
        <w:spacing w:before="240" w:after="120" w:line="260" w:lineRule="atLeast"/>
        <w:outlineLvl w:val="1"/>
        <w:rPr>
          <w:b/>
          <w:bCs/>
          <w:iCs/>
          <w:sz w:val="24"/>
          <w:szCs w:val="28"/>
          <w:lang w:val="en-AU"/>
        </w:rPr>
      </w:pPr>
      <w:r w:rsidRPr="00E06505">
        <w:rPr>
          <w:b/>
          <w:bCs/>
          <w:iCs/>
          <w:sz w:val="24"/>
          <w:szCs w:val="28"/>
          <w:lang w:val="en-AU"/>
        </w:rPr>
        <w:t>Complementary capabilities</w:t>
      </w:r>
    </w:p>
    <w:p w14:paraId="61126E20" w14:textId="77777777" w:rsidR="00E06505" w:rsidRPr="00E06505" w:rsidRDefault="00E06505" w:rsidP="00E06505">
      <w:pPr>
        <w:keepNext/>
        <w:keepLines/>
        <w:widowControl/>
        <w:autoSpaceDE/>
        <w:autoSpaceDN/>
        <w:spacing w:before="62" w:after="120" w:line="276" w:lineRule="auto"/>
        <w:contextualSpacing/>
        <w:rPr>
          <w:rFonts w:eastAsia="MS Mincho" w:cs="Times New Roman"/>
          <w:sz w:val="21"/>
        </w:rPr>
      </w:pPr>
      <w:r w:rsidRPr="00E06505">
        <w:rPr>
          <w:rFonts w:eastAsia="MS Mincho" w:cs="Times New Roman"/>
          <w:i/>
          <w:sz w:val="21"/>
        </w:rPr>
        <w:t>Complementary capabilities</w:t>
      </w:r>
      <w:r w:rsidRPr="00E06505">
        <w:rPr>
          <w:rFonts w:eastAsia="MS Mincho" w:cs="Times New Roman"/>
          <w:sz w:val="21"/>
        </w:rPr>
        <w:t xml:space="preserve"> are also identified from the Capability Framework and relevant occupation-specific capability sets. They are important to identifying performance required for the role and development opportunities. </w:t>
      </w:r>
    </w:p>
    <w:p w14:paraId="1B17B95D" w14:textId="77777777" w:rsidR="00E06505" w:rsidRPr="00E06505" w:rsidRDefault="00E06505" w:rsidP="00E06505">
      <w:pPr>
        <w:keepNext/>
        <w:keepLines/>
        <w:widowControl/>
        <w:autoSpaceDE/>
        <w:autoSpaceDN/>
        <w:spacing w:before="62" w:after="120" w:line="276" w:lineRule="auto"/>
        <w:contextualSpacing/>
        <w:rPr>
          <w:rFonts w:eastAsia="MS Mincho" w:cs="Times New Roman"/>
          <w:sz w:val="21"/>
        </w:rPr>
      </w:pPr>
      <w:r w:rsidRPr="00E06505">
        <w:rPr>
          <w:rFonts w:eastAsia="MS Mincho" w:cs="Times New Roman"/>
          <w:sz w:val="21"/>
        </w:rPr>
        <w:t>Note: capabilities listed as ‘not essential’ for this role are not relevant for recruitment purposes however may be relevant for future career development.</w:t>
      </w: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2693"/>
        <w:gridCol w:w="4851"/>
        <w:gridCol w:w="1668"/>
      </w:tblGrid>
      <w:tr w:rsidR="00E06505" w:rsidRPr="00E06505" w14:paraId="01A68DD9" w14:textId="77777777" w:rsidTr="00D6580A">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vAlign w:val="center"/>
          </w:tcPr>
          <w:p w14:paraId="782EE24C" w14:textId="77777777" w:rsidR="00E06505" w:rsidRPr="00E06505" w:rsidRDefault="00E06505" w:rsidP="00E06505">
            <w:pPr>
              <w:keepNext/>
              <w:keepLines/>
              <w:spacing w:after="120" w:line="260" w:lineRule="atLeast"/>
              <w:rPr>
                <w:rFonts w:cs="Times New Roman"/>
              </w:rPr>
            </w:pPr>
            <w:r w:rsidRPr="00E06505">
              <w:rPr>
                <w:rFonts w:cs="Times New Roman"/>
                <w:b/>
              </w:rPr>
              <w:t>Capability group/sets</w:t>
            </w:r>
          </w:p>
        </w:tc>
        <w:tc>
          <w:tcPr>
            <w:tcW w:w="2693" w:type="dxa"/>
            <w:shd w:val="clear" w:color="auto" w:fill="BFBFBF"/>
          </w:tcPr>
          <w:p w14:paraId="39AC82AF" w14:textId="77777777" w:rsidR="00E06505" w:rsidRPr="00E06505" w:rsidRDefault="00E06505" w:rsidP="00E06505">
            <w:pPr>
              <w:keepNext/>
              <w:keepLines/>
              <w:spacing w:after="120" w:line="260" w:lineRule="atLeast"/>
              <w:rPr>
                <w:rFonts w:cs="Times New Roman"/>
              </w:rPr>
            </w:pPr>
            <w:r w:rsidRPr="00E06505">
              <w:rPr>
                <w:rFonts w:cs="Times New Roman"/>
                <w:b/>
              </w:rPr>
              <w:t>Capability name</w:t>
            </w:r>
          </w:p>
        </w:tc>
        <w:tc>
          <w:tcPr>
            <w:tcW w:w="4851" w:type="dxa"/>
            <w:shd w:val="clear" w:color="auto" w:fill="BFBFBF"/>
          </w:tcPr>
          <w:p w14:paraId="2A1E3DD4" w14:textId="77777777" w:rsidR="00E06505" w:rsidRPr="00E06505" w:rsidRDefault="00E06505" w:rsidP="00E06505">
            <w:pPr>
              <w:keepNext/>
              <w:keepLines/>
              <w:spacing w:after="120" w:line="260" w:lineRule="atLeast"/>
              <w:rPr>
                <w:rFonts w:cs="Times New Roman"/>
              </w:rPr>
            </w:pPr>
            <w:r w:rsidRPr="00E06505">
              <w:rPr>
                <w:rFonts w:cs="Times New Roman"/>
                <w:b/>
              </w:rPr>
              <w:t>Description</w:t>
            </w:r>
          </w:p>
        </w:tc>
        <w:tc>
          <w:tcPr>
            <w:tcW w:w="1668" w:type="dxa"/>
            <w:shd w:val="clear" w:color="auto" w:fill="BFBFBF"/>
          </w:tcPr>
          <w:p w14:paraId="6536C814" w14:textId="77777777" w:rsidR="00E06505" w:rsidRPr="00E06505" w:rsidRDefault="00E06505" w:rsidP="00E06505">
            <w:pPr>
              <w:keepNext/>
              <w:keepLines/>
              <w:spacing w:after="120" w:line="260" w:lineRule="atLeast"/>
              <w:rPr>
                <w:rFonts w:cs="Times New Roman"/>
                <w:b/>
                <w:bCs/>
              </w:rPr>
            </w:pPr>
            <w:r w:rsidRPr="00E06505">
              <w:rPr>
                <w:rFonts w:cs="Times New Roman"/>
                <w:b/>
                <w:bCs/>
              </w:rPr>
              <w:t>Level</w:t>
            </w:r>
          </w:p>
        </w:tc>
      </w:tr>
      <w:tr w:rsidR="00E06505" w:rsidRPr="00E06505" w14:paraId="1F35DA27" w14:textId="77777777" w:rsidTr="00FC58F8">
        <w:trPr>
          <w:cantSplit/>
        </w:trPr>
        <w:tc>
          <w:tcPr>
            <w:tcW w:w="1276" w:type="dxa"/>
          </w:tcPr>
          <w:p w14:paraId="6D9C647E" w14:textId="77777777" w:rsidR="00E06505" w:rsidRPr="00E06505" w:rsidRDefault="00E06505" w:rsidP="00E06505">
            <w:pPr>
              <w:keepNext/>
              <w:keepLines/>
              <w:spacing w:after="120" w:line="260" w:lineRule="atLeast"/>
              <w:rPr>
                <w:rFonts w:cs="Times New Roman"/>
              </w:rPr>
            </w:pPr>
            <w:r w:rsidRPr="00E06505">
              <w:rPr>
                <w:rFonts w:cs="Times New Roman"/>
                <w:noProof/>
                <w:lang w:eastAsia="en-AU"/>
              </w:rPr>
              <w:drawing>
                <wp:inline distT="0" distB="0" distL="0" distR="0" wp14:anchorId="7F930D73" wp14:editId="4777DF1A">
                  <wp:extent cx="416966" cy="416966"/>
                  <wp:effectExtent l="0" t="0" r="2540" b="2540"/>
                  <wp:docPr id="188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C82B7D" w14:textId="77777777" w:rsidR="00E06505" w:rsidRPr="00E06505" w:rsidRDefault="00E06505" w:rsidP="00E06505">
            <w:pPr>
              <w:keepNext/>
              <w:keepLines/>
              <w:spacing w:before="40" w:after="40" w:line="280" w:lineRule="atLeast"/>
              <w:rPr>
                <w:rFonts w:cs="Times New Roman"/>
              </w:rPr>
            </w:pPr>
            <w:r w:rsidRPr="00E06505">
              <w:rPr>
                <w:rFonts w:cs="Times New Roman"/>
              </w:rPr>
              <w:t>Display Resilience and Courage</w:t>
            </w:r>
          </w:p>
        </w:tc>
        <w:tc>
          <w:tcPr>
            <w:tcW w:w="4851" w:type="dxa"/>
          </w:tcPr>
          <w:p w14:paraId="51392736" w14:textId="77777777" w:rsidR="00E06505" w:rsidRPr="00E06505" w:rsidRDefault="00E06505" w:rsidP="00E06505">
            <w:pPr>
              <w:keepNext/>
              <w:keepLines/>
              <w:spacing w:before="40" w:after="40" w:line="280" w:lineRule="atLeast"/>
              <w:rPr>
                <w:rFonts w:cs="Times New Roman"/>
              </w:rPr>
            </w:pPr>
            <w:r w:rsidRPr="00E06505">
              <w:rPr>
                <w:rFonts w:cs="Times New Roman"/>
              </w:rPr>
              <w:t>Be open and honest, prepared to express your views, and willing to accept and commit to change</w:t>
            </w:r>
          </w:p>
        </w:tc>
        <w:tc>
          <w:tcPr>
            <w:tcW w:w="1668" w:type="dxa"/>
          </w:tcPr>
          <w:p w14:paraId="18A2236D" w14:textId="77777777" w:rsidR="00E06505" w:rsidRPr="00E06505" w:rsidRDefault="00E06505" w:rsidP="00E06505">
            <w:pPr>
              <w:keepNext/>
              <w:keepLines/>
              <w:spacing w:before="40" w:after="40" w:line="280" w:lineRule="atLeast"/>
              <w:rPr>
                <w:rFonts w:cs="Times New Roman"/>
              </w:rPr>
            </w:pPr>
            <w:r w:rsidRPr="00E06505">
              <w:rPr>
                <w:rFonts w:cs="Times New Roman"/>
              </w:rPr>
              <w:t>Intermediate</w:t>
            </w:r>
          </w:p>
        </w:tc>
      </w:tr>
      <w:tr w:rsidR="00E06505" w:rsidRPr="00E06505" w14:paraId="746017EC" w14:textId="77777777" w:rsidTr="00FC58F8">
        <w:trPr>
          <w:cantSplit/>
        </w:trPr>
        <w:tc>
          <w:tcPr>
            <w:tcW w:w="1276" w:type="dxa"/>
          </w:tcPr>
          <w:p w14:paraId="6FFEBD91"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5CB6B8B1" wp14:editId="68D84CBE">
                  <wp:extent cx="416966" cy="416966"/>
                  <wp:effectExtent l="0" t="0" r="2540" b="2540"/>
                  <wp:docPr id="546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ABB54BF" w14:textId="77777777" w:rsidR="00E06505" w:rsidRPr="00E06505" w:rsidRDefault="00E06505" w:rsidP="00E06505">
            <w:pPr>
              <w:spacing w:before="40" w:after="40" w:line="280" w:lineRule="atLeast"/>
              <w:rPr>
                <w:rFonts w:cs="Times New Roman"/>
              </w:rPr>
            </w:pPr>
            <w:r w:rsidRPr="00E06505">
              <w:rPr>
                <w:rFonts w:cs="Times New Roman"/>
              </w:rPr>
              <w:t>Manage Self</w:t>
            </w:r>
          </w:p>
        </w:tc>
        <w:tc>
          <w:tcPr>
            <w:tcW w:w="4851" w:type="dxa"/>
          </w:tcPr>
          <w:p w14:paraId="1FAEDA9C" w14:textId="77777777" w:rsidR="00E06505" w:rsidRPr="00E06505" w:rsidRDefault="00E06505" w:rsidP="00E06505">
            <w:pPr>
              <w:spacing w:before="40" w:after="40" w:line="280" w:lineRule="atLeast"/>
              <w:rPr>
                <w:rFonts w:cs="Times New Roman"/>
              </w:rPr>
            </w:pPr>
            <w:r w:rsidRPr="00E06505">
              <w:rPr>
                <w:rFonts w:cs="Times New Roman"/>
              </w:rPr>
              <w:t>Show drive and motivation, an ability to self-reflect and a commitment to learning</w:t>
            </w:r>
          </w:p>
        </w:tc>
        <w:tc>
          <w:tcPr>
            <w:tcW w:w="1668" w:type="dxa"/>
          </w:tcPr>
          <w:p w14:paraId="1205677E" w14:textId="77777777" w:rsidR="00E06505" w:rsidRPr="00E06505" w:rsidRDefault="00E06505" w:rsidP="00E06505">
            <w:pPr>
              <w:spacing w:before="40" w:after="40" w:line="280" w:lineRule="atLeast"/>
              <w:rPr>
                <w:rFonts w:cs="Times New Roman"/>
              </w:rPr>
            </w:pPr>
            <w:r w:rsidRPr="00E06505">
              <w:rPr>
                <w:rFonts w:cs="Times New Roman"/>
              </w:rPr>
              <w:t>Adept</w:t>
            </w:r>
          </w:p>
        </w:tc>
      </w:tr>
      <w:tr w:rsidR="00E06505" w:rsidRPr="00E06505" w14:paraId="6ABE6718" w14:textId="77777777" w:rsidTr="00FC58F8">
        <w:trPr>
          <w:cantSplit/>
        </w:trPr>
        <w:tc>
          <w:tcPr>
            <w:tcW w:w="1276" w:type="dxa"/>
          </w:tcPr>
          <w:p w14:paraId="2582C00F"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4D050B2F" wp14:editId="558AF512">
                  <wp:extent cx="416966" cy="416966"/>
                  <wp:effectExtent l="0" t="0" r="2540" b="2540"/>
                  <wp:docPr id="905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0EB4BA" w14:textId="77777777" w:rsidR="00E06505" w:rsidRPr="00E06505" w:rsidRDefault="00E06505" w:rsidP="00E06505">
            <w:pPr>
              <w:spacing w:before="40" w:after="40" w:line="280" w:lineRule="atLeast"/>
              <w:rPr>
                <w:rFonts w:cs="Times New Roman"/>
              </w:rPr>
            </w:pPr>
            <w:r w:rsidRPr="00E06505">
              <w:rPr>
                <w:rFonts w:cs="Times New Roman"/>
              </w:rPr>
              <w:t>Value Diversity and Inclusion</w:t>
            </w:r>
          </w:p>
        </w:tc>
        <w:tc>
          <w:tcPr>
            <w:tcW w:w="4851" w:type="dxa"/>
          </w:tcPr>
          <w:p w14:paraId="6337FCAA" w14:textId="77777777" w:rsidR="00E06505" w:rsidRPr="00E06505" w:rsidRDefault="00E06505" w:rsidP="00E06505">
            <w:pPr>
              <w:spacing w:before="40" w:after="40" w:line="280" w:lineRule="atLeast"/>
              <w:rPr>
                <w:rFonts w:cs="Times New Roman"/>
              </w:rPr>
            </w:pPr>
            <w:r w:rsidRPr="00E06505">
              <w:rPr>
                <w:rFonts w:cs="Times New Roman"/>
              </w:rPr>
              <w:t>Demonstrate inclusive behaviour and show respect for diverse backgrounds, experiences and perspectives</w:t>
            </w:r>
          </w:p>
        </w:tc>
        <w:tc>
          <w:tcPr>
            <w:tcW w:w="1668" w:type="dxa"/>
          </w:tcPr>
          <w:p w14:paraId="75E4EF54" w14:textId="77777777" w:rsidR="00E06505" w:rsidRPr="00E06505" w:rsidRDefault="00E06505" w:rsidP="00E06505">
            <w:pPr>
              <w:spacing w:before="40" w:after="40" w:line="280" w:lineRule="atLeast"/>
              <w:rPr>
                <w:rFonts w:cs="Times New Roman"/>
              </w:rPr>
            </w:pPr>
            <w:r w:rsidRPr="00E06505">
              <w:rPr>
                <w:rFonts w:cs="Times New Roman"/>
              </w:rPr>
              <w:t>Adept</w:t>
            </w:r>
          </w:p>
        </w:tc>
      </w:tr>
      <w:tr w:rsidR="00E06505" w:rsidRPr="00E06505" w14:paraId="325BCEA0" w14:textId="77777777" w:rsidTr="00FC58F8">
        <w:trPr>
          <w:cantSplit/>
        </w:trPr>
        <w:tc>
          <w:tcPr>
            <w:tcW w:w="1276" w:type="dxa"/>
          </w:tcPr>
          <w:p w14:paraId="2585EE0B"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4EE89C10" wp14:editId="4CB7FA90">
                  <wp:extent cx="416966" cy="416966"/>
                  <wp:effectExtent l="0" t="0" r="2540" b="2540"/>
                  <wp:docPr id="741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E09EC2C" w14:textId="77777777" w:rsidR="00E06505" w:rsidRPr="00E06505" w:rsidRDefault="00E06505" w:rsidP="00E06505">
            <w:pPr>
              <w:spacing w:before="40" w:after="40" w:line="280" w:lineRule="atLeast"/>
              <w:rPr>
                <w:rFonts w:cs="Times New Roman"/>
              </w:rPr>
            </w:pPr>
            <w:r w:rsidRPr="00E06505">
              <w:rPr>
                <w:rFonts w:cs="Times New Roman"/>
              </w:rPr>
              <w:t>Commit to Customer Service</w:t>
            </w:r>
          </w:p>
        </w:tc>
        <w:tc>
          <w:tcPr>
            <w:tcW w:w="4851" w:type="dxa"/>
          </w:tcPr>
          <w:p w14:paraId="7DB61518" w14:textId="77777777" w:rsidR="00E06505" w:rsidRPr="00E06505" w:rsidRDefault="00E06505" w:rsidP="00E06505">
            <w:pPr>
              <w:spacing w:before="40" w:after="40" w:line="280" w:lineRule="atLeast"/>
              <w:rPr>
                <w:rFonts w:cs="Times New Roman"/>
              </w:rPr>
            </w:pPr>
            <w:r w:rsidRPr="00E06505">
              <w:rPr>
                <w:rFonts w:cs="Times New Roman"/>
              </w:rPr>
              <w:t>Provide customer-focused services in line with public sector and organisational objectives</w:t>
            </w:r>
          </w:p>
        </w:tc>
        <w:tc>
          <w:tcPr>
            <w:tcW w:w="1668" w:type="dxa"/>
          </w:tcPr>
          <w:p w14:paraId="4D543400" w14:textId="77777777" w:rsidR="00E06505" w:rsidRPr="00E06505" w:rsidRDefault="00E06505" w:rsidP="00E06505">
            <w:pPr>
              <w:spacing w:before="40" w:after="40" w:line="280" w:lineRule="atLeast"/>
              <w:rPr>
                <w:rFonts w:cs="Times New Roman"/>
              </w:rPr>
            </w:pPr>
            <w:r w:rsidRPr="00E06505">
              <w:rPr>
                <w:rFonts w:cs="Times New Roman"/>
              </w:rPr>
              <w:t>Intermediate</w:t>
            </w:r>
          </w:p>
        </w:tc>
      </w:tr>
      <w:tr w:rsidR="00E06505" w:rsidRPr="00E06505" w14:paraId="5451242A" w14:textId="77777777" w:rsidTr="00FC58F8">
        <w:trPr>
          <w:cantSplit/>
        </w:trPr>
        <w:tc>
          <w:tcPr>
            <w:tcW w:w="1276" w:type="dxa"/>
          </w:tcPr>
          <w:p w14:paraId="071295D0"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49143D9B" wp14:editId="288C2E3D">
                  <wp:extent cx="416966" cy="416966"/>
                  <wp:effectExtent l="0" t="0" r="2540" b="2540"/>
                  <wp:docPr id="101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09FD30" w14:textId="77777777" w:rsidR="00E06505" w:rsidRPr="00E06505" w:rsidRDefault="00E06505" w:rsidP="00E06505">
            <w:pPr>
              <w:spacing w:before="40" w:after="40" w:line="280" w:lineRule="atLeast"/>
              <w:rPr>
                <w:rFonts w:cs="Times New Roman"/>
              </w:rPr>
            </w:pPr>
            <w:r w:rsidRPr="00E06505">
              <w:rPr>
                <w:rFonts w:cs="Times New Roman"/>
              </w:rPr>
              <w:t>Work Collaboratively</w:t>
            </w:r>
          </w:p>
        </w:tc>
        <w:tc>
          <w:tcPr>
            <w:tcW w:w="4851" w:type="dxa"/>
          </w:tcPr>
          <w:p w14:paraId="6D431637" w14:textId="77777777" w:rsidR="00E06505" w:rsidRPr="00E06505" w:rsidRDefault="00E06505" w:rsidP="00E06505">
            <w:pPr>
              <w:spacing w:before="40" w:after="40" w:line="280" w:lineRule="atLeast"/>
              <w:rPr>
                <w:rFonts w:cs="Times New Roman"/>
              </w:rPr>
            </w:pPr>
            <w:r w:rsidRPr="00E06505">
              <w:rPr>
                <w:rFonts w:cs="Times New Roman"/>
              </w:rPr>
              <w:t>Collaborate with others and value their contribution</w:t>
            </w:r>
          </w:p>
        </w:tc>
        <w:tc>
          <w:tcPr>
            <w:tcW w:w="1668" w:type="dxa"/>
          </w:tcPr>
          <w:p w14:paraId="41B83EE1" w14:textId="77777777" w:rsidR="00E06505" w:rsidRPr="00E06505" w:rsidRDefault="00E06505" w:rsidP="00E06505">
            <w:pPr>
              <w:spacing w:before="40" w:after="40" w:line="280" w:lineRule="atLeast"/>
              <w:rPr>
                <w:rFonts w:cs="Times New Roman"/>
              </w:rPr>
            </w:pPr>
            <w:r w:rsidRPr="00E06505">
              <w:rPr>
                <w:rFonts w:cs="Times New Roman"/>
              </w:rPr>
              <w:t>Intermediate</w:t>
            </w:r>
          </w:p>
        </w:tc>
      </w:tr>
      <w:tr w:rsidR="00E06505" w:rsidRPr="00E06505" w14:paraId="1773614E" w14:textId="77777777" w:rsidTr="00FC58F8">
        <w:trPr>
          <w:cantSplit/>
        </w:trPr>
        <w:tc>
          <w:tcPr>
            <w:tcW w:w="1276" w:type="dxa"/>
          </w:tcPr>
          <w:p w14:paraId="47E544B6" w14:textId="77777777" w:rsidR="00E06505" w:rsidRPr="00E06505" w:rsidRDefault="00E06505" w:rsidP="00E06505">
            <w:pPr>
              <w:spacing w:after="120" w:line="260" w:lineRule="atLeast"/>
              <w:rPr>
                <w:rFonts w:cs="Times New Roman"/>
              </w:rPr>
            </w:pPr>
            <w:r w:rsidRPr="00E06505">
              <w:rPr>
                <w:rFonts w:cs="Times New Roman"/>
                <w:noProof/>
                <w:lang w:eastAsia="en-AU"/>
              </w:rPr>
              <w:lastRenderedPageBreak/>
              <w:drawing>
                <wp:inline distT="0" distB="0" distL="0" distR="0" wp14:anchorId="24D6A637" wp14:editId="59B34D77">
                  <wp:extent cx="416966" cy="416966"/>
                  <wp:effectExtent l="0" t="0" r="2540" b="2540"/>
                  <wp:docPr id="93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89D1B5" w14:textId="77777777" w:rsidR="00E06505" w:rsidRPr="00E06505" w:rsidRDefault="00E06505" w:rsidP="00E06505">
            <w:pPr>
              <w:spacing w:before="40" w:after="40" w:line="280" w:lineRule="atLeast"/>
              <w:rPr>
                <w:rFonts w:cs="Times New Roman"/>
              </w:rPr>
            </w:pPr>
            <w:r w:rsidRPr="00E06505">
              <w:rPr>
                <w:rFonts w:cs="Times New Roman"/>
              </w:rPr>
              <w:t>Demonstrate Accountability</w:t>
            </w:r>
          </w:p>
        </w:tc>
        <w:tc>
          <w:tcPr>
            <w:tcW w:w="4851" w:type="dxa"/>
          </w:tcPr>
          <w:p w14:paraId="5F3EF38E" w14:textId="77777777" w:rsidR="00E06505" w:rsidRPr="00E06505" w:rsidRDefault="00E06505" w:rsidP="00E06505">
            <w:pPr>
              <w:spacing w:before="40" w:after="40" w:line="280" w:lineRule="atLeast"/>
              <w:rPr>
                <w:rFonts w:cs="Times New Roman"/>
              </w:rPr>
            </w:pPr>
            <w:r w:rsidRPr="00E06505">
              <w:rPr>
                <w:rFonts w:cs="Times New Roman"/>
              </w:rPr>
              <w:t>Be proactive and responsible for own actions, and adhere to legislation, policy and guidelines</w:t>
            </w:r>
          </w:p>
        </w:tc>
        <w:tc>
          <w:tcPr>
            <w:tcW w:w="1668" w:type="dxa"/>
          </w:tcPr>
          <w:p w14:paraId="0D127085" w14:textId="77777777" w:rsidR="00E06505" w:rsidRPr="00E06505" w:rsidRDefault="00E06505" w:rsidP="00E06505">
            <w:pPr>
              <w:spacing w:before="40" w:after="40" w:line="280" w:lineRule="atLeast"/>
              <w:rPr>
                <w:rFonts w:cs="Times New Roman"/>
              </w:rPr>
            </w:pPr>
            <w:r w:rsidRPr="00E06505">
              <w:rPr>
                <w:rFonts w:cs="Times New Roman"/>
              </w:rPr>
              <w:t>Intermediate</w:t>
            </w:r>
          </w:p>
        </w:tc>
      </w:tr>
      <w:tr w:rsidR="00E06505" w:rsidRPr="00E06505" w14:paraId="70D9DBB8" w14:textId="77777777" w:rsidTr="00FC58F8">
        <w:trPr>
          <w:cantSplit/>
        </w:trPr>
        <w:tc>
          <w:tcPr>
            <w:tcW w:w="1276" w:type="dxa"/>
          </w:tcPr>
          <w:p w14:paraId="4068AFA6"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4EAFC4FE" wp14:editId="48251A4A">
                  <wp:extent cx="416966" cy="416966"/>
                  <wp:effectExtent l="0" t="0" r="2540" b="2540"/>
                  <wp:docPr id="296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2743A2" w14:textId="77777777" w:rsidR="00E06505" w:rsidRPr="00E06505" w:rsidRDefault="00E06505" w:rsidP="00E06505">
            <w:pPr>
              <w:spacing w:before="40" w:after="40" w:line="280" w:lineRule="atLeast"/>
              <w:rPr>
                <w:rFonts w:cs="Times New Roman"/>
              </w:rPr>
            </w:pPr>
            <w:r w:rsidRPr="00E06505">
              <w:rPr>
                <w:rFonts w:cs="Times New Roman"/>
              </w:rPr>
              <w:t>Finance</w:t>
            </w:r>
          </w:p>
        </w:tc>
        <w:tc>
          <w:tcPr>
            <w:tcW w:w="4851" w:type="dxa"/>
          </w:tcPr>
          <w:p w14:paraId="7C5A4689" w14:textId="77777777" w:rsidR="00E06505" w:rsidRPr="00E06505" w:rsidRDefault="00E06505" w:rsidP="00E06505">
            <w:pPr>
              <w:spacing w:before="40" w:after="40" w:line="280" w:lineRule="atLeast"/>
              <w:rPr>
                <w:rFonts w:cs="Times New Roman"/>
              </w:rPr>
            </w:pPr>
            <w:r w:rsidRPr="00E06505">
              <w:rPr>
                <w:rFonts w:cs="Times New Roman"/>
              </w:rPr>
              <w:t>Understand and apply financial processes to achieve value for money and minimise financial risk</w:t>
            </w:r>
          </w:p>
        </w:tc>
        <w:tc>
          <w:tcPr>
            <w:tcW w:w="1668" w:type="dxa"/>
          </w:tcPr>
          <w:p w14:paraId="2E50E7D0" w14:textId="77777777" w:rsidR="00E06505" w:rsidRPr="00E06505" w:rsidRDefault="00E06505" w:rsidP="00E06505">
            <w:pPr>
              <w:spacing w:before="40" w:after="40" w:line="280" w:lineRule="atLeast"/>
              <w:rPr>
                <w:rFonts w:cs="Times New Roman"/>
              </w:rPr>
            </w:pPr>
            <w:r w:rsidRPr="00E06505">
              <w:rPr>
                <w:rFonts w:cs="Times New Roman"/>
              </w:rPr>
              <w:t>Intermediate</w:t>
            </w:r>
          </w:p>
        </w:tc>
      </w:tr>
      <w:tr w:rsidR="00E06505" w:rsidRPr="00E06505" w14:paraId="574C107A" w14:textId="77777777" w:rsidTr="00FC58F8">
        <w:trPr>
          <w:cantSplit/>
        </w:trPr>
        <w:tc>
          <w:tcPr>
            <w:tcW w:w="1276" w:type="dxa"/>
          </w:tcPr>
          <w:p w14:paraId="70CF14C8"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526E76CD" wp14:editId="72D08237">
                  <wp:extent cx="416966" cy="416966"/>
                  <wp:effectExtent l="0" t="0" r="2540" b="2540"/>
                  <wp:docPr id="654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5D2F12" w14:textId="77777777" w:rsidR="00E06505" w:rsidRPr="00E06505" w:rsidRDefault="00E06505" w:rsidP="00E06505">
            <w:pPr>
              <w:spacing w:before="40" w:after="40" w:line="280" w:lineRule="atLeast"/>
              <w:rPr>
                <w:rFonts w:cs="Times New Roman"/>
              </w:rPr>
            </w:pPr>
            <w:r w:rsidRPr="00E06505">
              <w:rPr>
                <w:rFonts w:cs="Times New Roman"/>
              </w:rPr>
              <w:t>Technology</w:t>
            </w:r>
          </w:p>
        </w:tc>
        <w:tc>
          <w:tcPr>
            <w:tcW w:w="4851" w:type="dxa"/>
          </w:tcPr>
          <w:p w14:paraId="38E3AD77" w14:textId="77777777" w:rsidR="00E06505" w:rsidRPr="00E06505" w:rsidRDefault="00E06505" w:rsidP="00E06505">
            <w:pPr>
              <w:spacing w:before="40" w:after="40" w:line="280" w:lineRule="atLeast"/>
              <w:rPr>
                <w:rFonts w:cs="Times New Roman"/>
              </w:rPr>
            </w:pPr>
            <w:r w:rsidRPr="00E06505">
              <w:rPr>
                <w:rFonts w:cs="Times New Roman"/>
              </w:rPr>
              <w:t>Understand and use available technologies to maximise efficiencies and effectiveness</w:t>
            </w:r>
          </w:p>
        </w:tc>
        <w:tc>
          <w:tcPr>
            <w:tcW w:w="1668" w:type="dxa"/>
          </w:tcPr>
          <w:p w14:paraId="1182859A" w14:textId="77777777" w:rsidR="00E06505" w:rsidRPr="00E06505" w:rsidRDefault="00E06505" w:rsidP="00E06505">
            <w:pPr>
              <w:spacing w:before="40" w:after="40" w:line="280" w:lineRule="atLeast"/>
              <w:rPr>
                <w:rFonts w:cs="Times New Roman"/>
              </w:rPr>
            </w:pPr>
            <w:r w:rsidRPr="00E06505">
              <w:rPr>
                <w:rFonts w:cs="Times New Roman"/>
              </w:rPr>
              <w:t>Intermediate</w:t>
            </w:r>
          </w:p>
        </w:tc>
      </w:tr>
      <w:tr w:rsidR="00E06505" w:rsidRPr="00E06505" w14:paraId="1BCE2CE9" w14:textId="77777777" w:rsidTr="00FC58F8">
        <w:trPr>
          <w:cantSplit/>
        </w:trPr>
        <w:tc>
          <w:tcPr>
            <w:tcW w:w="1276" w:type="dxa"/>
          </w:tcPr>
          <w:p w14:paraId="1C21069E"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44207FD3" wp14:editId="2DD4A7A2">
                  <wp:extent cx="416966" cy="416966"/>
                  <wp:effectExtent l="0" t="0" r="2540" b="2540"/>
                  <wp:docPr id="491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079D43" w14:textId="77777777" w:rsidR="00E06505" w:rsidRPr="00E06505" w:rsidRDefault="00E06505" w:rsidP="00E06505">
            <w:pPr>
              <w:spacing w:before="40" w:after="40" w:line="280" w:lineRule="atLeast"/>
              <w:rPr>
                <w:rFonts w:cs="Times New Roman"/>
              </w:rPr>
            </w:pPr>
            <w:r w:rsidRPr="00E06505">
              <w:rPr>
                <w:rFonts w:cs="Times New Roman"/>
              </w:rPr>
              <w:t>Inspire Direction and Purpose</w:t>
            </w:r>
          </w:p>
        </w:tc>
        <w:tc>
          <w:tcPr>
            <w:tcW w:w="4851" w:type="dxa"/>
          </w:tcPr>
          <w:p w14:paraId="5128E037" w14:textId="77777777" w:rsidR="00E06505" w:rsidRPr="00E06505" w:rsidRDefault="00E06505" w:rsidP="00E06505">
            <w:pPr>
              <w:spacing w:before="40" w:after="40" w:line="280" w:lineRule="atLeast"/>
              <w:rPr>
                <w:rFonts w:cs="Times New Roman"/>
              </w:rPr>
            </w:pPr>
            <w:r w:rsidRPr="00E06505">
              <w:rPr>
                <w:rFonts w:cs="Times New Roman"/>
              </w:rPr>
              <w:t>Communicate goals, priorities and vision, and recognise achievements</w:t>
            </w:r>
          </w:p>
        </w:tc>
        <w:tc>
          <w:tcPr>
            <w:tcW w:w="1668" w:type="dxa"/>
          </w:tcPr>
          <w:p w14:paraId="282E85C2" w14:textId="77777777" w:rsidR="00E06505" w:rsidRPr="00E06505" w:rsidRDefault="00E06505" w:rsidP="00E06505">
            <w:pPr>
              <w:spacing w:before="40" w:after="40" w:line="280" w:lineRule="atLeast"/>
              <w:rPr>
                <w:rFonts w:cs="Times New Roman"/>
              </w:rPr>
            </w:pPr>
            <w:r w:rsidRPr="00E06505">
              <w:rPr>
                <w:rFonts w:cs="Times New Roman"/>
              </w:rPr>
              <w:t>Adept</w:t>
            </w:r>
          </w:p>
        </w:tc>
      </w:tr>
      <w:tr w:rsidR="00E06505" w:rsidRPr="00E06505" w14:paraId="5EE7D85A" w14:textId="77777777" w:rsidTr="00FC58F8">
        <w:trPr>
          <w:cantSplit/>
        </w:trPr>
        <w:tc>
          <w:tcPr>
            <w:tcW w:w="1276" w:type="dxa"/>
          </w:tcPr>
          <w:p w14:paraId="4F9D9A6B"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522FAD7E" wp14:editId="0A1FAB18">
                  <wp:extent cx="416966" cy="416966"/>
                  <wp:effectExtent l="0" t="0" r="2540" b="2540"/>
                  <wp:docPr id="849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C39E86A" w14:textId="77777777" w:rsidR="00E06505" w:rsidRPr="00E06505" w:rsidRDefault="00E06505" w:rsidP="00E06505">
            <w:pPr>
              <w:spacing w:before="40" w:after="40" w:line="280" w:lineRule="atLeast"/>
              <w:rPr>
                <w:rFonts w:cs="Times New Roman"/>
              </w:rPr>
            </w:pPr>
            <w:r w:rsidRPr="00E06505">
              <w:rPr>
                <w:rFonts w:cs="Times New Roman"/>
              </w:rPr>
              <w:t>Optimise Business Outcomes</w:t>
            </w:r>
          </w:p>
        </w:tc>
        <w:tc>
          <w:tcPr>
            <w:tcW w:w="4851" w:type="dxa"/>
          </w:tcPr>
          <w:p w14:paraId="049619C8" w14:textId="77777777" w:rsidR="00E06505" w:rsidRPr="00E06505" w:rsidRDefault="00E06505" w:rsidP="00E06505">
            <w:pPr>
              <w:spacing w:before="40" w:after="40" w:line="280" w:lineRule="atLeast"/>
              <w:rPr>
                <w:rFonts w:cs="Times New Roman"/>
              </w:rPr>
            </w:pPr>
            <w:r w:rsidRPr="00E06505">
              <w:rPr>
                <w:rFonts w:cs="Times New Roman"/>
              </w:rPr>
              <w:t>Manage people and resources effectively to achieve public value</w:t>
            </w:r>
          </w:p>
        </w:tc>
        <w:tc>
          <w:tcPr>
            <w:tcW w:w="1668" w:type="dxa"/>
          </w:tcPr>
          <w:p w14:paraId="0D67B718" w14:textId="77777777" w:rsidR="00E06505" w:rsidRPr="00E06505" w:rsidRDefault="00E06505" w:rsidP="00E06505">
            <w:pPr>
              <w:spacing w:before="40" w:after="40" w:line="280" w:lineRule="atLeast"/>
              <w:rPr>
                <w:rFonts w:cs="Times New Roman"/>
              </w:rPr>
            </w:pPr>
            <w:r w:rsidRPr="00E06505">
              <w:rPr>
                <w:rFonts w:cs="Times New Roman"/>
              </w:rPr>
              <w:t>Intermediate</w:t>
            </w:r>
          </w:p>
        </w:tc>
      </w:tr>
      <w:tr w:rsidR="00E06505" w:rsidRPr="00E06505" w14:paraId="263AC3A7" w14:textId="77777777" w:rsidTr="00FC58F8">
        <w:trPr>
          <w:cantSplit/>
        </w:trPr>
        <w:tc>
          <w:tcPr>
            <w:tcW w:w="1276" w:type="dxa"/>
          </w:tcPr>
          <w:p w14:paraId="7F63DD37" w14:textId="77777777" w:rsidR="00E06505" w:rsidRPr="00E06505" w:rsidRDefault="00E06505" w:rsidP="00E06505">
            <w:pPr>
              <w:spacing w:after="120" w:line="260" w:lineRule="atLeast"/>
              <w:rPr>
                <w:rFonts w:cs="Times New Roman"/>
              </w:rPr>
            </w:pPr>
            <w:r w:rsidRPr="00E06505">
              <w:rPr>
                <w:rFonts w:cs="Times New Roman"/>
                <w:noProof/>
                <w:lang w:eastAsia="en-AU"/>
              </w:rPr>
              <w:drawing>
                <wp:inline distT="0" distB="0" distL="0" distR="0" wp14:anchorId="7BF375E8" wp14:editId="45FF3C58">
                  <wp:extent cx="416966" cy="416966"/>
                  <wp:effectExtent l="0" t="0" r="2540" b="2540"/>
                  <wp:docPr id="209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2A9618" w14:textId="77777777" w:rsidR="00E06505" w:rsidRPr="00E06505" w:rsidRDefault="00E06505" w:rsidP="00E06505">
            <w:pPr>
              <w:spacing w:before="40" w:after="40" w:line="280" w:lineRule="atLeast"/>
              <w:rPr>
                <w:rFonts w:cs="Times New Roman"/>
              </w:rPr>
            </w:pPr>
            <w:r w:rsidRPr="00E06505">
              <w:rPr>
                <w:rFonts w:cs="Times New Roman"/>
              </w:rPr>
              <w:t>Manage Reform and Change</w:t>
            </w:r>
          </w:p>
        </w:tc>
        <w:tc>
          <w:tcPr>
            <w:tcW w:w="4851" w:type="dxa"/>
          </w:tcPr>
          <w:p w14:paraId="3DCCEE29" w14:textId="77777777" w:rsidR="00E06505" w:rsidRPr="00E06505" w:rsidRDefault="00E06505" w:rsidP="00E06505">
            <w:pPr>
              <w:spacing w:before="40" w:after="40" w:line="280" w:lineRule="atLeast"/>
              <w:rPr>
                <w:rFonts w:cs="Times New Roman"/>
              </w:rPr>
            </w:pPr>
            <w:r w:rsidRPr="00E06505">
              <w:rPr>
                <w:rFonts w:cs="Times New Roman"/>
              </w:rPr>
              <w:t>Support, promote and champion change, and assist others to engage with change</w:t>
            </w:r>
          </w:p>
        </w:tc>
        <w:tc>
          <w:tcPr>
            <w:tcW w:w="1668" w:type="dxa"/>
          </w:tcPr>
          <w:p w14:paraId="79D973C2" w14:textId="77777777" w:rsidR="00E06505" w:rsidRPr="00E06505" w:rsidRDefault="00E06505" w:rsidP="00E06505">
            <w:pPr>
              <w:spacing w:before="40" w:after="40" w:line="280" w:lineRule="atLeast"/>
              <w:rPr>
                <w:rFonts w:cs="Times New Roman"/>
              </w:rPr>
            </w:pPr>
            <w:r w:rsidRPr="00E06505">
              <w:rPr>
                <w:rFonts w:cs="Times New Roman"/>
              </w:rPr>
              <w:t>Adept</w:t>
            </w:r>
          </w:p>
        </w:tc>
      </w:tr>
    </w:tbl>
    <w:p w14:paraId="37709FFB" w14:textId="77777777" w:rsidR="00E06505" w:rsidRPr="00E06505" w:rsidRDefault="00E06505" w:rsidP="00E06505">
      <w:pPr>
        <w:widowControl/>
        <w:autoSpaceDE/>
        <w:autoSpaceDN/>
        <w:spacing w:before="62" w:after="120" w:line="276" w:lineRule="auto"/>
        <w:rPr>
          <w:rFonts w:eastAsia="MS Mincho" w:cs="Times New Roman"/>
          <w:sz w:val="21"/>
        </w:rPr>
      </w:pPr>
    </w:p>
    <w:p w14:paraId="03C5E66A" w14:textId="77777777" w:rsidR="00BC349B" w:rsidRDefault="00BC349B">
      <w:pPr>
        <w:pStyle w:val="BodyText"/>
        <w:spacing w:before="8"/>
        <w:rPr>
          <w:sz w:val="17"/>
        </w:rPr>
      </w:pPr>
    </w:p>
    <w:sectPr w:rsidR="00BC349B">
      <w:pgSz w:w="12240" w:h="15840"/>
      <w:pgMar w:top="720" w:right="620" w:bottom="660" w:left="620" w:header="0"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CB9C" w14:textId="77777777" w:rsidR="00445283" w:rsidRDefault="00445283">
      <w:r>
        <w:separator/>
      </w:r>
    </w:p>
  </w:endnote>
  <w:endnote w:type="continuationSeparator" w:id="0">
    <w:p w14:paraId="3B5EA7F2" w14:textId="77777777" w:rsidR="00445283" w:rsidRDefault="0044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93E16" w14:textId="77777777" w:rsidR="00445283" w:rsidRDefault="00445283">
      <w:r>
        <w:separator/>
      </w:r>
    </w:p>
  </w:footnote>
  <w:footnote w:type="continuationSeparator" w:id="0">
    <w:p w14:paraId="31A23B4B" w14:textId="77777777" w:rsidR="00445283" w:rsidRDefault="0044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15523175"/>
    <w:multiLevelType w:val="hybridMultilevel"/>
    <w:tmpl w:val="088C2378"/>
    <w:lvl w:ilvl="0" w:tplc="130C287A">
      <w:numFmt w:val="bullet"/>
      <w:lvlText w:val=""/>
      <w:lvlJc w:val="left"/>
      <w:pPr>
        <w:ind w:left="1639" w:hanging="360"/>
      </w:pPr>
      <w:rPr>
        <w:rFonts w:ascii="Symbol" w:eastAsia="Symbol" w:hAnsi="Symbol" w:cs="Symbol" w:hint="default"/>
        <w:w w:val="99"/>
        <w:sz w:val="20"/>
        <w:szCs w:val="20"/>
      </w:rPr>
    </w:lvl>
    <w:lvl w:ilvl="1" w:tplc="1F5439C2">
      <w:numFmt w:val="bullet"/>
      <w:lvlText w:val="•"/>
      <w:lvlJc w:val="left"/>
      <w:pPr>
        <w:ind w:left="2260" w:hanging="360"/>
      </w:pPr>
      <w:rPr>
        <w:rFonts w:hint="default"/>
      </w:rPr>
    </w:lvl>
    <w:lvl w:ilvl="2" w:tplc="32A668B2">
      <w:numFmt w:val="bullet"/>
      <w:lvlText w:val="•"/>
      <w:lvlJc w:val="left"/>
      <w:pPr>
        <w:ind w:left="2881" w:hanging="360"/>
      </w:pPr>
      <w:rPr>
        <w:rFonts w:hint="default"/>
      </w:rPr>
    </w:lvl>
    <w:lvl w:ilvl="3" w:tplc="0C38105A">
      <w:numFmt w:val="bullet"/>
      <w:lvlText w:val="•"/>
      <w:lvlJc w:val="left"/>
      <w:pPr>
        <w:ind w:left="3502" w:hanging="360"/>
      </w:pPr>
      <w:rPr>
        <w:rFonts w:hint="default"/>
      </w:rPr>
    </w:lvl>
    <w:lvl w:ilvl="4" w:tplc="CCC8A4BE">
      <w:numFmt w:val="bullet"/>
      <w:lvlText w:val="•"/>
      <w:lvlJc w:val="left"/>
      <w:pPr>
        <w:ind w:left="4123" w:hanging="360"/>
      </w:pPr>
      <w:rPr>
        <w:rFonts w:hint="default"/>
      </w:rPr>
    </w:lvl>
    <w:lvl w:ilvl="5" w:tplc="9C560F86">
      <w:numFmt w:val="bullet"/>
      <w:lvlText w:val="•"/>
      <w:lvlJc w:val="left"/>
      <w:pPr>
        <w:ind w:left="4744" w:hanging="360"/>
      </w:pPr>
      <w:rPr>
        <w:rFonts w:hint="default"/>
      </w:rPr>
    </w:lvl>
    <w:lvl w:ilvl="6" w:tplc="D5128DCA">
      <w:numFmt w:val="bullet"/>
      <w:lvlText w:val="•"/>
      <w:lvlJc w:val="left"/>
      <w:pPr>
        <w:ind w:left="5365" w:hanging="360"/>
      </w:pPr>
      <w:rPr>
        <w:rFonts w:hint="default"/>
      </w:rPr>
    </w:lvl>
    <w:lvl w:ilvl="7" w:tplc="0BC4C77C">
      <w:numFmt w:val="bullet"/>
      <w:lvlText w:val="•"/>
      <w:lvlJc w:val="left"/>
      <w:pPr>
        <w:ind w:left="5986" w:hanging="360"/>
      </w:pPr>
      <w:rPr>
        <w:rFonts w:hint="default"/>
      </w:rPr>
    </w:lvl>
    <w:lvl w:ilvl="8" w:tplc="9418FEEE">
      <w:numFmt w:val="bullet"/>
      <w:lvlText w:val="•"/>
      <w:lvlJc w:val="left"/>
      <w:pPr>
        <w:ind w:left="6607" w:hanging="360"/>
      </w:pPr>
      <w:rPr>
        <w:rFonts w:hint="default"/>
      </w:rPr>
    </w:lvl>
  </w:abstractNum>
  <w:abstractNum w:abstractNumId="2" w15:restartNumberingAfterBreak="0">
    <w:nsid w:val="15FE69FB"/>
    <w:multiLevelType w:val="hybridMultilevel"/>
    <w:tmpl w:val="340409A4"/>
    <w:lvl w:ilvl="0" w:tplc="231ADEE6">
      <w:numFmt w:val="bullet"/>
      <w:lvlText w:val=""/>
      <w:lvlJc w:val="left"/>
      <w:pPr>
        <w:ind w:left="1191" w:hanging="284"/>
      </w:pPr>
      <w:rPr>
        <w:rFonts w:ascii="Symbol" w:eastAsia="Symbol" w:hAnsi="Symbol" w:cs="Symbol" w:hint="default"/>
        <w:w w:val="99"/>
        <w:sz w:val="20"/>
        <w:szCs w:val="20"/>
      </w:rPr>
    </w:lvl>
    <w:lvl w:ilvl="1" w:tplc="9D2ABD08">
      <w:numFmt w:val="bullet"/>
      <w:lvlText w:val="•"/>
      <w:lvlJc w:val="left"/>
      <w:pPr>
        <w:ind w:left="1741" w:hanging="284"/>
      </w:pPr>
      <w:rPr>
        <w:rFonts w:hint="default"/>
      </w:rPr>
    </w:lvl>
    <w:lvl w:ilvl="2" w:tplc="9514983E">
      <w:numFmt w:val="bullet"/>
      <w:lvlText w:val="•"/>
      <w:lvlJc w:val="left"/>
      <w:pPr>
        <w:ind w:left="2282" w:hanging="284"/>
      </w:pPr>
      <w:rPr>
        <w:rFonts w:hint="default"/>
      </w:rPr>
    </w:lvl>
    <w:lvl w:ilvl="3" w:tplc="F0D0053A">
      <w:numFmt w:val="bullet"/>
      <w:lvlText w:val="•"/>
      <w:lvlJc w:val="left"/>
      <w:pPr>
        <w:ind w:left="2823" w:hanging="284"/>
      </w:pPr>
      <w:rPr>
        <w:rFonts w:hint="default"/>
      </w:rPr>
    </w:lvl>
    <w:lvl w:ilvl="4" w:tplc="BA76CE56">
      <w:numFmt w:val="bullet"/>
      <w:lvlText w:val="•"/>
      <w:lvlJc w:val="left"/>
      <w:pPr>
        <w:ind w:left="3364" w:hanging="284"/>
      </w:pPr>
      <w:rPr>
        <w:rFonts w:hint="default"/>
      </w:rPr>
    </w:lvl>
    <w:lvl w:ilvl="5" w:tplc="36C0E018">
      <w:numFmt w:val="bullet"/>
      <w:lvlText w:val="•"/>
      <w:lvlJc w:val="left"/>
      <w:pPr>
        <w:ind w:left="3905" w:hanging="284"/>
      </w:pPr>
      <w:rPr>
        <w:rFonts w:hint="default"/>
      </w:rPr>
    </w:lvl>
    <w:lvl w:ilvl="6" w:tplc="B9B4DC86">
      <w:numFmt w:val="bullet"/>
      <w:lvlText w:val="•"/>
      <w:lvlJc w:val="left"/>
      <w:pPr>
        <w:ind w:left="4446" w:hanging="284"/>
      </w:pPr>
      <w:rPr>
        <w:rFonts w:hint="default"/>
      </w:rPr>
    </w:lvl>
    <w:lvl w:ilvl="7" w:tplc="84FE6D1C">
      <w:numFmt w:val="bullet"/>
      <w:lvlText w:val="•"/>
      <w:lvlJc w:val="left"/>
      <w:pPr>
        <w:ind w:left="4987" w:hanging="284"/>
      </w:pPr>
      <w:rPr>
        <w:rFonts w:hint="default"/>
      </w:rPr>
    </w:lvl>
    <w:lvl w:ilvl="8" w:tplc="5A1C40B2">
      <w:numFmt w:val="bullet"/>
      <w:lvlText w:val="•"/>
      <w:lvlJc w:val="left"/>
      <w:pPr>
        <w:ind w:left="5528" w:hanging="284"/>
      </w:pPr>
      <w:rPr>
        <w:rFonts w:hint="default"/>
      </w:rPr>
    </w:lvl>
  </w:abstractNum>
  <w:abstractNum w:abstractNumId="3" w15:restartNumberingAfterBreak="0">
    <w:nsid w:val="18035955"/>
    <w:multiLevelType w:val="hybridMultilevel"/>
    <w:tmpl w:val="D2905448"/>
    <w:lvl w:ilvl="0" w:tplc="CB18017A">
      <w:numFmt w:val="bullet"/>
      <w:lvlText w:val=""/>
      <w:lvlJc w:val="left"/>
      <w:pPr>
        <w:ind w:left="1639" w:hanging="360"/>
      </w:pPr>
      <w:rPr>
        <w:rFonts w:ascii="Symbol" w:eastAsia="Symbol" w:hAnsi="Symbol" w:cs="Symbol" w:hint="default"/>
        <w:w w:val="99"/>
        <w:sz w:val="20"/>
        <w:szCs w:val="20"/>
      </w:rPr>
    </w:lvl>
    <w:lvl w:ilvl="1" w:tplc="04963BC6">
      <w:numFmt w:val="bullet"/>
      <w:lvlText w:val="•"/>
      <w:lvlJc w:val="left"/>
      <w:pPr>
        <w:ind w:left="2260" w:hanging="360"/>
      </w:pPr>
      <w:rPr>
        <w:rFonts w:hint="default"/>
      </w:rPr>
    </w:lvl>
    <w:lvl w:ilvl="2" w:tplc="8680800E">
      <w:numFmt w:val="bullet"/>
      <w:lvlText w:val="•"/>
      <w:lvlJc w:val="left"/>
      <w:pPr>
        <w:ind w:left="2881" w:hanging="360"/>
      </w:pPr>
      <w:rPr>
        <w:rFonts w:hint="default"/>
      </w:rPr>
    </w:lvl>
    <w:lvl w:ilvl="3" w:tplc="31DE655C">
      <w:numFmt w:val="bullet"/>
      <w:lvlText w:val="•"/>
      <w:lvlJc w:val="left"/>
      <w:pPr>
        <w:ind w:left="3502" w:hanging="360"/>
      </w:pPr>
      <w:rPr>
        <w:rFonts w:hint="default"/>
      </w:rPr>
    </w:lvl>
    <w:lvl w:ilvl="4" w:tplc="D8CA3B32">
      <w:numFmt w:val="bullet"/>
      <w:lvlText w:val="•"/>
      <w:lvlJc w:val="left"/>
      <w:pPr>
        <w:ind w:left="4123" w:hanging="360"/>
      </w:pPr>
      <w:rPr>
        <w:rFonts w:hint="default"/>
      </w:rPr>
    </w:lvl>
    <w:lvl w:ilvl="5" w:tplc="50E4CB1E">
      <w:numFmt w:val="bullet"/>
      <w:lvlText w:val="•"/>
      <w:lvlJc w:val="left"/>
      <w:pPr>
        <w:ind w:left="4744" w:hanging="360"/>
      </w:pPr>
      <w:rPr>
        <w:rFonts w:hint="default"/>
      </w:rPr>
    </w:lvl>
    <w:lvl w:ilvl="6" w:tplc="FBE2A640">
      <w:numFmt w:val="bullet"/>
      <w:lvlText w:val="•"/>
      <w:lvlJc w:val="left"/>
      <w:pPr>
        <w:ind w:left="5365" w:hanging="360"/>
      </w:pPr>
      <w:rPr>
        <w:rFonts w:hint="default"/>
      </w:rPr>
    </w:lvl>
    <w:lvl w:ilvl="7" w:tplc="60400EBA">
      <w:numFmt w:val="bullet"/>
      <w:lvlText w:val="•"/>
      <w:lvlJc w:val="left"/>
      <w:pPr>
        <w:ind w:left="5986" w:hanging="360"/>
      </w:pPr>
      <w:rPr>
        <w:rFonts w:hint="default"/>
      </w:rPr>
    </w:lvl>
    <w:lvl w:ilvl="8" w:tplc="4808A794">
      <w:numFmt w:val="bullet"/>
      <w:lvlText w:val="•"/>
      <w:lvlJc w:val="left"/>
      <w:pPr>
        <w:ind w:left="6607" w:hanging="360"/>
      </w:pPr>
      <w:rPr>
        <w:rFonts w:hint="default"/>
      </w:rPr>
    </w:lvl>
  </w:abstractNum>
  <w:abstractNum w:abstractNumId="4" w15:restartNumberingAfterBreak="0">
    <w:nsid w:val="21D75F4C"/>
    <w:multiLevelType w:val="hybridMultilevel"/>
    <w:tmpl w:val="7D50FECA"/>
    <w:lvl w:ilvl="0" w:tplc="32D2E986">
      <w:numFmt w:val="bullet"/>
      <w:lvlText w:val=""/>
      <w:lvlJc w:val="left"/>
      <w:pPr>
        <w:ind w:left="840" w:hanging="361"/>
      </w:pPr>
      <w:rPr>
        <w:rFonts w:ascii="Symbol" w:eastAsia="Symbol" w:hAnsi="Symbol" w:cs="Symbol" w:hint="default"/>
        <w:w w:val="100"/>
        <w:sz w:val="22"/>
        <w:szCs w:val="22"/>
      </w:rPr>
    </w:lvl>
    <w:lvl w:ilvl="1" w:tplc="6010B3DC">
      <w:numFmt w:val="bullet"/>
      <w:lvlText w:val="•"/>
      <w:lvlJc w:val="left"/>
      <w:pPr>
        <w:ind w:left="1856" w:hanging="361"/>
      </w:pPr>
      <w:rPr>
        <w:rFonts w:hint="default"/>
      </w:rPr>
    </w:lvl>
    <w:lvl w:ilvl="2" w:tplc="6C9C2040">
      <w:numFmt w:val="bullet"/>
      <w:lvlText w:val="•"/>
      <w:lvlJc w:val="left"/>
      <w:pPr>
        <w:ind w:left="2872" w:hanging="361"/>
      </w:pPr>
      <w:rPr>
        <w:rFonts w:hint="default"/>
      </w:rPr>
    </w:lvl>
    <w:lvl w:ilvl="3" w:tplc="96A4A6AE">
      <w:numFmt w:val="bullet"/>
      <w:lvlText w:val="•"/>
      <w:lvlJc w:val="left"/>
      <w:pPr>
        <w:ind w:left="3888" w:hanging="361"/>
      </w:pPr>
      <w:rPr>
        <w:rFonts w:hint="default"/>
      </w:rPr>
    </w:lvl>
    <w:lvl w:ilvl="4" w:tplc="07BC38A4">
      <w:numFmt w:val="bullet"/>
      <w:lvlText w:val="•"/>
      <w:lvlJc w:val="left"/>
      <w:pPr>
        <w:ind w:left="4904" w:hanging="361"/>
      </w:pPr>
      <w:rPr>
        <w:rFonts w:hint="default"/>
      </w:rPr>
    </w:lvl>
    <w:lvl w:ilvl="5" w:tplc="45F06398">
      <w:numFmt w:val="bullet"/>
      <w:lvlText w:val="•"/>
      <w:lvlJc w:val="left"/>
      <w:pPr>
        <w:ind w:left="5920" w:hanging="361"/>
      </w:pPr>
      <w:rPr>
        <w:rFonts w:hint="default"/>
      </w:rPr>
    </w:lvl>
    <w:lvl w:ilvl="6" w:tplc="32069A72">
      <w:numFmt w:val="bullet"/>
      <w:lvlText w:val="•"/>
      <w:lvlJc w:val="left"/>
      <w:pPr>
        <w:ind w:left="6936" w:hanging="361"/>
      </w:pPr>
      <w:rPr>
        <w:rFonts w:hint="default"/>
      </w:rPr>
    </w:lvl>
    <w:lvl w:ilvl="7" w:tplc="8520A772">
      <w:numFmt w:val="bullet"/>
      <w:lvlText w:val="•"/>
      <w:lvlJc w:val="left"/>
      <w:pPr>
        <w:ind w:left="7952" w:hanging="361"/>
      </w:pPr>
      <w:rPr>
        <w:rFonts w:hint="default"/>
      </w:rPr>
    </w:lvl>
    <w:lvl w:ilvl="8" w:tplc="4B963CC2">
      <w:numFmt w:val="bullet"/>
      <w:lvlText w:val="•"/>
      <w:lvlJc w:val="left"/>
      <w:pPr>
        <w:ind w:left="8968" w:hanging="361"/>
      </w:pPr>
      <w:rPr>
        <w:rFont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B7340"/>
    <w:multiLevelType w:val="hybridMultilevel"/>
    <w:tmpl w:val="3EA25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E69E3"/>
    <w:multiLevelType w:val="hybridMultilevel"/>
    <w:tmpl w:val="EA30CBE2"/>
    <w:lvl w:ilvl="0" w:tplc="49F0F47E">
      <w:numFmt w:val="bullet"/>
      <w:lvlText w:val=""/>
      <w:lvlJc w:val="left"/>
      <w:pPr>
        <w:ind w:left="1191" w:hanging="284"/>
      </w:pPr>
      <w:rPr>
        <w:rFonts w:ascii="Symbol" w:eastAsia="Symbol" w:hAnsi="Symbol" w:cs="Symbol" w:hint="default"/>
        <w:w w:val="99"/>
        <w:sz w:val="20"/>
        <w:szCs w:val="20"/>
      </w:rPr>
    </w:lvl>
    <w:lvl w:ilvl="1" w:tplc="3E0A6034">
      <w:numFmt w:val="bullet"/>
      <w:lvlText w:val="•"/>
      <w:lvlJc w:val="left"/>
      <w:pPr>
        <w:ind w:left="1741" w:hanging="284"/>
      </w:pPr>
      <w:rPr>
        <w:rFonts w:hint="default"/>
      </w:rPr>
    </w:lvl>
    <w:lvl w:ilvl="2" w:tplc="2C8A0414">
      <w:numFmt w:val="bullet"/>
      <w:lvlText w:val="•"/>
      <w:lvlJc w:val="left"/>
      <w:pPr>
        <w:ind w:left="2282" w:hanging="284"/>
      </w:pPr>
      <w:rPr>
        <w:rFonts w:hint="default"/>
      </w:rPr>
    </w:lvl>
    <w:lvl w:ilvl="3" w:tplc="D41488CE">
      <w:numFmt w:val="bullet"/>
      <w:lvlText w:val="•"/>
      <w:lvlJc w:val="left"/>
      <w:pPr>
        <w:ind w:left="2823" w:hanging="284"/>
      </w:pPr>
      <w:rPr>
        <w:rFonts w:hint="default"/>
      </w:rPr>
    </w:lvl>
    <w:lvl w:ilvl="4" w:tplc="B170C6A0">
      <w:numFmt w:val="bullet"/>
      <w:lvlText w:val="•"/>
      <w:lvlJc w:val="left"/>
      <w:pPr>
        <w:ind w:left="3364" w:hanging="284"/>
      </w:pPr>
      <w:rPr>
        <w:rFonts w:hint="default"/>
      </w:rPr>
    </w:lvl>
    <w:lvl w:ilvl="5" w:tplc="8A78B1F0">
      <w:numFmt w:val="bullet"/>
      <w:lvlText w:val="•"/>
      <w:lvlJc w:val="left"/>
      <w:pPr>
        <w:ind w:left="3905" w:hanging="284"/>
      </w:pPr>
      <w:rPr>
        <w:rFonts w:hint="default"/>
      </w:rPr>
    </w:lvl>
    <w:lvl w:ilvl="6" w:tplc="B9C8BA4A">
      <w:numFmt w:val="bullet"/>
      <w:lvlText w:val="•"/>
      <w:lvlJc w:val="left"/>
      <w:pPr>
        <w:ind w:left="4446" w:hanging="284"/>
      </w:pPr>
      <w:rPr>
        <w:rFonts w:hint="default"/>
      </w:rPr>
    </w:lvl>
    <w:lvl w:ilvl="7" w:tplc="3F0E6814">
      <w:numFmt w:val="bullet"/>
      <w:lvlText w:val="•"/>
      <w:lvlJc w:val="left"/>
      <w:pPr>
        <w:ind w:left="4987" w:hanging="284"/>
      </w:pPr>
      <w:rPr>
        <w:rFonts w:hint="default"/>
      </w:rPr>
    </w:lvl>
    <w:lvl w:ilvl="8" w:tplc="63DE995C">
      <w:numFmt w:val="bullet"/>
      <w:lvlText w:val="•"/>
      <w:lvlJc w:val="left"/>
      <w:pPr>
        <w:ind w:left="5528" w:hanging="284"/>
      </w:pPr>
      <w:rPr>
        <w:rFonts w:hint="default"/>
      </w:rPr>
    </w:lvl>
  </w:abstractNum>
  <w:abstractNum w:abstractNumId="8" w15:restartNumberingAfterBreak="0">
    <w:nsid w:val="301D7AE7"/>
    <w:multiLevelType w:val="hybridMultilevel"/>
    <w:tmpl w:val="3980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FF73B8"/>
    <w:multiLevelType w:val="hybridMultilevel"/>
    <w:tmpl w:val="6EC85EF6"/>
    <w:lvl w:ilvl="0" w:tplc="6472EAC2">
      <w:numFmt w:val="bullet"/>
      <w:lvlText w:val=""/>
      <w:lvlJc w:val="left"/>
      <w:pPr>
        <w:ind w:left="1640" w:hanging="360"/>
      </w:pPr>
      <w:rPr>
        <w:rFonts w:ascii="Symbol" w:eastAsia="Symbol" w:hAnsi="Symbol" w:cs="Symbol" w:hint="default"/>
        <w:w w:val="99"/>
        <w:sz w:val="20"/>
        <w:szCs w:val="20"/>
      </w:rPr>
    </w:lvl>
    <w:lvl w:ilvl="1" w:tplc="D81C360C">
      <w:numFmt w:val="bullet"/>
      <w:lvlText w:val="•"/>
      <w:lvlJc w:val="left"/>
      <w:pPr>
        <w:ind w:left="2260" w:hanging="360"/>
      </w:pPr>
      <w:rPr>
        <w:rFonts w:hint="default"/>
      </w:rPr>
    </w:lvl>
    <w:lvl w:ilvl="2" w:tplc="E794D9C4">
      <w:numFmt w:val="bullet"/>
      <w:lvlText w:val="•"/>
      <w:lvlJc w:val="left"/>
      <w:pPr>
        <w:ind w:left="2881" w:hanging="360"/>
      </w:pPr>
      <w:rPr>
        <w:rFonts w:hint="default"/>
      </w:rPr>
    </w:lvl>
    <w:lvl w:ilvl="3" w:tplc="F0C44B02">
      <w:numFmt w:val="bullet"/>
      <w:lvlText w:val="•"/>
      <w:lvlJc w:val="left"/>
      <w:pPr>
        <w:ind w:left="3502" w:hanging="360"/>
      </w:pPr>
      <w:rPr>
        <w:rFonts w:hint="default"/>
      </w:rPr>
    </w:lvl>
    <w:lvl w:ilvl="4" w:tplc="0E8C5692">
      <w:numFmt w:val="bullet"/>
      <w:lvlText w:val="•"/>
      <w:lvlJc w:val="left"/>
      <w:pPr>
        <w:ind w:left="4123" w:hanging="360"/>
      </w:pPr>
      <w:rPr>
        <w:rFonts w:hint="default"/>
      </w:rPr>
    </w:lvl>
    <w:lvl w:ilvl="5" w:tplc="7A8CEB1C">
      <w:numFmt w:val="bullet"/>
      <w:lvlText w:val="•"/>
      <w:lvlJc w:val="left"/>
      <w:pPr>
        <w:ind w:left="4744" w:hanging="360"/>
      </w:pPr>
      <w:rPr>
        <w:rFonts w:hint="default"/>
      </w:rPr>
    </w:lvl>
    <w:lvl w:ilvl="6" w:tplc="36D86AE8">
      <w:numFmt w:val="bullet"/>
      <w:lvlText w:val="•"/>
      <w:lvlJc w:val="left"/>
      <w:pPr>
        <w:ind w:left="5365" w:hanging="360"/>
      </w:pPr>
      <w:rPr>
        <w:rFonts w:hint="default"/>
      </w:rPr>
    </w:lvl>
    <w:lvl w:ilvl="7" w:tplc="E84A0A9A">
      <w:numFmt w:val="bullet"/>
      <w:lvlText w:val="•"/>
      <w:lvlJc w:val="left"/>
      <w:pPr>
        <w:ind w:left="5986" w:hanging="360"/>
      </w:pPr>
      <w:rPr>
        <w:rFonts w:hint="default"/>
      </w:rPr>
    </w:lvl>
    <w:lvl w:ilvl="8" w:tplc="1D8031F8">
      <w:numFmt w:val="bullet"/>
      <w:lvlText w:val="•"/>
      <w:lvlJc w:val="left"/>
      <w:pPr>
        <w:ind w:left="6607" w:hanging="360"/>
      </w:pPr>
      <w:rPr>
        <w:rFonts w:hint="default"/>
      </w:rPr>
    </w:lvl>
  </w:abstractNum>
  <w:abstractNum w:abstractNumId="10" w15:restartNumberingAfterBreak="0">
    <w:nsid w:val="627C071D"/>
    <w:multiLevelType w:val="hybridMultilevel"/>
    <w:tmpl w:val="464A0B3E"/>
    <w:lvl w:ilvl="0" w:tplc="A376917A">
      <w:numFmt w:val="bullet"/>
      <w:lvlText w:val=""/>
      <w:lvlJc w:val="left"/>
      <w:pPr>
        <w:ind w:left="820" w:hanging="361"/>
      </w:pPr>
      <w:rPr>
        <w:rFonts w:ascii="Symbol" w:eastAsia="Symbol" w:hAnsi="Symbol" w:cs="Symbol" w:hint="default"/>
        <w:w w:val="100"/>
        <w:sz w:val="22"/>
        <w:szCs w:val="22"/>
      </w:rPr>
    </w:lvl>
    <w:lvl w:ilvl="1" w:tplc="6B02B71E">
      <w:numFmt w:val="bullet"/>
      <w:lvlText w:val="•"/>
      <w:lvlJc w:val="left"/>
      <w:pPr>
        <w:ind w:left="1836" w:hanging="361"/>
      </w:pPr>
      <w:rPr>
        <w:rFonts w:hint="default"/>
      </w:rPr>
    </w:lvl>
    <w:lvl w:ilvl="2" w:tplc="A84E6876">
      <w:numFmt w:val="bullet"/>
      <w:lvlText w:val="•"/>
      <w:lvlJc w:val="left"/>
      <w:pPr>
        <w:ind w:left="2852" w:hanging="361"/>
      </w:pPr>
      <w:rPr>
        <w:rFonts w:hint="default"/>
      </w:rPr>
    </w:lvl>
    <w:lvl w:ilvl="3" w:tplc="E7BA54B0">
      <w:numFmt w:val="bullet"/>
      <w:lvlText w:val="•"/>
      <w:lvlJc w:val="left"/>
      <w:pPr>
        <w:ind w:left="3868" w:hanging="361"/>
      </w:pPr>
      <w:rPr>
        <w:rFonts w:hint="default"/>
      </w:rPr>
    </w:lvl>
    <w:lvl w:ilvl="4" w:tplc="54802770">
      <w:numFmt w:val="bullet"/>
      <w:lvlText w:val="•"/>
      <w:lvlJc w:val="left"/>
      <w:pPr>
        <w:ind w:left="4884" w:hanging="361"/>
      </w:pPr>
      <w:rPr>
        <w:rFonts w:hint="default"/>
      </w:rPr>
    </w:lvl>
    <w:lvl w:ilvl="5" w:tplc="5600C5A4">
      <w:numFmt w:val="bullet"/>
      <w:lvlText w:val="•"/>
      <w:lvlJc w:val="left"/>
      <w:pPr>
        <w:ind w:left="5900" w:hanging="361"/>
      </w:pPr>
      <w:rPr>
        <w:rFonts w:hint="default"/>
      </w:rPr>
    </w:lvl>
    <w:lvl w:ilvl="6" w:tplc="B0AE79C2">
      <w:numFmt w:val="bullet"/>
      <w:lvlText w:val="•"/>
      <w:lvlJc w:val="left"/>
      <w:pPr>
        <w:ind w:left="6916" w:hanging="361"/>
      </w:pPr>
      <w:rPr>
        <w:rFonts w:hint="default"/>
      </w:rPr>
    </w:lvl>
    <w:lvl w:ilvl="7" w:tplc="8320070A">
      <w:numFmt w:val="bullet"/>
      <w:lvlText w:val="•"/>
      <w:lvlJc w:val="left"/>
      <w:pPr>
        <w:ind w:left="7932" w:hanging="361"/>
      </w:pPr>
      <w:rPr>
        <w:rFonts w:hint="default"/>
      </w:rPr>
    </w:lvl>
    <w:lvl w:ilvl="8" w:tplc="6C8A42A4">
      <w:numFmt w:val="bullet"/>
      <w:lvlText w:val="•"/>
      <w:lvlJc w:val="left"/>
      <w:pPr>
        <w:ind w:left="8948" w:hanging="361"/>
      </w:pPr>
      <w:rPr>
        <w:rFonts w:hint="default"/>
      </w:rPr>
    </w:lvl>
  </w:abstractNum>
  <w:abstractNum w:abstractNumId="11" w15:restartNumberingAfterBreak="0">
    <w:nsid w:val="6619126B"/>
    <w:multiLevelType w:val="hybridMultilevel"/>
    <w:tmpl w:val="7B804D3E"/>
    <w:lvl w:ilvl="0" w:tplc="C3202A80">
      <w:numFmt w:val="bullet"/>
      <w:lvlText w:val=""/>
      <w:lvlJc w:val="left"/>
      <w:pPr>
        <w:ind w:left="1192" w:hanging="284"/>
      </w:pPr>
      <w:rPr>
        <w:rFonts w:ascii="Symbol" w:eastAsia="Symbol" w:hAnsi="Symbol" w:cs="Symbol" w:hint="default"/>
        <w:w w:val="99"/>
        <w:sz w:val="20"/>
        <w:szCs w:val="20"/>
      </w:rPr>
    </w:lvl>
    <w:lvl w:ilvl="1" w:tplc="DEEE0184">
      <w:numFmt w:val="bullet"/>
      <w:lvlText w:val="•"/>
      <w:lvlJc w:val="left"/>
      <w:pPr>
        <w:ind w:left="1741" w:hanging="284"/>
      </w:pPr>
      <w:rPr>
        <w:rFonts w:hint="default"/>
      </w:rPr>
    </w:lvl>
    <w:lvl w:ilvl="2" w:tplc="71BCD9EC">
      <w:numFmt w:val="bullet"/>
      <w:lvlText w:val="•"/>
      <w:lvlJc w:val="left"/>
      <w:pPr>
        <w:ind w:left="2282" w:hanging="284"/>
      </w:pPr>
      <w:rPr>
        <w:rFonts w:hint="default"/>
      </w:rPr>
    </w:lvl>
    <w:lvl w:ilvl="3" w:tplc="C138F884">
      <w:numFmt w:val="bullet"/>
      <w:lvlText w:val="•"/>
      <w:lvlJc w:val="left"/>
      <w:pPr>
        <w:ind w:left="2823" w:hanging="284"/>
      </w:pPr>
      <w:rPr>
        <w:rFonts w:hint="default"/>
      </w:rPr>
    </w:lvl>
    <w:lvl w:ilvl="4" w:tplc="69A43512">
      <w:numFmt w:val="bullet"/>
      <w:lvlText w:val="•"/>
      <w:lvlJc w:val="left"/>
      <w:pPr>
        <w:ind w:left="3364" w:hanging="284"/>
      </w:pPr>
      <w:rPr>
        <w:rFonts w:hint="default"/>
      </w:rPr>
    </w:lvl>
    <w:lvl w:ilvl="5" w:tplc="3B5EE150">
      <w:numFmt w:val="bullet"/>
      <w:lvlText w:val="•"/>
      <w:lvlJc w:val="left"/>
      <w:pPr>
        <w:ind w:left="3905" w:hanging="284"/>
      </w:pPr>
      <w:rPr>
        <w:rFonts w:hint="default"/>
      </w:rPr>
    </w:lvl>
    <w:lvl w:ilvl="6" w:tplc="6AC4684A">
      <w:numFmt w:val="bullet"/>
      <w:lvlText w:val="•"/>
      <w:lvlJc w:val="left"/>
      <w:pPr>
        <w:ind w:left="4446" w:hanging="284"/>
      </w:pPr>
      <w:rPr>
        <w:rFonts w:hint="default"/>
      </w:rPr>
    </w:lvl>
    <w:lvl w:ilvl="7" w:tplc="44AAA6D0">
      <w:numFmt w:val="bullet"/>
      <w:lvlText w:val="•"/>
      <w:lvlJc w:val="left"/>
      <w:pPr>
        <w:ind w:left="4987" w:hanging="284"/>
      </w:pPr>
      <w:rPr>
        <w:rFonts w:hint="default"/>
      </w:rPr>
    </w:lvl>
    <w:lvl w:ilvl="8" w:tplc="FB0242AA">
      <w:numFmt w:val="bullet"/>
      <w:lvlText w:val="•"/>
      <w:lvlJc w:val="left"/>
      <w:pPr>
        <w:ind w:left="5528" w:hanging="284"/>
      </w:pPr>
      <w:rPr>
        <w:rFonts w:hint="default"/>
      </w:rPr>
    </w:lvl>
  </w:abstractNum>
  <w:abstractNum w:abstractNumId="12" w15:restartNumberingAfterBreak="0">
    <w:nsid w:val="67FB5C10"/>
    <w:multiLevelType w:val="hybridMultilevel"/>
    <w:tmpl w:val="3FA0597A"/>
    <w:lvl w:ilvl="0" w:tplc="F03CABFE">
      <w:numFmt w:val="bullet"/>
      <w:lvlText w:val=""/>
      <w:lvlJc w:val="left"/>
      <w:pPr>
        <w:ind w:left="5380" w:hanging="284"/>
      </w:pPr>
      <w:rPr>
        <w:rFonts w:ascii="Symbol" w:eastAsia="Symbol" w:hAnsi="Symbol" w:cs="Symbol" w:hint="default"/>
        <w:w w:val="99"/>
        <w:sz w:val="20"/>
        <w:szCs w:val="20"/>
      </w:rPr>
    </w:lvl>
    <w:lvl w:ilvl="1" w:tplc="A0788560">
      <w:numFmt w:val="bullet"/>
      <w:lvlText w:val="•"/>
      <w:lvlJc w:val="left"/>
      <w:pPr>
        <w:ind w:left="5922" w:hanging="284"/>
      </w:pPr>
      <w:rPr>
        <w:rFonts w:hint="default"/>
      </w:rPr>
    </w:lvl>
    <w:lvl w:ilvl="2" w:tplc="385A58B8">
      <w:numFmt w:val="bullet"/>
      <w:lvlText w:val="•"/>
      <w:lvlJc w:val="left"/>
      <w:pPr>
        <w:ind w:left="6464" w:hanging="284"/>
      </w:pPr>
      <w:rPr>
        <w:rFonts w:hint="default"/>
      </w:rPr>
    </w:lvl>
    <w:lvl w:ilvl="3" w:tplc="E18AFB8C">
      <w:numFmt w:val="bullet"/>
      <w:lvlText w:val="•"/>
      <w:lvlJc w:val="left"/>
      <w:pPr>
        <w:ind w:left="7006" w:hanging="284"/>
      </w:pPr>
      <w:rPr>
        <w:rFonts w:hint="default"/>
      </w:rPr>
    </w:lvl>
    <w:lvl w:ilvl="4" w:tplc="BE38F5C2">
      <w:numFmt w:val="bullet"/>
      <w:lvlText w:val="•"/>
      <w:lvlJc w:val="left"/>
      <w:pPr>
        <w:ind w:left="7548" w:hanging="284"/>
      </w:pPr>
      <w:rPr>
        <w:rFonts w:hint="default"/>
      </w:rPr>
    </w:lvl>
    <w:lvl w:ilvl="5" w:tplc="C1489440">
      <w:numFmt w:val="bullet"/>
      <w:lvlText w:val="•"/>
      <w:lvlJc w:val="left"/>
      <w:pPr>
        <w:ind w:left="8090" w:hanging="284"/>
      </w:pPr>
      <w:rPr>
        <w:rFonts w:hint="default"/>
      </w:rPr>
    </w:lvl>
    <w:lvl w:ilvl="6" w:tplc="F9C820B8">
      <w:numFmt w:val="bullet"/>
      <w:lvlText w:val="•"/>
      <w:lvlJc w:val="left"/>
      <w:pPr>
        <w:ind w:left="8632" w:hanging="284"/>
      </w:pPr>
      <w:rPr>
        <w:rFonts w:hint="default"/>
      </w:rPr>
    </w:lvl>
    <w:lvl w:ilvl="7" w:tplc="B94AE2B0">
      <w:numFmt w:val="bullet"/>
      <w:lvlText w:val="•"/>
      <w:lvlJc w:val="left"/>
      <w:pPr>
        <w:ind w:left="9174" w:hanging="284"/>
      </w:pPr>
      <w:rPr>
        <w:rFonts w:hint="default"/>
      </w:rPr>
    </w:lvl>
    <w:lvl w:ilvl="8" w:tplc="27123568">
      <w:numFmt w:val="bullet"/>
      <w:lvlText w:val="•"/>
      <w:lvlJc w:val="left"/>
      <w:pPr>
        <w:ind w:left="9716" w:hanging="284"/>
      </w:pPr>
      <w:rPr>
        <w:rFonts w:hint="default"/>
      </w:rPr>
    </w:lvl>
  </w:abstractNum>
  <w:abstractNum w:abstractNumId="13" w15:restartNumberingAfterBreak="0">
    <w:nsid w:val="6F124C51"/>
    <w:multiLevelType w:val="hybridMultilevel"/>
    <w:tmpl w:val="085C300A"/>
    <w:lvl w:ilvl="0" w:tplc="5FB29EF2">
      <w:numFmt w:val="bullet"/>
      <w:lvlText w:val=""/>
      <w:lvlJc w:val="left"/>
      <w:pPr>
        <w:ind w:left="897" w:hanging="284"/>
      </w:pPr>
      <w:rPr>
        <w:rFonts w:ascii="Symbol" w:eastAsia="Symbol" w:hAnsi="Symbol" w:cs="Symbol" w:hint="default"/>
        <w:w w:val="99"/>
        <w:sz w:val="20"/>
        <w:szCs w:val="20"/>
      </w:rPr>
    </w:lvl>
    <w:lvl w:ilvl="1" w:tplc="4CBE701E">
      <w:numFmt w:val="bullet"/>
      <w:lvlText w:val="•"/>
      <w:lvlJc w:val="left"/>
      <w:pPr>
        <w:ind w:left="1441" w:hanging="284"/>
      </w:pPr>
      <w:rPr>
        <w:rFonts w:hint="default"/>
      </w:rPr>
    </w:lvl>
    <w:lvl w:ilvl="2" w:tplc="B9AEB778">
      <w:numFmt w:val="bullet"/>
      <w:lvlText w:val="•"/>
      <w:lvlJc w:val="left"/>
      <w:pPr>
        <w:ind w:left="1983" w:hanging="284"/>
      </w:pPr>
      <w:rPr>
        <w:rFonts w:hint="default"/>
      </w:rPr>
    </w:lvl>
    <w:lvl w:ilvl="3" w:tplc="FA764568">
      <w:numFmt w:val="bullet"/>
      <w:lvlText w:val="•"/>
      <w:lvlJc w:val="left"/>
      <w:pPr>
        <w:ind w:left="2525" w:hanging="284"/>
      </w:pPr>
      <w:rPr>
        <w:rFonts w:hint="default"/>
      </w:rPr>
    </w:lvl>
    <w:lvl w:ilvl="4" w:tplc="F7D2F262">
      <w:numFmt w:val="bullet"/>
      <w:lvlText w:val="•"/>
      <w:lvlJc w:val="left"/>
      <w:pPr>
        <w:ind w:left="3066" w:hanging="284"/>
      </w:pPr>
      <w:rPr>
        <w:rFonts w:hint="default"/>
      </w:rPr>
    </w:lvl>
    <w:lvl w:ilvl="5" w:tplc="33605340">
      <w:numFmt w:val="bullet"/>
      <w:lvlText w:val="•"/>
      <w:lvlJc w:val="left"/>
      <w:pPr>
        <w:ind w:left="3608" w:hanging="284"/>
      </w:pPr>
      <w:rPr>
        <w:rFonts w:hint="default"/>
      </w:rPr>
    </w:lvl>
    <w:lvl w:ilvl="6" w:tplc="2AEE568E">
      <w:numFmt w:val="bullet"/>
      <w:lvlText w:val="•"/>
      <w:lvlJc w:val="left"/>
      <w:pPr>
        <w:ind w:left="4150" w:hanging="284"/>
      </w:pPr>
      <w:rPr>
        <w:rFonts w:hint="default"/>
      </w:rPr>
    </w:lvl>
    <w:lvl w:ilvl="7" w:tplc="1CBA75EA">
      <w:numFmt w:val="bullet"/>
      <w:lvlText w:val="•"/>
      <w:lvlJc w:val="left"/>
      <w:pPr>
        <w:ind w:left="4691" w:hanging="284"/>
      </w:pPr>
      <w:rPr>
        <w:rFonts w:hint="default"/>
      </w:rPr>
    </w:lvl>
    <w:lvl w:ilvl="8" w:tplc="2612CB3A">
      <w:numFmt w:val="bullet"/>
      <w:lvlText w:val="•"/>
      <w:lvlJc w:val="left"/>
      <w:pPr>
        <w:ind w:left="5233" w:hanging="284"/>
      </w:pPr>
      <w:rPr>
        <w:rFonts w:hint="default"/>
      </w:rPr>
    </w:lvl>
  </w:abstractNum>
  <w:abstractNum w:abstractNumId="14" w15:restartNumberingAfterBreak="0">
    <w:nsid w:val="76543972"/>
    <w:multiLevelType w:val="hybridMultilevel"/>
    <w:tmpl w:val="366ACD94"/>
    <w:lvl w:ilvl="0" w:tplc="1E46B3A2">
      <w:numFmt w:val="bullet"/>
      <w:lvlText w:val=""/>
      <w:lvlJc w:val="left"/>
      <w:pPr>
        <w:ind w:left="897" w:hanging="284"/>
      </w:pPr>
      <w:rPr>
        <w:rFonts w:ascii="Symbol" w:eastAsia="Symbol" w:hAnsi="Symbol" w:cs="Symbol" w:hint="default"/>
        <w:w w:val="99"/>
        <w:sz w:val="20"/>
        <w:szCs w:val="20"/>
      </w:rPr>
    </w:lvl>
    <w:lvl w:ilvl="1" w:tplc="BCF0D1EE">
      <w:numFmt w:val="bullet"/>
      <w:lvlText w:val="•"/>
      <w:lvlJc w:val="left"/>
      <w:pPr>
        <w:ind w:left="1441" w:hanging="284"/>
      </w:pPr>
      <w:rPr>
        <w:rFonts w:hint="default"/>
      </w:rPr>
    </w:lvl>
    <w:lvl w:ilvl="2" w:tplc="50AAF164">
      <w:numFmt w:val="bullet"/>
      <w:lvlText w:val="•"/>
      <w:lvlJc w:val="left"/>
      <w:pPr>
        <w:ind w:left="1983" w:hanging="284"/>
      </w:pPr>
      <w:rPr>
        <w:rFonts w:hint="default"/>
      </w:rPr>
    </w:lvl>
    <w:lvl w:ilvl="3" w:tplc="4B240332">
      <w:numFmt w:val="bullet"/>
      <w:lvlText w:val="•"/>
      <w:lvlJc w:val="left"/>
      <w:pPr>
        <w:ind w:left="2525" w:hanging="284"/>
      </w:pPr>
      <w:rPr>
        <w:rFonts w:hint="default"/>
      </w:rPr>
    </w:lvl>
    <w:lvl w:ilvl="4" w:tplc="02362682">
      <w:numFmt w:val="bullet"/>
      <w:lvlText w:val="•"/>
      <w:lvlJc w:val="left"/>
      <w:pPr>
        <w:ind w:left="3066" w:hanging="284"/>
      </w:pPr>
      <w:rPr>
        <w:rFonts w:hint="default"/>
      </w:rPr>
    </w:lvl>
    <w:lvl w:ilvl="5" w:tplc="D540BA88">
      <w:numFmt w:val="bullet"/>
      <w:lvlText w:val="•"/>
      <w:lvlJc w:val="left"/>
      <w:pPr>
        <w:ind w:left="3608" w:hanging="284"/>
      </w:pPr>
      <w:rPr>
        <w:rFonts w:hint="default"/>
      </w:rPr>
    </w:lvl>
    <w:lvl w:ilvl="6" w:tplc="7ADE0160">
      <w:numFmt w:val="bullet"/>
      <w:lvlText w:val="•"/>
      <w:lvlJc w:val="left"/>
      <w:pPr>
        <w:ind w:left="4150" w:hanging="284"/>
      </w:pPr>
      <w:rPr>
        <w:rFonts w:hint="default"/>
      </w:rPr>
    </w:lvl>
    <w:lvl w:ilvl="7" w:tplc="327C3DD0">
      <w:numFmt w:val="bullet"/>
      <w:lvlText w:val="•"/>
      <w:lvlJc w:val="left"/>
      <w:pPr>
        <w:ind w:left="4691" w:hanging="284"/>
      </w:pPr>
      <w:rPr>
        <w:rFonts w:hint="default"/>
      </w:rPr>
    </w:lvl>
    <w:lvl w:ilvl="8" w:tplc="C5B0A198">
      <w:numFmt w:val="bullet"/>
      <w:lvlText w:val="•"/>
      <w:lvlJc w:val="left"/>
      <w:pPr>
        <w:ind w:left="5233" w:hanging="284"/>
      </w:pPr>
      <w:rPr>
        <w:rFonts w:hint="default"/>
      </w:rPr>
    </w:lvl>
  </w:abstractNum>
  <w:abstractNum w:abstractNumId="15" w15:restartNumberingAfterBreak="0">
    <w:nsid w:val="767A7E92"/>
    <w:multiLevelType w:val="hybridMultilevel"/>
    <w:tmpl w:val="0AB29B42"/>
    <w:lvl w:ilvl="0" w:tplc="AFA27A36">
      <w:numFmt w:val="bullet"/>
      <w:lvlText w:val=""/>
      <w:lvlJc w:val="left"/>
      <w:pPr>
        <w:ind w:left="1640" w:hanging="360"/>
      </w:pPr>
      <w:rPr>
        <w:rFonts w:ascii="Symbol" w:eastAsia="Symbol" w:hAnsi="Symbol" w:cs="Symbol" w:hint="default"/>
        <w:w w:val="99"/>
        <w:sz w:val="20"/>
        <w:szCs w:val="20"/>
      </w:rPr>
    </w:lvl>
    <w:lvl w:ilvl="1" w:tplc="E384C78C">
      <w:numFmt w:val="bullet"/>
      <w:lvlText w:val="•"/>
      <w:lvlJc w:val="left"/>
      <w:pPr>
        <w:ind w:left="2260" w:hanging="360"/>
      </w:pPr>
      <w:rPr>
        <w:rFonts w:hint="default"/>
      </w:rPr>
    </w:lvl>
    <w:lvl w:ilvl="2" w:tplc="EACAE3EC">
      <w:numFmt w:val="bullet"/>
      <w:lvlText w:val="•"/>
      <w:lvlJc w:val="left"/>
      <w:pPr>
        <w:ind w:left="2881" w:hanging="360"/>
      </w:pPr>
      <w:rPr>
        <w:rFonts w:hint="default"/>
      </w:rPr>
    </w:lvl>
    <w:lvl w:ilvl="3" w:tplc="97E6ED7E">
      <w:numFmt w:val="bullet"/>
      <w:lvlText w:val="•"/>
      <w:lvlJc w:val="left"/>
      <w:pPr>
        <w:ind w:left="3502" w:hanging="360"/>
      </w:pPr>
      <w:rPr>
        <w:rFonts w:hint="default"/>
      </w:rPr>
    </w:lvl>
    <w:lvl w:ilvl="4" w:tplc="B8E84F84">
      <w:numFmt w:val="bullet"/>
      <w:lvlText w:val="•"/>
      <w:lvlJc w:val="left"/>
      <w:pPr>
        <w:ind w:left="4123" w:hanging="360"/>
      </w:pPr>
      <w:rPr>
        <w:rFonts w:hint="default"/>
      </w:rPr>
    </w:lvl>
    <w:lvl w:ilvl="5" w:tplc="F58E0926">
      <w:numFmt w:val="bullet"/>
      <w:lvlText w:val="•"/>
      <w:lvlJc w:val="left"/>
      <w:pPr>
        <w:ind w:left="4744" w:hanging="360"/>
      </w:pPr>
      <w:rPr>
        <w:rFonts w:hint="default"/>
      </w:rPr>
    </w:lvl>
    <w:lvl w:ilvl="6" w:tplc="5AA4A384">
      <w:numFmt w:val="bullet"/>
      <w:lvlText w:val="•"/>
      <w:lvlJc w:val="left"/>
      <w:pPr>
        <w:ind w:left="5365" w:hanging="360"/>
      </w:pPr>
      <w:rPr>
        <w:rFonts w:hint="default"/>
      </w:rPr>
    </w:lvl>
    <w:lvl w:ilvl="7" w:tplc="8102A71A">
      <w:numFmt w:val="bullet"/>
      <w:lvlText w:val="•"/>
      <w:lvlJc w:val="left"/>
      <w:pPr>
        <w:ind w:left="5986" w:hanging="360"/>
      </w:pPr>
      <w:rPr>
        <w:rFonts w:hint="default"/>
      </w:rPr>
    </w:lvl>
    <w:lvl w:ilvl="8" w:tplc="0A4A122C">
      <w:numFmt w:val="bullet"/>
      <w:lvlText w:val="•"/>
      <w:lvlJc w:val="left"/>
      <w:pPr>
        <w:ind w:left="6607" w:hanging="360"/>
      </w:pPr>
      <w:rPr>
        <w:rFonts w:hint="default"/>
      </w:rPr>
    </w:lvl>
  </w:abstractNum>
  <w:num w:numId="1" w16cid:durableId="406734891">
    <w:abstractNumId w:val="7"/>
  </w:num>
  <w:num w:numId="2" w16cid:durableId="1721586257">
    <w:abstractNumId w:val="2"/>
  </w:num>
  <w:num w:numId="3" w16cid:durableId="1100419208">
    <w:abstractNumId w:val="11"/>
  </w:num>
  <w:num w:numId="4" w16cid:durableId="69692071">
    <w:abstractNumId w:val="12"/>
  </w:num>
  <w:num w:numId="5" w16cid:durableId="298923433">
    <w:abstractNumId w:val="13"/>
  </w:num>
  <w:num w:numId="6" w16cid:durableId="915628484">
    <w:abstractNumId w:val="14"/>
  </w:num>
  <w:num w:numId="7" w16cid:durableId="1825508867">
    <w:abstractNumId w:val="9"/>
  </w:num>
  <w:num w:numId="8" w16cid:durableId="1174805017">
    <w:abstractNumId w:val="15"/>
  </w:num>
  <w:num w:numId="9" w16cid:durableId="1123427976">
    <w:abstractNumId w:val="1"/>
  </w:num>
  <w:num w:numId="10" w16cid:durableId="894043996">
    <w:abstractNumId w:val="3"/>
  </w:num>
  <w:num w:numId="11" w16cid:durableId="1413744261">
    <w:abstractNumId w:val="4"/>
  </w:num>
  <w:num w:numId="12" w16cid:durableId="1541943026">
    <w:abstractNumId w:val="6"/>
  </w:num>
  <w:num w:numId="13" w16cid:durableId="1664579741">
    <w:abstractNumId w:val="5"/>
  </w:num>
  <w:num w:numId="14" w16cid:durableId="910584562">
    <w:abstractNumId w:val="8"/>
  </w:num>
  <w:num w:numId="15" w16cid:durableId="902256833">
    <w:abstractNumId w:val="0"/>
  </w:num>
  <w:num w:numId="16" w16cid:durableId="1816675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B"/>
    <w:rsid w:val="00103BF3"/>
    <w:rsid w:val="00153EB6"/>
    <w:rsid w:val="00197068"/>
    <w:rsid w:val="001F2474"/>
    <w:rsid w:val="002258AB"/>
    <w:rsid w:val="00232A0E"/>
    <w:rsid w:val="002735D4"/>
    <w:rsid w:val="002F4AF4"/>
    <w:rsid w:val="00355FA8"/>
    <w:rsid w:val="003E0602"/>
    <w:rsid w:val="003E25CF"/>
    <w:rsid w:val="00401FEA"/>
    <w:rsid w:val="004179C6"/>
    <w:rsid w:val="00445283"/>
    <w:rsid w:val="00480862"/>
    <w:rsid w:val="005418D9"/>
    <w:rsid w:val="00564836"/>
    <w:rsid w:val="005B796F"/>
    <w:rsid w:val="00617B0B"/>
    <w:rsid w:val="006239D7"/>
    <w:rsid w:val="00627528"/>
    <w:rsid w:val="006C7859"/>
    <w:rsid w:val="007D1B9B"/>
    <w:rsid w:val="00811696"/>
    <w:rsid w:val="008215EE"/>
    <w:rsid w:val="00894C32"/>
    <w:rsid w:val="00896C2F"/>
    <w:rsid w:val="008D101A"/>
    <w:rsid w:val="008E0448"/>
    <w:rsid w:val="00A5780C"/>
    <w:rsid w:val="00A7751E"/>
    <w:rsid w:val="00AB7CEF"/>
    <w:rsid w:val="00B21E14"/>
    <w:rsid w:val="00B57AE2"/>
    <w:rsid w:val="00BC349B"/>
    <w:rsid w:val="00CA761B"/>
    <w:rsid w:val="00CB2190"/>
    <w:rsid w:val="00D108F0"/>
    <w:rsid w:val="00D6580A"/>
    <w:rsid w:val="00E06505"/>
    <w:rsid w:val="00E62D51"/>
    <w:rsid w:val="00EA66F7"/>
    <w:rsid w:val="00EC67CA"/>
    <w:rsid w:val="00EE05ED"/>
    <w:rsid w:val="00F806ED"/>
    <w:rsid w:val="00FB138D"/>
    <w:rsid w:val="00FF6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2B359"/>
  <w15:docId w15:val="{AB26A6DE-1634-40A7-B4DE-21CBB071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0"/>
      <w:outlineLvl w:val="0"/>
    </w:pPr>
    <w:rPr>
      <w:b/>
      <w:bCs/>
      <w:sz w:val="26"/>
      <w:szCs w:val="26"/>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35"/>
      <w:ind w:left="840" w:hanging="360"/>
    </w:pPr>
  </w:style>
  <w:style w:type="paragraph" w:customStyle="1" w:styleId="TableParagraph">
    <w:name w:val="Table Paragraph"/>
    <w:basedOn w:val="Normal"/>
    <w:uiPriority w:val="1"/>
    <w:qFormat/>
    <w:pPr>
      <w:ind w:left="57"/>
    </w:pPr>
  </w:style>
  <w:style w:type="character" w:customStyle="1" w:styleId="Heading1Char">
    <w:name w:val="Heading 1 Char"/>
    <w:basedOn w:val="DefaultParagraphFont"/>
    <w:link w:val="Heading1"/>
    <w:uiPriority w:val="9"/>
    <w:rsid w:val="00A7751E"/>
    <w:rPr>
      <w:rFonts w:ascii="Arial" w:eastAsia="Arial" w:hAnsi="Arial" w:cs="Arial"/>
      <w:b/>
      <w:bCs/>
      <w:sz w:val="26"/>
      <w:szCs w:val="26"/>
    </w:rPr>
  </w:style>
  <w:style w:type="character" w:customStyle="1" w:styleId="ListParagraphChar">
    <w:name w:val="List Paragraph Char"/>
    <w:link w:val="ListParagraph"/>
    <w:uiPriority w:val="34"/>
    <w:locked/>
    <w:rsid w:val="00A7751E"/>
    <w:rPr>
      <w:rFonts w:ascii="Arial" w:eastAsia="Arial" w:hAnsi="Arial" w:cs="Arial"/>
    </w:rPr>
  </w:style>
  <w:style w:type="table" w:customStyle="1" w:styleId="PSCPurple">
    <w:name w:val="PSC_Purple"/>
    <w:basedOn w:val="TableNormal"/>
    <w:uiPriority w:val="99"/>
    <w:rsid w:val="00E06505"/>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ListBullet1">
    <w:name w:val="List Bullet1"/>
    <w:basedOn w:val="Normal"/>
    <w:next w:val="ListBullet"/>
    <w:uiPriority w:val="2"/>
    <w:qFormat/>
    <w:rsid w:val="00E06505"/>
    <w:pPr>
      <w:widowControl/>
      <w:numPr>
        <w:numId w:val="15"/>
      </w:numPr>
      <w:tabs>
        <w:tab w:val="clear" w:pos="360"/>
        <w:tab w:val="num" w:pos="284"/>
      </w:tabs>
      <w:autoSpaceDE/>
      <w:autoSpaceDN/>
      <w:spacing w:line="280" w:lineRule="atLeast"/>
      <w:ind w:left="284" w:hanging="284"/>
    </w:pPr>
    <w:rPr>
      <w:rFonts w:cs="Times New Roman"/>
      <w:szCs w:val="20"/>
      <w:lang w:val="en-AU"/>
    </w:rPr>
  </w:style>
  <w:style w:type="table" w:customStyle="1" w:styleId="TableGrid1">
    <w:name w:val="Table Grid1"/>
    <w:basedOn w:val="TableNormal"/>
    <w:next w:val="TableGrid"/>
    <w:uiPriority w:val="59"/>
    <w:rsid w:val="00E06505"/>
    <w:pPr>
      <w:widowControl/>
      <w:autoSpaceDE/>
      <w:autoSpaceDN/>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Arial" w:hAnsi="Arial"/>
      </w:rPr>
    </w:tblStylePr>
  </w:style>
  <w:style w:type="paragraph" w:styleId="ListBullet">
    <w:name w:val="List Bullet"/>
    <w:basedOn w:val="Normal"/>
    <w:uiPriority w:val="99"/>
    <w:semiHidden/>
    <w:unhideWhenUsed/>
    <w:rsid w:val="00E06505"/>
    <w:pPr>
      <w:tabs>
        <w:tab w:val="num" w:pos="360"/>
      </w:tabs>
      <w:ind w:left="360" w:hanging="360"/>
      <w:contextualSpacing/>
    </w:pPr>
  </w:style>
  <w:style w:type="table" w:styleId="TableGrid">
    <w:name w:val="Table Grid"/>
    <w:basedOn w:val="TableNormal"/>
    <w:uiPriority w:val="39"/>
    <w:rsid w:val="00E0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18D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735D4"/>
    <w:rPr>
      <w:sz w:val="16"/>
      <w:szCs w:val="16"/>
    </w:rPr>
  </w:style>
  <w:style w:type="paragraph" w:styleId="CommentText">
    <w:name w:val="annotation text"/>
    <w:basedOn w:val="Normal"/>
    <w:link w:val="CommentTextChar"/>
    <w:uiPriority w:val="99"/>
    <w:unhideWhenUsed/>
    <w:rsid w:val="002735D4"/>
    <w:rPr>
      <w:sz w:val="20"/>
      <w:szCs w:val="20"/>
    </w:rPr>
  </w:style>
  <w:style w:type="character" w:customStyle="1" w:styleId="CommentTextChar">
    <w:name w:val="Comment Text Char"/>
    <w:basedOn w:val="DefaultParagraphFont"/>
    <w:link w:val="CommentText"/>
    <w:uiPriority w:val="99"/>
    <w:rsid w:val="002735D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735D4"/>
    <w:rPr>
      <w:b/>
      <w:bCs/>
    </w:rPr>
  </w:style>
  <w:style w:type="character" w:customStyle="1" w:styleId="CommentSubjectChar">
    <w:name w:val="Comment Subject Char"/>
    <w:basedOn w:val="CommentTextChar"/>
    <w:link w:val="CommentSubject"/>
    <w:uiPriority w:val="99"/>
    <w:semiHidden/>
    <w:rsid w:val="002735D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ie.nsw.gov.a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Nicola Robinson</cp:lastModifiedBy>
  <cp:revision>2</cp:revision>
  <dcterms:created xsi:type="dcterms:W3CDTF">2025-06-02T03:53:00Z</dcterms:created>
  <dcterms:modified xsi:type="dcterms:W3CDTF">2025-06-02T03:53:00Z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Acrobat PDFMaker 17 for Word</vt:lpwstr>
  </property>
  <property fmtid="{D5CDD505-2E9C-101B-9397-08002B2CF9AE}" pid="4" name="LastSaved">
    <vt:filetime>2025-05-08T00:00:00Z</vt:filetime>
  </property>
</Properties>
</file>