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2E0D9CF6"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2E0D9CF4" w14:textId="77777777" w:rsidR="009077E2" w:rsidRPr="00DC0173" w:rsidRDefault="00E95F38" w:rsidP="00DC0173">
            <w:pPr>
              <w:pStyle w:val="TableTextWhite"/>
              <w:rPr>
                <w:b/>
              </w:rPr>
            </w:pPr>
            <w:bookmarkStart w:id="0" w:name="_GoBack"/>
            <w:bookmarkEnd w:id="0"/>
            <w:r>
              <w:rPr>
                <w:b/>
              </w:rPr>
              <w:t>Cluster</w:t>
            </w:r>
          </w:p>
        </w:tc>
        <w:tc>
          <w:tcPr>
            <w:tcW w:w="6561" w:type="dxa"/>
          </w:tcPr>
          <w:p w14:paraId="2E0D9CF5" w14:textId="77777777" w:rsidR="009077E2" w:rsidRPr="00DC0173" w:rsidRDefault="00F64FF9" w:rsidP="00DC0173">
            <w:pPr>
              <w:pStyle w:val="TableTextWhite"/>
            </w:pPr>
            <w:r>
              <w:t>Planning and Environment</w:t>
            </w:r>
          </w:p>
        </w:tc>
      </w:tr>
      <w:tr w:rsidR="009077E2" w:rsidRPr="00DC0173" w14:paraId="2E0D9CF9" w14:textId="77777777" w:rsidTr="008476E6">
        <w:tc>
          <w:tcPr>
            <w:tcW w:w="4026" w:type="dxa"/>
            <w:vAlign w:val="center"/>
          </w:tcPr>
          <w:p w14:paraId="2E0D9CF7" w14:textId="77777777" w:rsidR="009077E2" w:rsidRPr="00DC0173" w:rsidRDefault="00E95F38" w:rsidP="00DC0173">
            <w:pPr>
              <w:pStyle w:val="TableTextWhite"/>
              <w:rPr>
                <w:b/>
              </w:rPr>
            </w:pPr>
            <w:r>
              <w:rPr>
                <w:b/>
              </w:rPr>
              <w:t>Agency</w:t>
            </w:r>
          </w:p>
        </w:tc>
        <w:tc>
          <w:tcPr>
            <w:tcW w:w="6561" w:type="dxa"/>
          </w:tcPr>
          <w:p w14:paraId="2E0D9CF8" w14:textId="7727914D" w:rsidR="009077E2" w:rsidRPr="00DC0173" w:rsidRDefault="00291C31" w:rsidP="00DC0173">
            <w:pPr>
              <w:pStyle w:val="TableTextWhite"/>
            </w:pPr>
            <w:r>
              <w:t>Department of Planning and</w:t>
            </w:r>
            <w:r w:rsidR="003B4B85">
              <w:t xml:space="preserve"> Environment</w:t>
            </w:r>
          </w:p>
        </w:tc>
      </w:tr>
      <w:tr w:rsidR="009077E2" w:rsidRPr="00DC0173" w14:paraId="2E0D9CFC" w14:textId="77777777" w:rsidTr="008476E6">
        <w:tc>
          <w:tcPr>
            <w:tcW w:w="4026" w:type="dxa"/>
            <w:vAlign w:val="center"/>
          </w:tcPr>
          <w:p w14:paraId="2E0D9CFA" w14:textId="77777777" w:rsidR="009077E2" w:rsidRPr="00DC0173" w:rsidRDefault="00E95F38" w:rsidP="00DC0173">
            <w:pPr>
              <w:pStyle w:val="TableTextWhite"/>
              <w:rPr>
                <w:b/>
              </w:rPr>
            </w:pPr>
            <w:r>
              <w:rPr>
                <w:b/>
              </w:rPr>
              <w:t>Division/Branch/Unit</w:t>
            </w:r>
          </w:p>
        </w:tc>
        <w:tc>
          <w:tcPr>
            <w:tcW w:w="6561" w:type="dxa"/>
          </w:tcPr>
          <w:p w14:paraId="2E0D9CFB" w14:textId="433EE71E" w:rsidR="009077E2" w:rsidRPr="00DC0173" w:rsidRDefault="00E95F38" w:rsidP="00F64FF9">
            <w:pPr>
              <w:pStyle w:val="TableTextWhite"/>
            </w:pPr>
            <w:r>
              <w:t xml:space="preserve">Resources &amp; </w:t>
            </w:r>
            <w:r w:rsidR="00F64FF9">
              <w:t>Geoscience</w:t>
            </w:r>
            <w:r w:rsidR="006649E8">
              <w:t xml:space="preserve"> </w:t>
            </w:r>
            <w:r>
              <w:t>/ Geological Survey of NSW</w:t>
            </w:r>
            <w:r w:rsidR="006649E8">
              <w:t xml:space="preserve"> </w:t>
            </w:r>
            <w:r w:rsidR="006A7C0B">
              <w:t>/ Mining &amp; Exploration Assessment</w:t>
            </w:r>
          </w:p>
        </w:tc>
      </w:tr>
      <w:tr w:rsidR="009077E2" w:rsidRPr="00DC0173" w14:paraId="2E0D9CFF" w14:textId="77777777" w:rsidTr="008476E6">
        <w:tc>
          <w:tcPr>
            <w:tcW w:w="4026" w:type="dxa"/>
            <w:vAlign w:val="center"/>
          </w:tcPr>
          <w:p w14:paraId="2E0D9CFD" w14:textId="77777777" w:rsidR="009077E2" w:rsidRPr="00DC0173" w:rsidRDefault="00E95F38" w:rsidP="00DC0173">
            <w:pPr>
              <w:pStyle w:val="TableTextWhite"/>
              <w:rPr>
                <w:b/>
              </w:rPr>
            </w:pPr>
            <w:r>
              <w:rPr>
                <w:b/>
              </w:rPr>
              <w:t>Location</w:t>
            </w:r>
          </w:p>
        </w:tc>
        <w:tc>
          <w:tcPr>
            <w:tcW w:w="6561" w:type="dxa"/>
          </w:tcPr>
          <w:p w14:paraId="2E0D9CFE" w14:textId="77777777" w:rsidR="009077E2" w:rsidRPr="00DC0173" w:rsidRDefault="00E95F38" w:rsidP="00DC0173">
            <w:pPr>
              <w:pStyle w:val="TableTextWhite"/>
            </w:pPr>
            <w:r>
              <w:t>Maitland</w:t>
            </w:r>
          </w:p>
        </w:tc>
      </w:tr>
      <w:tr w:rsidR="009077E2" w:rsidRPr="00DC0173" w14:paraId="2E0D9D02" w14:textId="77777777" w:rsidTr="008476E6">
        <w:tc>
          <w:tcPr>
            <w:tcW w:w="4026" w:type="dxa"/>
            <w:vAlign w:val="center"/>
          </w:tcPr>
          <w:p w14:paraId="2E0D9D00" w14:textId="77777777" w:rsidR="009077E2" w:rsidRPr="00DC0173" w:rsidRDefault="00E95F38" w:rsidP="00DC0173">
            <w:pPr>
              <w:pStyle w:val="TableTextWhite"/>
              <w:rPr>
                <w:b/>
              </w:rPr>
            </w:pPr>
            <w:r>
              <w:rPr>
                <w:b/>
              </w:rPr>
              <w:t>Classification/Grade/Band</w:t>
            </w:r>
          </w:p>
        </w:tc>
        <w:tc>
          <w:tcPr>
            <w:tcW w:w="6561" w:type="dxa"/>
          </w:tcPr>
          <w:p w14:paraId="2E0D9D01" w14:textId="13207C12" w:rsidR="009077E2" w:rsidRPr="00DC0173" w:rsidRDefault="005822E8" w:rsidP="00376152">
            <w:pPr>
              <w:pStyle w:val="TableTextWhite"/>
            </w:pPr>
            <w:r>
              <w:t>Geoscientist Grade 1/2</w:t>
            </w:r>
          </w:p>
        </w:tc>
      </w:tr>
      <w:tr w:rsidR="009077E2" w:rsidRPr="00DC0173" w14:paraId="2E0D9D08" w14:textId="77777777" w:rsidTr="008476E6">
        <w:tc>
          <w:tcPr>
            <w:tcW w:w="4026" w:type="dxa"/>
            <w:vAlign w:val="center"/>
          </w:tcPr>
          <w:p w14:paraId="2E0D9D06" w14:textId="77777777" w:rsidR="009077E2" w:rsidRPr="00DC0173" w:rsidRDefault="00E95F38" w:rsidP="00DC0173">
            <w:pPr>
              <w:pStyle w:val="TableTextWhite"/>
              <w:rPr>
                <w:b/>
              </w:rPr>
            </w:pPr>
            <w:r>
              <w:rPr>
                <w:b/>
              </w:rPr>
              <w:t>Role Number</w:t>
            </w:r>
          </w:p>
        </w:tc>
        <w:tc>
          <w:tcPr>
            <w:tcW w:w="6561" w:type="dxa"/>
          </w:tcPr>
          <w:p w14:paraId="2E0D9D07" w14:textId="1B1DE69F" w:rsidR="009077E2" w:rsidRPr="00DC0173" w:rsidRDefault="005822E8" w:rsidP="00EC1812">
            <w:pPr>
              <w:pStyle w:val="TableTextWhite"/>
            </w:pPr>
            <w:r>
              <w:t>Generic</w:t>
            </w:r>
          </w:p>
        </w:tc>
      </w:tr>
      <w:tr w:rsidR="009077E2" w:rsidRPr="00DC0173" w14:paraId="2E0D9D0B" w14:textId="77777777" w:rsidTr="008476E6">
        <w:tc>
          <w:tcPr>
            <w:tcW w:w="4026" w:type="dxa"/>
            <w:vAlign w:val="center"/>
          </w:tcPr>
          <w:p w14:paraId="2E0D9D09" w14:textId="77777777" w:rsidR="009077E2" w:rsidRPr="00DC0173" w:rsidRDefault="00E95F38" w:rsidP="00DC0173">
            <w:pPr>
              <w:pStyle w:val="TableTextWhite"/>
              <w:rPr>
                <w:b/>
              </w:rPr>
            </w:pPr>
            <w:r>
              <w:rPr>
                <w:b/>
              </w:rPr>
              <w:t>ANZSCO Code</w:t>
            </w:r>
          </w:p>
        </w:tc>
        <w:tc>
          <w:tcPr>
            <w:tcW w:w="6561" w:type="dxa"/>
          </w:tcPr>
          <w:p w14:paraId="2E0D9D0A" w14:textId="706F816F" w:rsidR="009077E2" w:rsidRPr="00DC0173" w:rsidRDefault="005822E8" w:rsidP="00DC0173">
            <w:pPr>
              <w:pStyle w:val="TableTextWhite"/>
            </w:pPr>
            <w:r>
              <w:t>234411</w:t>
            </w:r>
          </w:p>
        </w:tc>
      </w:tr>
      <w:tr w:rsidR="009077E2" w:rsidRPr="00DC0173" w14:paraId="2E0D9D0E" w14:textId="77777777" w:rsidTr="008476E6">
        <w:tc>
          <w:tcPr>
            <w:tcW w:w="4026" w:type="dxa"/>
            <w:vAlign w:val="center"/>
          </w:tcPr>
          <w:p w14:paraId="2E0D9D0C" w14:textId="77777777" w:rsidR="009077E2" w:rsidRPr="00DC0173" w:rsidRDefault="00E95F38" w:rsidP="00DC0173">
            <w:pPr>
              <w:pStyle w:val="TableTextWhite"/>
              <w:rPr>
                <w:b/>
              </w:rPr>
            </w:pPr>
            <w:r>
              <w:rPr>
                <w:b/>
              </w:rPr>
              <w:t>PCAT Code</w:t>
            </w:r>
          </w:p>
        </w:tc>
        <w:tc>
          <w:tcPr>
            <w:tcW w:w="6561" w:type="dxa"/>
          </w:tcPr>
          <w:p w14:paraId="2E0D9D0D" w14:textId="5CAFEFF2" w:rsidR="009077E2" w:rsidRPr="00DC0173" w:rsidRDefault="005822E8" w:rsidP="00DC0173">
            <w:pPr>
              <w:pStyle w:val="TableTextWhite"/>
            </w:pPr>
            <w:r>
              <w:t>1119192</w:t>
            </w:r>
          </w:p>
        </w:tc>
      </w:tr>
      <w:tr w:rsidR="009077E2" w:rsidRPr="00DC0173" w14:paraId="2E0D9D11" w14:textId="77777777" w:rsidTr="008476E6">
        <w:tc>
          <w:tcPr>
            <w:tcW w:w="4026" w:type="dxa"/>
            <w:vAlign w:val="center"/>
          </w:tcPr>
          <w:p w14:paraId="2E0D9D0F" w14:textId="77777777" w:rsidR="009077E2" w:rsidRPr="00DC0173" w:rsidRDefault="00E95F38" w:rsidP="00DC0173">
            <w:pPr>
              <w:pStyle w:val="TableTextWhite"/>
              <w:rPr>
                <w:b/>
              </w:rPr>
            </w:pPr>
            <w:r>
              <w:rPr>
                <w:b/>
              </w:rPr>
              <w:t>Date of Approval</w:t>
            </w:r>
          </w:p>
        </w:tc>
        <w:tc>
          <w:tcPr>
            <w:tcW w:w="6561" w:type="dxa"/>
          </w:tcPr>
          <w:p w14:paraId="2E0D9D10" w14:textId="0FA3CE6C" w:rsidR="009077E2" w:rsidRPr="00DC0173" w:rsidRDefault="005822E8" w:rsidP="00DC0173">
            <w:pPr>
              <w:pStyle w:val="TableTextWhite"/>
            </w:pPr>
            <w:r>
              <w:t>September 2018</w:t>
            </w:r>
          </w:p>
        </w:tc>
      </w:tr>
      <w:tr w:rsidR="005822E8" w:rsidRPr="00DC0173" w14:paraId="2E0D9D14" w14:textId="77777777" w:rsidTr="008476E6">
        <w:tc>
          <w:tcPr>
            <w:tcW w:w="4026" w:type="dxa"/>
            <w:vAlign w:val="center"/>
          </w:tcPr>
          <w:p w14:paraId="2E0D9D12" w14:textId="77777777" w:rsidR="005822E8" w:rsidRPr="00DC0173" w:rsidRDefault="005822E8" w:rsidP="005822E8">
            <w:pPr>
              <w:pStyle w:val="TableTextWhite"/>
              <w:rPr>
                <w:b/>
              </w:rPr>
            </w:pPr>
            <w:r>
              <w:rPr>
                <w:b/>
              </w:rPr>
              <w:t>Agency Website</w:t>
            </w:r>
          </w:p>
        </w:tc>
        <w:tc>
          <w:tcPr>
            <w:tcW w:w="6561" w:type="dxa"/>
          </w:tcPr>
          <w:p w14:paraId="2E0D9D13" w14:textId="34628FF4" w:rsidR="005822E8" w:rsidRPr="005822E8" w:rsidRDefault="004F05B4" w:rsidP="005822E8">
            <w:pPr>
              <w:pStyle w:val="TableTextWhite"/>
              <w:rPr>
                <w:color w:val="FFFFFF" w:themeColor="background1"/>
              </w:rPr>
            </w:pPr>
            <w:hyperlink r:id="rId8" w:history="1">
              <w:r w:rsidR="005822E8" w:rsidRPr="005822E8">
                <w:rPr>
                  <w:rStyle w:val="Hyperlink"/>
                  <w:color w:val="FFFFFF" w:themeColor="background1"/>
                </w:rPr>
                <w:t>http://www.resourcesandenergy.nsw.gov.au</w:t>
              </w:r>
            </w:hyperlink>
            <w:r w:rsidR="005822E8" w:rsidRPr="005822E8">
              <w:rPr>
                <w:color w:val="FFFFFF" w:themeColor="background1"/>
              </w:rPr>
              <w:t xml:space="preserve"> | www.planning.nsw.gov.au</w:t>
            </w:r>
          </w:p>
        </w:tc>
        <w:bookmarkStart w:id="1" w:name="Cluster"/>
        <w:bookmarkEnd w:id="1"/>
      </w:tr>
    </w:tbl>
    <w:p w14:paraId="2E0D9D15" w14:textId="77777777" w:rsidR="006A2280" w:rsidRDefault="006A2280" w:rsidP="006A2280">
      <w:pPr>
        <w:tabs>
          <w:tab w:val="left" w:pos="2925"/>
        </w:tabs>
      </w:pPr>
    </w:p>
    <w:p w14:paraId="2E0D9D16" w14:textId="77777777" w:rsidR="00F47143" w:rsidRPr="00614552" w:rsidRDefault="00F47143" w:rsidP="006A2280">
      <w:pPr>
        <w:tabs>
          <w:tab w:val="left" w:pos="2925"/>
        </w:tabs>
        <w:rPr>
          <w:rStyle w:val="Heading1Char"/>
        </w:rPr>
      </w:pPr>
      <w:r w:rsidRPr="00614552">
        <w:rPr>
          <w:rStyle w:val="Heading1Char"/>
        </w:rPr>
        <w:t>Agency overview</w:t>
      </w:r>
    </w:p>
    <w:p w14:paraId="297A2744" w14:textId="77777777" w:rsidR="002C168E" w:rsidRDefault="002C168E" w:rsidP="002C168E">
      <w:pPr>
        <w:spacing w:after="0" w:line="240" w:lineRule="auto"/>
        <w:rPr>
          <w:rFonts w:ascii="Georgia" w:hAnsi="Georgia"/>
        </w:rPr>
      </w:pPr>
      <w:r>
        <w:t xml:space="preserve">The Department of Planning &amp; Environment is the lead NSW Government agency in planning for a growing NSW. The Department is going through an exciting period of </w:t>
      </w:r>
      <w:proofErr w:type="spellStart"/>
      <w:r>
        <w:t>organisational</w:t>
      </w:r>
      <w:proofErr w:type="spellEnd"/>
      <w:r>
        <w:t xml:space="preserve"> and operational change.</w:t>
      </w:r>
    </w:p>
    <w:p w14:paraId="4E412655" w14:textId="77777777" w:rsidR="002C168E" w:rsidRDefault="002C168E" w:rsidP="002C168E">
      <w:pPr>
        <w:spacing w:after="0" w:line="240" w:lineRule="auto"/>
      </w:pPr>
    </w:p>
    <w:p w14:paraId="3468616C" w14:textId="77777777" w:rsidR="002C168E" w:rsidRDefault="002C168E" w:rsidP="002C168E">
      <w:pPr>
        <w:spacing w:after="0" w:line="240" w:lineRule="auto"/>
        <w:rPr>
          <w:rFonts w:ascii="Georgia" w:hAnsi="Georgia"/>
        </w:rPr>
      </w:pPr>
      <w:r>
        <w:t>The Department’s vision – Planning for growing NSW: inspiring strong communities, protecting our environment – provides the benchmark for our partnership and leadership approach to engaging and working collaboratively with key State and Local Government, community and industry stakeholders to deliver better outcomes in the areas of planning, local government and the environment.</w:t>
      </w:r>
    </w:p>
    <w:p w14:paraId="236E3E35" w14:textId="77777777" w:rsidR="002C168E" w:rsidRDefault="002C168E" w:rsidP="002C168E">
      <w:pPr>
        <w:spacing w:after="0" w:line="240" w:lineRule="auto"/>
      </w:pPr>
    </w:p>
    <w:p w14:paraId="57554627" w14:textId="77777777" w:rsidR="002C168E" w:rsidRDefault="002C168E" w:rsidP="002C168E">
      <w:pPr>
        <w:spacing w:after="0" w:line="240" w:lineRule="auto"/>
      </w:pPr>
      <w:r>
        <w:t>The Department is the lead agency for the Planning and Environment cluster, which includes the Office of Environment &amp; Heritage, the Office of Local Government, Resources, Energy and the Arts and several other entities associated with the Department including the Environment Protection Authority, statutory trusts responsible for zoos, parks and gardens, independent assessment and planning bodies, and development corporations.</w:t>
      </w:r>
    </w:p>
    <w:p w14:paraId="06409723" w14:textId="77777777" w:rsidR="002C168E" w:rsidRDefault="002C168E" w:rsidP="002C168E">
      <w:pPr>
        <w:spacing w:after="0" w:line="240" w:lineRule="auto"/>
      </w:pPr>
    </w:p>
    <w:p w14:paraId="7D712A45" w14:textId="77777777" w:rsidR="002C168E" w:rsidRDefault="002C168E" w:rsidP="002C168E">
      <w:pPr>
        <w:spacing w:after="0" w:line="240" w:lineRule="auto"/>
      </w:pPr>
      <w:r w:rsidRPr="00D77EF2">
        <w:t>The Division of Resources and Geoscience sets strategic policy for the state’s mineral and energy resources, gathers, analyses and disseminates geoscientific information, and assesses and determines applications for mineral and petroleum titles for exploration activities and extractive uses.</w:t>
      </w:r>
    </w:p>
    <w:p w14:paraId="76F2C52C" w14:textId="77777777" w:rsidR="002C168E" w:rsidRDefault="002C168E" w:rsidP="002C168E">
      <w:pPr>
        <w:spacing w:after="0" w:line="240" w:lineRule="auto"/>
      </w:pPr>
    </w:p>
    <w:p w14:paraId="2E0D9D1D" w14:textId="77777777" w:rsidR="00037FD5" w:rsidRPr="00614552" w:rsidRDefault="00037FD5" w:rsidP="006A2280">
      <w:pPr>
        <w:tabs>
          <w:tab w:val="left" w:pos="2925"/>
        </w:tabs>
        <w:rPr>
          <w:rStyle w:val="Heading1Char"/>
        </w:rPr>
      </w:pPr>
      <w:r w:rsidRPr="00614552">
        <w:rPr>
          <w:rStyle w:val="Heading1Char"/>
        </w:rPr>
        <w:t>Primary purpose of the role</w:t>
      </w:r>
    </w:p>
    <w:p w14:paraId="2E0D9D1E" w14:textId="50059150" w:rsidR="002050D6" w:rsidRPr="002050D6" w:rsidRDefault="005822E8" w:rsidP="002050D6">
      <w:pPr>
        <w:rPr>
          <w:rFonts w:cs="Arial"/>
        </w:rPr>
      </w:pPr>
      <w:r>
        <w:rPr>
          <w:rFonts w:cs="Arial"/>
        </w:rPr>
        <w:t xml:space="preserve">To undertake geoscience investigations and mineral resource and exploration assessments, and to provide informed advice to internal and external clients </w:t>
      </w:r>
      <w:proofErr w:type="gramStart"/>
      <w:r>
        <w:rPr>
          <w:rFonts w:cs="Arial"/>
        </w:rPr>
        <w:t>in order to</w:t>
      </w:r>
      <w:proofErr w:type="gramEnd"/>
      <w:r>
        <w:rPr>
          <w:rFonts w:cs="Arial"/>
        </w:rPr>
        <w:t xml:space="preserve"> facilitate effective mineral exploration in NSW.</w:t>
      </w:r>
    </w:p>
    <w:p w14:paraId="2E0D9D1F" w14:textId="77777777" w:rsidR="00F339CD" w:rsidRDefault="00F339CD" w:rsidP="00614552">
      <w:pPr>
        <w:pStyle w:val="Heading1"/>
      </w:pPr>
      <w:r w:rsidRPr="00A14A03">
        <w:t>Key accountabilities</w:t>
      </w:r>
    </w:p>
    <w:p w14:paraId="2CC1FF8F" w14:textId="115A677C" w:rsidR="005822E8" w:rsidRPr="005822E8" w:rsidRDefault="00291C31" w:rsidP="005822E8">
      <w:pPr>
        <w:pStyle w:val="ListParagraph"/>
        <w:numPr>
          <w:ilvl w:val="0"/>
          <w:numId w:val="3"/>
        </w:numPr>
        <w:rPr>
          <w:rFonts w:cs="Arial"/>
        </w:rPr>
      </w:pPr>
      <w:proofErr w:type="spellStart"/>
      <w:r>
        <w:rPr>
          <w:rFonts w:cs="Arial"/>
        </w:rPr>
        <w:t>Analys</w:t>
      </w:r>
      <w:r w:rsidR="005822E8" w:rsidRPr="005822E8">
        <w:rPr>
          <w:rFonts w:cs="Arial"/>
        </w:rPr>
        <w:t>e</w:t>
      </w:r>
      <w:proofErr w:type="spellEnd"/>
      <w:r w:rsidR="005822E8" w:rsidRPr="005822E8">
        <w:rPr>
          <w:rFonts w:cs="Arial"/>
        </w:rPr>
        <w:t xml:space="preserve"> and evaluate exploration outcomes through the assessment of industry exploration reports for compliance with </w:t>
      </w:r>
      <w:r w:rsidR="005822E8">
        <w:rPr>
          <w:rFonts w:cs="Arial"/>
        </w:rPr>
        <w:t xml:space="preserve">work program, </w:t>
      </w:r>
      <w:r w:rsidR="005822E8" w:rsidRPr="005822E8">
        <w:rPr>
          <w:rFonts w:cs="Arial"/>
        </w:rPr>
        <w:t>reporting and performance title conditions and legislative requirements</w:t>
      </w:r>
      <w:r w:rsidR="00EC0A0F">
        <w:rPr>
          <w:rFonts w:cs="Arial"/>
        </w:rPr>
        <w:t>.</w:t>
      </w:r>
    </w:p>
    <w:p w14:paraId="2975D5A9" w14:textId="5440AD61" w:rsidR="005822E8" w:rsidRPr="005822E8" w:rsidRDefault="005822E8" w:rsidP="005822E8">
      <w:pPr>
        <w:pStyle w:val="ListParagraph"/>
        <w:numPr>
          <w:ilvl w:val="0"/>
          <w:numId w:val="3"/>
        </w:numPr>
        <w:rPr>
          <w:rFonts w:cs="Arial"/>
        </w:rPr>
      </w:pPr>
      <w:r w:rsidRPr="005822E8">
        <w:rPr>
          <w:rFonts w:cs="Arial"/>
        </w:rPr>
        <w:lastRenderedPageBreak/>
        <w:t>Prepare letters, minutes, reports and presentations where necessary regarding relevant aspects of exploration reporting and performance</w:t>
      </w:r>
      <w:r w:rsidR="00EC0A0F">
        <w:rPr>
          <w:rFonts w:cs="Arial"/>
        </w:rPr>
        <w:t>.</w:t>
      </w:r>
    </w:p>
    <w:p w14:paraId="28927D87" w14:textId="77777777" w:rsidR="005822E8" w:rsidRPr="005822E8" w:rsidRDefault="005822E8" w:rsidP="005822E8">
      <w:pPr>
        <w:pStyle w:val="ListParagraph"/>
        <w:numPr>
          <w:ilvl w:val="0"/>
          <w:numId w:val="3"/>
        </w:numPr>
        <w:rPr>
          <w:rFonts w:cs="Arial"/>
        </w:rPr>
      </w:pPr>
      <w:r w:rsidRPr="005822E8">
        <w:rPr>
          <w:rFonts w:cs="Arial"/>
        </w:rPr>
        <w:t>Liaise with exploration companies with respect to their reports and activities and the Department’s requirements.</w:t>
      </w:r>
    </w:p>
    <w:p w14:paraId="16E66250" w14:textId="504837F5" w:rsidR="005822E8" w:rsidRPr="005822E8" w:rsidRDefault="005822E8" w:rsidP="005822E8">
      <w:pPr>
        <w:pStyle w:val="ListParagraph"/>
        <w:numPr>
          <w:ilvl w:val="0"/>
          <w:numId w:val="3"/>
        </w:numPr>
        <w:rPr>
          <w:rFonts w:cs="Arial"/>
        </w:rPr>
      </w:pPr>
      <w:r w:rsidRPr="005822E8">
        <w:rPr>
          <w:rFonts w:cs="Arial"/>
        </w:rPr>
        <w:t>Provide geoscientific advice to management about developments and findings in mineral exploration within area of responsibility</w:t>
      </w:r>
      <w:r w:rsidR="00EC0A0F">
        <w:rPr>
          <w:rFonts w:cs="Arial"/>
        </w:rPr>
        <w:t>.</w:t>
      </w:r>
    </w:p>
    <w:p w14:paraId="1F56485E" w14:textId="38B1BC97" w:rsidR="005822E8" w:rsidRPr="005822E8" w:rsidRDefault="005822E8" w:rsidP="005822E8">
      <w:pPr>
        <w:pStyle w:val="ListParagraph"/>
        <w:numPr>
          <w:ilvl w:val="0"/>
          <w:numId w:val="3"/>
        </w:numPr>
        <w:rPr>
          <w:rFonts w:cs="Arial"/>
        </w:rPr>
      </w:pPr>
      <w:r w:rsidRPr="005822E8">
        <w:rPr>
          <w:rFonts w:cs="Arial"/>
        </w:rPr>
        <w:t>Undertake geological assessment activities, database analysis or field work, as required, to obtain geological information and develop the knowle</w:t>
      </w:r>
      <w:r w:rsidR="00EC0A0F">
        <w:rPr>
          <w:rFonts w:cs="Arial"/>
        </w:rPr>
        <w:t>dge of mineral resources in NSW.</w:t>
      </w:r>
    </w:p>
    <w:p w14:paraId="2E0D9D26" w14:textId="159CCCFE" w:rsidR="00AE32FD" w:rsidRPr="00097896" w:rsidRDefault="005822E8" w:rsidP="005822E8">
      <w:pPr>
        <w:pStyle w:val="ListParagraph"/>
        <w:numPr>
          <w:ilvl w:val="0"/>
          <w:numId w:val="3"/>
        </w:numPr>
        <w:rPr>
          <w:rFonts w:cs="Arial"/>
        </w:rPr>
      </w:pPr>
      <w:r w:rsidRPr="005822E8">
        <w:rPr>
          <w:rFonts w:cs="Arial"/>
        </w:rPr>
        <w:t>Maintain exploration assessment databases</w:t>
      </w:r>
      <w:r w:rsidR="00EC0A0F">
        <w:rPr>
          <w:rFonts w:cs="Arial"/>
        </w:rPr>
        <w:t>.</w:t>
      </w:r>
    </w:p>
    <w:p w14:paraId="2E0D9D27" w14:textId="77777777" w:rsidR="002050D6" w:rsidRPr="00097896" w:rsidRDefault="002050D6" w:rsidP="00AE32FD">
      <w:pPr>
        <w:pStyle w:val="ListParagraph"/>
        <w:rPr>
          <w:rFonts w:cs="Arial"/>
          <w:highlight w:val="yellow"/>
        </w:rPr>
      </w:pPr>
    </w:p>
    <w:p w14:paraId="2E0D9D28" w14:textId="77777777" w:rsidR="001D097C" w:rsidRPr="00614552" w:rsidRDefault="001D097C" w:rsidP="006A2280">
      <w:pPr>
        <w:tabs>
          <w:tab w:val="left" w:pos="2925"/>
        </w:tabs>
        <w:rPr>
          <w:rStyle w:val="Heading1Char"/>
        </w:rPr>
      </w:pPr>
      <w:r w:rsidRPr="00614552">
        <w:rPr>
          <w:rStyle w:val="Heading1Char"/>
        </w:rPr>
        <w:t>Key challenges</w:t>
      </w:r>
    </w:p>
    <w:p w14:paraId="76FACA6B" w14:textId="77777777" w:rsidR="00A646D1" w:rsidRPr="00A646D1" w:rsidRDefault="00A646D1" w:rsidP="00A646D1">
      <w:pPr>
        <w:pStyle w:val="ListParagraph"/>
        <w:numPr>
          <w:ilvl w:val="0"/>
          <w:numId w:val="3"/>
        </w:numPr>
        <w:rPr>
          <w:rFonts w:cs="Arial"/>
          <w:iCs/>
        </w:rPr>
      </w:pPr>
      <w:r w:rsidRPr="00A646D1">
        <w:rPr>
          <w:rFonts w:cs="Arial"/>
          <w:iCs/>
        </w:rPr>
        <w:t>Effectively manage the many tasks, demands, deadlines, and clients in an efficient and effective way so that KPIs are maintained.</w:t>
      </w:r>
    </w:p>
    <w:p w14:paraId="2E0D9D2A" w14:textId="7486B772" w:rsidR="009761C4" w:rsidRPr="009761C4" w:rsidRDefault="00A646D1" w:rsidP="00A646D1">
      <w:pPr>
        <w:pStyle w:val="ListParagraph"/>
        <w:numPr>
          <w:ilvl w:val="0"/>
          <w:numId w:val="3"/>
        </w:numPr>
        <w:rPr>
          <w:rFonts w:cs="Arial"/>
        </w:rPr>
      </w:pPr>
      <w:r w:rsidRPr="00A646D1">
        <w:rPr>
          <w:rFonts w:cs="Arial"/>
          <w:iCs/>
        </w:rPr>
        <w:t>Maintain contact with mineral explorers to ensure that they understand the requirements of mineral exploration within NSW and to keep up-to-date with advance</w:t>
      </w:r>
      <w:r w:rsidR="00EC0A0F">
        <w:rPr>
          <w:rFonts w:cs="Arial"/>
          <w:iCs/>
        </w:rPr>
        <w:t xml:space="preserve">s in geoscience and the mineral </w:t>
      </w:r>
      <w:r w:rsidRPr="00A646D1">
        <w:rPr>
          <w:rFonts w:cs="Arial"/>
          <w:iCs/>
        </w:rPr>
        <w:t>exploration industry and an understanding of the technology which underpins them.</w:t>
      </w:r>
    </w:p>
    <w:p w14:paraId="2E0D9D2B"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2E0D9D2E"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2E0D9D2C" w14:textId="77777777" w:rsidR="00BB532F" w:rsidRPr="00C978B9" w:rsidRDefault="00BB532F" w:rsidP="00BD7BA7">
            <w:pPr>
              <w:pStyle w:val="TableTextWhite0"/>
            </w:pPr>
            <w:r w:rsidRPr="00C978B9">
              <w:t>Who</w:t>
            </w:r>
          </w:p>
        </w:tc>
        <w:tc>
          <w:tcPr>
            <w:tcW w:w="6986" w:type="dxa"/>
          </w:tcPr>
          <w:p w14:paraId="2E0D9D2D" w14:textId="77777777" w:rsidR="00BB532F" w:rsidRPr="00C978B9" w:rsidRDefault="00022223" w:rsidP="00022223">
            <w:pPr>
              <w:pStyle w:val="TableTextWhite0"/>
            </w:pPr>
            <w:r>
              <w:t xml:space="preserve">       </w:t>
            </w:r>
            <w:r w:rsidR="00BB532F" w:rsidRPr="00C978B9">
              <w:t>Why</w:t>
            </w:r>
          </w:p>
        </w:tc>
      </w:tr>
      <w:tr w:rsidR="00BB532F" w:rsidRPr="00A8245E" w14:paraId="2E0D9D31" w14:textId="77777777" w:rsidTr="00CE105E">
        <w:tc>
          <w:tcPr>
            <w:tcW w:w="3601" w:type="dxa"/>
            <w:shd w:val="clear" w:color="auto" w:fill="BCBEC0"/>
          </w:tcPr>
          <w:p w14:paraId="2E0D9D2F"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2E0D9D30" w14:textId="77777777" w:rsidR="00BB532F" w:rsidRPr="00A8245E" w:rsidRDefault="00BB532F" w:rsidP="00BD7BA7">
            <w:pPr>
              <w:pStyle w:val="TableText"/>
              <w:keepNext/>
              <w:rPr>
                <w:b/>
              </w:rPr>
            </w:pPr>
          </w:p>
        </w:tc>
      </w:tr>
      <w:tr w:rsidR="00BB532F" w:rsidRPr="00C44ADB" w14:paraId="2E0D9D34" w14:textId="77777777" w:rsidTr="00CE105E">
        <w:tc>
          <w:tcPr>
            <w:tcW w:w="3601" w:type="dxa"/>
            <w:tcBorders>
              <w:top w:val="single" w:sz="8" w:space="0" w:color="auto"/>
              <w:bottom w:val="single" w:sz="8" w:space="0" w:color="BCBEC0"/>
            </w:tcBorders>
          </w:tcPr>
          <w:p w14:paraId="2E0D9D32" w14:textId="77777777" w:rsidR="00BB532F" w:rsidRPr="00C44ADB" w:rsidRDefault="009761C4" w:rsidP="002B1F76">
            <w:pPr>
              <w:pStyle w:val="TableText"/>
            </w:pPr>
            <w:r w:rsidRPr="00C44ADB">
              <w:rPr>
                <w:rFonts w:cs="Arial"/>
              </w:rPr>
              <w:t>Manager</w:t>
            </w:r>
            <w:r w:rsidR="002050D6" w:rsidRPr="00C44ADB">
              <w:rPr>
                <w:rFonts w:cs="Arial"/>
              </w:rPr>
              <w:t>, Mineral Exploration Assessment</w:t>
            </w:r>
          </w:p>
        </w:tc>
        <w:tc>
          <w:tcPr>
            <w:tcW w:w="6986" w:type="dxa"/>
            <w:tcBorders>
              <w:top w:val="single" w:sz="8" w:space="0" w:color="auto"/>
              <w:bottom w:val="single" w:sz="8" w:space="0" w:color="BCBEC0"/>
            </w:tcBorders>
          </w:tcPr>
          <w:p w14:paraId="2E0D9D33" w14:textId="18065C8C" w:rsidR="00BB532F" w:rsidRPr="00C44ADB" w:rsidRDefault="001336E8" w:rsidP="007C1883">
            <w:pPr>
              <w:pStyle w:val="TableText"/>
              <w:numPr>
                <w:ilvl w:val="0"/>
                <w:numId w:val="3"/>
              </w:numPr>
            </w:pPr>
            <w:r w:rsidRPr="00C44ADB">
              <w:t xml:space="preserve">Present recommendations on exploration </w:t>
            </w:r>
            <w:r w:rsidR="007C1883" w:rsidRPr="00C44ADB">
              <w:t>assessments</w:t>
            </w:r>
            <w:r w:rsidR="00CC1830">
              <w:t>, statutory assessments</w:t>
            </w:r>
            <w:r w:rsidR="007C1883" w:rsidRPr="00C44ADB">
              <w:t xml:space="preserve"> </w:t>
            </w:r>
            <w:r w:rsidR="00CC1830">
              <w:t>and other work as required</w:t>
            </w:r>
          </w:p>
        </w:tc>
      </w:tr>
      <w:tr w:rsidR="007C1883" w:rsidRPr="007C1883" w14:paraId="2E0D9D3A" w14:textId="77777777" w:rsidTr="00CE105E">
        <w:tc>
          <w:tcPr>
            <w:tcW w:w="3601" w:type="dxa"/>
            <w:tcBorders>
              <w:top w:val="single" w:sz="8" w:space="0" w:color="auto"/>
              <w:bottom w:val="single" w:sz="8" w:space="0" w:color="BCBEC0"/>
            </w:tcBorders>
          </w:tcPr>
          <w:p w14:paraId="2E0D9D38" w14:textId="77777777" w:rsidR="007C1883" w:rsidRPr="007C1883" w:rsidRDefault="007C1883" w:rsidP="001675B5">
            <w:pPr>
              <w:pStyle w:val="TableText"/>
            </w:pPr>
            <w:r w:rsidRPr="007C1883">
              <w:rPr>
                <w:rFonts w:cs="Arial"/>
              </w:rPr>
              <w:t>Other Geological Survey staff</w:t>
            </w:r>
          </w:p>
        </w:tc>
        <w:tc>
          <w:tcPr>
            <w:tcW w:w="6986" w:type="dxa"/>
            <w:tcBorders>
              <w:top w:val="single" w:sz="8" w:space="0" w:color="auto"/>
              <w:bottom w:val="single" w:sz="8" w:space="0" w:color="BCBEC0"/>
            </w:tcBorders>
          </w:tcPr>
          <w:p w14:paraId="1A8817DB" w14:textId="5AA0DBDC" w:rsidR="007C1883" w:rsidRDefault="0087601B" w:rsidP="00C44ADB">
            <w:pPr>
              <w:pStyle w:val="TableText"/>
              <w:numPr>
                <w:ilvl w:val="0"/>
                <w:numId w:val="3"/>
              </w:numPr>
            </w:pPr>
            <w:r>
              <w:t xml:space="preserve">Seek input and technical expertise </w:t>
            </w:r>
            <w:r w:rsidR="00CC1830">
              <w:t>with assigned tasks</w:t>
            </w:r>
          </w:p>
          <w:p w14:paraId="2E0D9D39" w14:textId="6286B291" w:rsidR="00CC1830" w:rsidRPr="007C1883" w:rsidRDefault="00CC1830" w:rsidP="00C44ADB">
            <w:pPr>
              <w:pStyle w:val="TableText"/>
              <w:numPr>
                <w:ilvl w:val="0"/>
                <w:numId w:val="3"/>
              </w:numPr>
            </w:pPr>
            <w:r>
              <w:t>Mentoring and development of skills</w:t>
            </w:r>
          </w:p>
        </w:tc>
      </w:tr>
      <w:tr w:rsidR="007C1883" w:rsidRPr="007C1883" w14:paraId="2E0D9D3D" w14:textId="77777777" w:rsidTr="00CE105E">
        <w:tc>
          <w:tcPr>
            <w:tcW w:w="3601" w:type="dxa"/>
            <w:tcBorders>
              <w:top w:val="single" w:sz="8" w:space="0" w:color="auto"/>
              <w:bottom w:val="single" w:sz="8" w:space="0" w:color="BCBEC0"/>
            </w:tcBorders>
          </w:tcPr>
          <w:p w14:paraId="2E0D9D3B" w14:textId="3C26765B" w:rsidR="007C1883" w:rsidRPr="007C1883" w:rsidRDefault="00F45AF8" w:rsidP="00C44ADB">
            <w:pPr>
              <w:pStyle w:val="TableText"/>
            </w:pPr>
            <w:r>
              <w:t xml:space="preserve">Other </w:t>
            </w:r>
            <w:r w:rsidR="00C44ADB">
              <w:t>DRG</w:t>
            </w:r>
            <w:r>
              <w:t xml:space="preserve"> staff (</w:t>
            </w:r>
            <w:proofErr w:type="spellStart"/>
            <w:r>
              <w:t>e.g</w:t>
            </w:r>
            <w:proofErr w:type="spellEnd"/>
            <w:r w:rsidR="00CC1830">
              <w:t xml:space="preserve">: Resource Operations and </w:t>
            </w:r>
            <w:r w:rsidR="00C44ADB">
              <w:t>Resources Regulator</w:t>
            </w:r>
            <w:r>
              <w:t>).</w:t>
            </w:r>
          </w:p>
        </w:tc>
        <w:tc>
          <w:tcPr>
            <w:tcW w:w="6986" w:type="dxa"/>
            <w:tcBorders>
              <w:top w:val="single" w:sz="8" w:space="0" w:color="auto"/>
              <w:bottom w:val="single" w:sz="8" w:space="0" w:color="BCBEC0"/>
            </w:tcBorders>
          </w:tcPr>
          <w:p w14:paraId="2E0D9D3C" w14:textId="77777777" w:rsidR="007C1883" w:rsidRPr="007C1883" w:rsidRDefault="007C1883" w:rsidP="001675B5">
            <w:pPr>
              <w:pStyle w:val="TableText"/>
              <w:numPr>
                <w:ilvl w:val="0"/>
                <w:numId w:val="3"/>
              </w:numPr>
            </w:pPr>
            <w:r w:rsidRPr="007C1883">
              <w:t>Maintain effective communication to ensure timely and efficient pro</w:t>
            </w:r>
            <w:r w:rsidR="00F45AF8">
              <w:t>cessing of assessments and related</w:t>
            </w:r>
            <w:r w:rsidRPr="007C1883">
              <w:t xml:space="preserve"> work flows.</w:t>
            </w:r>
          </w:p>
        </w:tc>
      </w:tr>
      <w:tr w:rsidR="002050D6" w:rsidRPr="00A8245E" w14:paraId="2E0D9D40" w14:textId="77777777" w:rsidTr="00CE105E">
        <w:tc>
          <w:tcPr>
            <w:tcW w:w="3601" w:type="dxa"/>
            <w:shd w:val="clear" w:color="auto" w:fill="BCBEC0"/>
          </w:tcPr>
          <w:p w14:paraId="2E0D9D3E" w14:textId="77777777" w:rsidR="002050D6" w:rsidRPr="00A8245E" w:rsidRDefault="002050D6" w:rsidP="00BD7BA7">
            <w:pPr>
              <w:pStyle w:val="TableText"/>
              <w:keepNext/>
              <w:rPr>
                <w:b/>
              </w:rPr>
            </w:pPr>
            <w:r w:rsidRPr="00A8245E">
              <w:rPr>
                <w:b/>
              </w:rPr>
              <w:t>External</w:t>
            </w:r>
          </w:p>
        </w:tc>
        <w:tc>
          <w:tcPr>
            <w:tcW w:w="6986" w:type="dxa"/>
            <w:shd w:val="clear" w:color="auto" w:fill="BCBEC0"/>
          </w:tcPr>
          <w:p w14:paraId="2E0D9D3F" w14:textId="77777777" w:rsidR="002050D6" w:rsidRPr="00A8245E" w:rsidRDefault="002050D6" w:rsidP="00BD7BA7">
            <w:pPr>
              <w:pStyle w:val="TableText"/>
              <w:keepNext/>
              <w:rPr>
                <w:b/>
              </w:rPr>
            </w:pPr>
          </w:p>
        </w:tc>
      </w:tr>
      <w:tr w:rsidR="002050D6" w:rsidRPr="00C978B9" w14:paraId="2E0D9D43" w14:textId="77777777" w:rsidTr="00CE105E">
        <w:tc>
          <w:tcPr>
            <w:tcW w:w="3601" w:type="dxa"/>
            <w:tcBorders>
              <w:top w:val="single" w:sz="8" w:space="0" w:color="auto"/>
              <w:bottom w:val="single" w:sz="8" w:space="0" w:color="BCBEC0"/>
            </w:tcBorders>
          </w:tcPr>
          <w:p w14:paraId="2E0D9D41" w14:textId="77777777" w:rsidR="002050D6" w:rsidRPr="00C44ADB" w:rsidRDefault="007C1883" w:rsidP="00C44ADB">
            <w:pPr>
              <w:pStyle w:val="TableText"/>
            </w:pPr>
            <w:r w:rsidRPr="00C44ADB">
              <w:rPr>
                <w:rFonts w:cs="Arial"/>
              </w:rPr>
              <w:t>Exploration company &amp; other title holder personnel.</w:t>
            </w:r>
          </w:p>
        </w:tc>
        <w:tc>
          <w:tcPr>
            <w:tcW w:w="6986" w:type="dxa"/>
            <w:tcBorders>
              <w:top w:val="single" w:sz="8" w:space="0" w:color="auto"/>
              <w:bottom w:val="single" w:sz="8" w:space="0" w:color="BCBEC0"/>
            </w:tcBorders>
          </w:tcPr>
          <w:p w14:paraId="2E0D9D42" w14:textId="77777777" w:rsidR="002050D6" w:rsidRPr="00C44ADB" w:rsidRDefault="007C1883" w:rsidP="001675B5">
            <w:pPr>
              <w:pStyle w:val="TableText"/>
              <w:numPr>
                <w:ilvl w:val="0"/>
                <w:numId w:val="3"/>
              </w:numPr>
            </w:pPr>
            <w:r w:rsidRPr="00C44ADB">
              <w:t>Liaise with exploration companies with respect to their reports and activities and the Department’s requirements</w:t>
            </w:r>
          </w:p>
        </w:tc>
      </w:tr>
    </w:tbl>
    <w:p w14:paraId="2E0D9D44" w14:textId="77777777" w:rsidR="00BB532F" w:rsidRDefault="00BB532F"/>
    <w:p w14:paraId="2E0D9D45" w14:textId="77777777" w:rsidR="00603D53" w:rsidRDefault="00603D53" w:rsidP="00614552">
      <w:pPr>
        <w:pStyle w:val="Heading1"/>
        <w:rPr>
          <w:sz w:val="28"/>
        </w:rPr>
      </w:pPr>
      <w:r w:rsidRPr="00614552">
        <w:t>Role dimensions</w:t>
      </w:r>
    </w:p>
    <w:p w14:paraId="2E0D9D46" w14:textId="77777777" w:rsidR="00603D53" w:rsidRPr="00614552" w:rsidRDefault="00603D53" w:rsidP="00614552">
      <w:pPr>
        <w:pStyle w:val="Heading2"/>
      </w:pPr>
      <w:r w:rsidRPr="00614552">
        <w:t>Decision making</w:t>
      </w:r>
    </w:p>
    <w:p w14:paraId="2E0D9D47" w14:textId="77777777" w:rsidR="00376152" w:rsidRPr="00376152" w:rsidRDefault="0015352A" w:rsidP="0015352A">
      <w:pPr>
        <w:pStyle w:val="ListParagraph"/>
        <w:numPr>
          <w:ilvl w:val="0"/>
          <w:numId w:val="4"/>
        </w:numPr>
        <w:rPr>
          <w:rFonts w:cs="Arial"/>
          <w:szCs w:val="26"/>
        </w:rPr>
      </w:pPr>
      <w:r w:rsidRPr="0015352A">
        <w:rPr>
          <w:rFonts w:cs="Arial"/>
          <w:szCs w:val="26"/>
        </w:rPr>
        <w:t xml:space="preserve">In discussion with and directions of the supervisor, </w:t>
      </w:r>
      <w:r>
        <w:rPr>
          <w:rFonts w:cs="Arial"/>
          <w:szCs w:val="26"/>
        </w:rPr>
        <w:t xml:space="preserve">determines </w:t>
      </w:r>
      <w:r w:rsidRPr="0015352A">
        <w:rPr>
          <w:rFonts w:cs="Arial"/>
          <w:szCs w:val="26"/>
        </w:rPr>
        <w:t>office work schedule and priorities</w:t>
      </w:r>
      <w:r>
        <w:rPr>
          <w:rFonts w:cs="Arial"/>
          <w:szCs w:val="26"/>
        </w:rPr>
        <w:t xml:space="preserve"> - m</w:t>
      </w:r>
      <w:r w:rsidRPr="0015352A">
        <w:rPr>
          <w:rFonts w:cs="Arial"/>
          <w:szCs w:val="26"/>
        </w:rPr>
        <w:t xml:space="preserve">uch of the assessment work </w:t>
      </w:r>
      <w:r>
        <w:rPr>
          <w:rFonts w:cs="Arial"/>
          <w:szCs w:val="26"/>
        </w:rPr>
        <w:t xml:space="preserve">and advice </w:t>
      </w:r>
      <w:r w:rsidRPr="0015352A">
        <w:rPr>
          <w:rFonts w:cs="Arial"/>
          <w:szCs w:val="26"/>
        </w:rPr>
        <w:t>must be provided</w:t>
      </w:r>
      <w:r>
        <w:rPr>
          <w:rFonts w:cs="Arial"/>
          <w:szCs w:val="26"/>
        </w:rPr>
        <w:t xml:space="preserve"> by deadlines set by supervisor and mandated KPIs.</w:t>
      </w:r>
    </w:p>
    <w:p w14:paraId="2E0D9D48" w14:textId="77777777" w:rsidR="00376152" w:rsidRPr="00376152" w:rsidRDefault="00603D53" w:rsidP="00376152">
      <w:pPr>
        <w:pStyle w:val="ListParagraph"/>
        <w:numPr>
          <w:ilvl w:val="0"/>
          <w:numId w:val="4"/>
        </w:numPr>
        <w:rPr>
          <w:rFonts w:cs="Arial"/>
          <w:szCs w:val="26"/>
        </w:rPr>
      </w:pPr>
      <w:r w:rsidRPr="00376152">
        <w:rPr>
          <w:rFonts w:cs="Arial"/>
          <w:szCs w:val="26"/>
        </w:rPr>
        <w:t xml:space="preserve">Initiates and maintains communications strategies and networks with internal and external stakeholders </w:t>
      </w:r>
    </w:p>
    <w:p w14:paraId="2E0D9D49" w14:textId="77777777" w:rsidR="00603D53" w:rsidRPr="0087601B" w:rsidRDefault="0015352A" w:rsidP="0087601B">
      <w:pPr>
        <w:pStyle w:val="ListParagraph"/>
        <w:numPr>
          <w:ilvl w:val="0"/>
          <w:numId w:val="4"/>
        </w:numPr>
        <w:rPr>
          <w:rFonts w:cs="Arial"/>
          <w:szCs w:val="26"/>
        </w:rPr>
      </w:pPr>
      <w:r>
        <w:rPr>
          <w:rFonts w:cs="Arial"/>
          <w:szCs w:val="26"/>
        </w:rPr>
        <w:t>M</w:t>
      </w:r>
      <w:r w:rsidRPr="0015352A">
        <w:rPr>
          <w:rFonts w:cs="Arial"/>
          <w:szCs w:val="26"/>
        </w:rPr>
        <w:t>ake</w:t>
      </w:r>
      <w:r>
        <w:rPr>
          <w:rFonts w:cs="Arial"/>
          <w:szCs w:val="26"/>
        </w:rPr>
        <w:t>s</w:t>
      </w:r>
      <w:r w:rsidRPr="0015352A">
        <w:rPr>
          <w:rFonts w:cs="Arial"/>
          <w:szCs w:val="26"/>
        </w:rPr>
        <w:t xml:space="preserve"> judgements regarding exploration title holders’ compliance with the Department’s requirements, policies and legislation </w:t>
      </w:r>
    </w:p>
    <w:p w14:paraId="2E0D9D4A" w14:textId="77777777" w:rsidR="00603D53" w:rsidRPr="00614552" w:rsidRDefault="00603D53" w:rsidP="00614552">
      <w:pPr>
        <w:pStyle w:val="Heading2"/>
      </w:pPr>
      <w:r w:rsidRPr="00614552">
        <w:t>Reporting line</w:t>
      </w:r>
    </w:p>
    <w:p w14:paraId="2E0D9D4B" w14:textId="3572435F" w:rsidR="00603D53" w:rsidRPr="00603D53" w:rsidRDefault="00C44ADB">
      <w:pPr>
        <w:rPr>
          <w:rFonts w:cs="Arial"/>
          <w:szCs w:val="26"/>
        </w:rPr>
      </w:pPr>
      <w:r w:rsidRPr="008F1C66">
        <w:rPr>
          <w:rFonts w:cs="Arial"/>
          <w:szCs w:val="26"/>
        </w:rPr>
        <w:t>Manager</w:t>
      </w:r>
      <w:r w:rsidR="00291C31">
        <w:rPr>
          <w:rFonts w:cs="Arial"/>
          <w:szCs w:val="26"/>
        </w:rPr>
        <w:t>,</w:t>
      </w:r>
      <w:r w:rsidR="007B2FCB">
        <w:rPr>
          <w:rFonts w:cs="Arial"/>
          <w:szCs w:val="26"/>
        </w:rPr>
        <w:t xml:space="preserve"> </w:t>
      </w:r>
      <w:r w:rsidR="00AE04C1" w:rsidRPr="008F1C66">
        <w:rPr>
          <w:rFonts w:cs="Arial"/>
          <w:szCs w:val="26"/>
        </w:rPr>
        <w:t>Min</w:t>
      </w:r>
      <w:r w:rsidRPr="008F1C66">
        <w:rPr>
          <w:rFonts w:cs="Arial"/>
          <w:szCs w:val="26"/>
        </w:rPr>
        <w:t>ing &amp;</w:t>
      </w:r>
      <w:r w:rsidR="00AE04C1" w:rsidRPr="008F1C66">
        <w:rPr>
          <w:rFonts w:cs="Arial"/>
          <w:szCs w:val="26"/>
        </w:rPr>
        <w:t xml:space="preserve"> Exploration Assessment</w:t>
      </w:r>
    </w:p>
    <w:p w14:paraId="2E0D9D4C" w14:textId="77777777" w:rsidR="00603D53" w:rsidRPr="00614552" w:rsidRDefault="00603D53" w:rsidP="00614552">
      <w:pPr>
        <w:pStyle w:val="Heading2"/>
      </w:pPr>
      <w:r w:rsidRPr="00614552">
        <w:lastRenderedPageBreak/>
        <w:t>Direct reports</w:t>
      </w:r>
    </w:p>
    <w:p w14:paraId="2E0D9D4D" w14:textId="77777777" w:rsidR="00603D53" w:rsidRPr="00603D53" w:rsidRDefault="00603D53">
      <w:pPr>
        <w:rPr>
          <w:rFonts w:cs="Arial"/>
          <w:szCs w:val="26"/>
        </w:rPr>
      </w:pPr>
      <w:r w:rsidRPr="00603D53">
        <w:rPr>
          <w:rFonts w:cs="Arial"/>
          <w:szCs w:val="26"/>
        </w:rPr>
        <w:t>Nil</w:t>
      </w:r>
    </w:p>
    <w:p w14:paraId="2E0D9D4E" w14:textId="77777777" w:rsidR="00603D53" w:rsidRPr="00614552" w:rsidRDefault="00603D53" w:rsidP="00614552">
      <w:pPr>
        <w:pStyle w:val="Heading2"/>
      </w:pPr>
      <w:r w:rsidRPr="00614552">
        <w:t>Budget/Expenditure</w:t>
      </w:r>
    </w:p>
    <w:p w14:paraId="2E0D9D4F" w14:textId="77777777" w:rsidR="00603D53" w:rsidRPr="00603D53" w:rsidRDefault="00603D53">
      <w:pPr>
        <w:rPr>
          <w:rFonts w:cs="Arial"/>
          <w:szCs w:val="26"/>
        </w:rPr>
      </w:pPr>
      <w:r w:rsidRPr="00603D53">
        <w:rPr>
          <w:rFonts w:cs="Arial"/>
          <w:szCs w:val="26"/>
        </w:rPr>
        <w:t>Nil</w:t>
      </w:r>
    </w:p>
    <w:p w14:paraId="2E0D9D50" w14:textId="77777777" w:rsidR="00205A8A" w:rsidRPr="00614552" w:rsidRDefault="00205A8A" w:rsidP="00205A8A">
      <w:pPr>
        <w:tabs>
          <w:tab w:val="left" w:pos="2925"/>
        </w:tabs>
        <w:rPr>
          <w:rStyle w:val="Heading1Char"/>
        </w:rPr>
      </w:pPr>
      <w:r w:rsidRPr="00614552">
        <w:rPr>
          <w:rStyle w:val="Heading1Char"/>
        </w:rPr>
        <w:t>Essential requirements</w:t>
      </w:r>
    </w:p>
    <w:p w14:paraId="2E0D9D51" w14:textId="68E21205" w:rsidR="00AE04C1" w:rsidRDefault="007B2FCB" w:rsidP="007B2FCB">
      <w:pPr>
        <w:pStyle w:val="ListParagraph"/>
        <w:numPr>
          <w:ilvl w:val="0"/>
          <w:numId w:val="5"/>
        </w:numPr>
        <w:tabs>
          <w:tab w:val="left" w:pos="2925"/>
        </w:tabs>
        <w:rPr>
          <w:rFonts w:cs="Arial"/>
        </w:rPr>
      </w:pPr>
      <w:r w:rsidRPr="007B2FCB">
        <w:rPr>
          <w:rFonts w:cs="Arial"/>
        </w:rPr>
        <w:t>Degree in geoscience, or a related field</w:t>
      </w:r>
    </w:p>
    <w:p w14:paraId="43DA3FC1" w14:textId="527A5973" w:rsidR="007B2FCB" w:rsidRPr="00AE04C1" w:rsidRDefault="007B2FCB" w:rsidP="007B2FCB">
      <w:pPr>
        <w:pStyle w:val="ListParagraph"/>
        <w:numPr>
          <w:ilvl w:val="0"/>
          <w:numId w:val="5"/>
        </w:numPr>
        <w:tabs>
          <w:tab w:val="left" w:pos="2925"/>
        </w:tabs>
        <w:rPr>
          <w:rFonts w:cs="Arial"/>
        </w:rPr>
      </w:pPr>
      <w:r>
        <w:rPr>
          <w:rFonts w:cs="Arial"/>
        </w:rPr>
        <w:t>Knowledge of mineral exploration or mining with an understanding of resource sector trends</w:t>
      </w:r>
    </w:p>
    <w:p w14:paraId="2E0D9D52" w14:textId="085F7E3B" w:rsidR="00205A8A" w:rsidRPr="00376152" w:rsidRDefault="00AE04C1" w:rsidP="00AE04C1">
      <w:pPr>
        <w:pStyle w:val="ListParagraph"/>
        <w:numPr>
          <w:ilvl w:val="0"/>
          <w:numId w:val="5"/>
        </w:numPr>
        <w:tabs>
          <w:tab w:val="left" w:pos="2925"/>
        </w:tabs>
        <w:rPr>
          <w:rFonts w:ascii="Georgia" w:hAnsi="Georgia"/>
        </w:rPr>
      </w:pPr>
      <w:r w:rsidRPr="00AE04C1">
        <w:rPr>
          <w:rFonts w:cs="Arial"/>
        </w:rPr>
        <w:t xml:space="preserve">Demonstrated good communication and computer skills (including the use of GIS) in geoscience, and document management </w:t>
      </w:r>
    </w:p>
    <w:p w14:paraId="2E0D9D53" w14:textId="77777777" w:rsidR="00994DCE" w:rsidRPr="00C978B9" w:rsidRDefault="00994DCE" w:rsidP="00994DCE">
      <w:pPr>
        <w:pStyle w:val="Heading1"/>
      </w:pPr>
      <w:r w:rsidRPr="00C978B9">
        <w:t>Capabilities for the role</w:t>
      </w:r>
    </w:p>
    <w:p w14:paraId="2E0D9D54"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9" w:history="1">
        <w:r w:rsidRPr="00325E9D">
          <w:rPr>
            <w:rStyle w:val="Hyperlink"/>
            <w:rFonts w:cs="Arial"/>
            <w:sz w:val="22"/>
          </w:rPr>
          <w:t>www.psc.nsw.gov.au/capabilityframework</w:t>
        </w:r>
      </w:hyperlink>
    </w:p>
    <w:p w14:paraId="2E0D9D55" w14:textId="77777777" w:rsidR="00994DCE" w:rsidRPr="00C978B9" w:rsidRDefault="00994DCE" w:rsidP="00994DCE">
      <w:pPr>
        <w:pStyle w:val="Heading2"/>
      </w:pPr>
      <w:r w:rsidRPr="00C978B9">
        <w:t xml:space="preserve">Capability </w:t>
      </w:r>
      <w:r>
        <w:t>s</w:t>
      </w:r>
      <w:r w:rsidRPr="00C978B9">
        <w:t>ummary</w:t>
      </w:r>
    </w:p>
    <w:p w14:paraId="2E0D9D56" w14:textId="77777777"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14:paraId="2E0D9D58" w14:textId="7777777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E0D9D57" w14:textId="77777777" w:rsidR="00FD3076" w:rsidRPr="00803E47" w:rsidRDefault="00FD3076" w:rsidP="00FD3076">
            <w:pPr>
              <w:pStyle w:val="TableTextWhite0"/>
              <w:keepNext/>
            </w:pPr>
            <w:r>
              <w:t>NSW Public Sector Capability Framework</w:t>
            </w:r>
          </w:p>
        </w:tc>
      </w:tr>
      <w:tr w:rsidR="00FD3076" w:rsidRPr="00C978B9" w14:paraId="2E0D9D5C" w14:textId="77777777"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2E0D9D59" w14:textId="77777777"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2E0D9D5A" w14:textId="77777777"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2E0D9D5B" w14:textId="77777777" w:rsidR="00FD3076" w:rsidRPr="00C978B9" w:rsidRDefault="00FD3076" w:rsidP="00FD3076">
            <w:pPr>
              <w:pStyle w:val="TableText"/>
              <w:keepNext/>
              <w:rPr>
                <w:b/>
                <w:sz w:val="24"/>
                <w:szCs w:val="24"/>
              </w:rPr>
            </w:pPr>
            <w:r>
              <w:rPr>
                <w:b/>
              </w:rPr>
              <w:t>Level</w:t>
            </w:r>
          </w:p>
        </w:tc>
      </w:tr>
      <w:tr w:rsidR="00373737" w:rsidRPr="00C978B9" w14:paraId="2E0D9D60" w14:textId="77777777" w:rsidTr="00A41E4E">
        <w:tc>
          <w:tcPr>
            <w:tcW w:w="2042" w:type="dxa"/>
            <w:vMerge w:val="restart"/>
            <w:tcBorders>
              <w:top w:val="gems" w:sz="8" w:space="0" w:color="BCBEC0"/>
              <w:bottom w:val="single" w:sz="8" w:space="0" w:color="BCBEC0"/>
            </w:tcBorders>
            <w:vAlign w:val="center"/>
          </w:tcPr>
          <w:p w14:paraId="2E0D9D5D" w14:textId="77777777" w:rsidR="00373737" w:rsidRPr="00C978B9" w:rsidRDefault="00373737" w:rsidP="00131907">
            <w:pPr>
              <w:keepNext/>
            </w:pPr>
            <w:r w:rsidRPr="00C978B9">
              <w:rPr>
                <w:noProof/>
                <w:lang w:eastAsia="en-AU"/>
              </w:rPr>
              <w:drawing>
                <wp:inline distT="0" distB="0" distL="0" distR="0" wp14:anchorId="2E0D9DD5" wp14:editId="2E0D9DD6">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14:paraId="2E0D9D5E" w14:textId="77777777" w:rsidR="00373737" w:rsidRPr="005D716E" w:rsidRDefault="006B723B" w:rsidP="006B723B">
            <w:pPr>
              <w:pStyle w:val="TableText"/>
              <w:keepNext/>
              <w:rPr>
                <w:sz w:val="24"/>
                <w:szCs w:val="24"/>
              </w:rPr>
            </w:pPr>
            <w:r w:rsidRPr="005D716E">
              <w:t>Display Resilience and Courage</w:t>
            </w:r>
          </w:p>
        </w:tc>
        <w:tc>
          <w:tcPr>
            <w:tcW w:w="3357" w:type="dxa"/>
            <w:tcBorders>
              <w:top w:val="gems" w:sz="8" w:space="0" w:color="BCBEC0"/>
              <w:bottom w:val="single" w:sz="8" w:space="0" w:color="BCBEC0"/>
            </w:tcBorders>
          </w:tcPr>
          <w:p w14:paraId="2E0D9D5F" w14:textId="50BFE91F" w:rsidR="00373737" w:rsidRPr="005D716E" w:rsidRDefault="007B2FCB" w:rsidP="006B723B">
            <w:pPr>
              <w:pStyle w:val="TableText"/>
              <w:keepNext/>
            </w:pPr>
            <w:r>
              <w:t>Intermediate</w:t>
            </w:r>
          </w:p>
        </w:tc>
      </w:tr>
      <w:tr w:rsidR="00373737" w:rsidRPr="00C978B9" w14:paraId="2E0D9D64" w14:textId="77777777" w:rsidTr="00A8686E">
        <w:tc>
          <w:tcPr>
            <w:tcW w:w="2042" w:type="dxa"/>
            <w:vMerge/>
            <w:tcBorders>
              <w:bottom w:val="single" w:sz="4" w:space="0" w:color="BCBEC0"/>
            </w:tcBorders>
          </w:tcPr>
          <w:p w14:paraId="2E0D9D61" w14:textId="77777777" w:rsidR="00373737" w:rsidRPr="00C978B9" w:rsidRDefault="00373737" w:rsidP="00131907">
            <w:pPr>
              <w:keepNext/>
            </w:pPr>
          </w:p>
        </w:tc>
        <w:tc>
          <w:tcPr>
            <w:tcW w:w="5458" w:type="dxa"/>
            <w:tcBorders>
              <w:bottom w:val="single" w:sz="4" w:space="0" w:color="BCBEC0"/>
            </w:tcBorders>
          </w:tcPr>
          <w:p w14:paraId="2E0D9D62" w14:textId="77777777" w:rsidR="00373737" w:rsidRPr="00610758" w:rsidRDefault="0001016C" w:rsidP="0001016C">
            <w:pPr>
              <w:pStyle w:val="TableText"/>
              <w:keepNext/>
              <w:rPr>
                <w:b/>
                <w:sz w:val="24"/>
                <w:szCs w:val="24"/>
              </w:rPr>
            </w:pPr>
            <w:r>
              <w:rPr>
                <w:b/>
              </w:rPr>
              <w:t>Act with Integrity</w:t>
            </w:r>
          </w:p>
        </w:tc>
        <w:tc>
          <w:tcPr>
            <w:tcW w:w="3357" w:type="dxa"/>
            <w:tcBorders>
              <w:bottom w:val="single" w:sz="4" w:space="0" w:color="BCBEC0"/>
            </w:tcBorders>
          </w:tcPr>
          <w:p w14:paraId="2E0D9D63" w14:textId="77777777" w:rsidR="00373737" w:rsidRPr="00610758" w:rsidRDefault="0001016C" w:rsidP="0001016C">
            <w:pPr>
              <w:pStyle w:val="TableText"/>
              <w:keepNext/>
              <w:rPr>
                <w:b/>
              </w:rPr>
            </w:pPr>
            <w:r>
              <w:rPr>
                <w:b/>
              </w:rPr>
              <w:t>Intermediate</w:t>
            </w:r>
          </w:p>
        </w:tc>
      </w:tr>
      <w:tr w:rsidR="00373737" w:rsidRPr="00C978B9" w14:paraId="2E0D9D68" w14:textId="77777777" w:rsidTr="00A41E4E">
        <w:tc>
          <w:tcPr>
            <w:tcW w:w="2042" w:type="dxa"/>
            <w:vMerge/>
            <w:tcBorders>
              <w:top w:val="single" w:sz="8" w:space="0" w:color="BCBEC0"/>
            </w:tcBorders>
          </w:tcPr>
          <w:p w14:paraId="2E0D9D65" w14:textId="77777777" w:rsidR="00373737" w:rsidRPr="00C978B9" w:rsidRDefault="00373737" w:rsidP="00131907">
            <w:pPr>
              <w:keepNext/>
            </w:pPr>
          </w:p>
        </w:tc>
        <w:tc>
          <w:tcPr>
            <w:tcW w:w="5458" w:type="dxa"/>
            <w:tcBorders>
              <w:top w:val="single" w:sz="8" w:space="0" w:color="BCBEC0"/>
            </w:tcBorders>
          </w:tcPr>
          <w:p w14:paraId="2E0D9D66" w14:textId="77777777" w:rsidR="00373737" w:rsidRPr="00C978B9" w:rsidRDefault="006B723B" w:rsidP="006B723B">
            <w:pPr>
              <w:pStyle w:val="TableText"/>
              <w:keepNext/>
              <w:rPr>
                <w:sz w:val="24"/>
                <w:szCs w:val="24"/>
              </w:rPr>
            </w:pPr>
            <w:r>
              <w:t>Manage Self</w:t>
            </w:r>
          </w:p>
        </w:tc>
        <w:tc>
          <w:tcPr>
            <w:tcW w:w="3357" w:type="dxa"/>
            <w:tcBorders>
              <w:top w:val="single" w:sz="8" w:space="0" w:color="BCBEC0"/>
            </w:tcBorders>
          </w:tcPr>
          <w:p w14:paraId="2E0D9D67" w14:textId="30FA1DF2" w:rsidR="00373737" w:rsidRPr="00A15CDB" w:rsidRDefault="007B2FCB" w:rsidP="006B723B">
            <w:pPr>
              <w:pStyle w:val="TableText"/>
              <w:keepNext/>
            </w:pPr>
            <w:r>
              <w:t>Interme</w:t>
            </w:r>
            <w:r w:rsidRPr="00326540">
              <w:t>dia</w:t>
            </w:r>
            <w:r>
              <w:t>te</w:t>
            </w:r>
          </w:p>
        </w:tc>
      </w:tr>
      <w:tr w:rsidR="00373737" w:rsidRPr="00C978B9" w14:paraId="2E0D9D6C" w14:textId="77777777" w:rsidTr="00A41E4E">
        <w:tc>
          <w:tcPr>
            <w:tcW w:w="2042" w:type="dxa"/>
            <w:vMerge/>
            <w:tcBorders>
              <w:top w:val="single" w:sz="8" w:space="0" w:color="BCBEC0"/>
            </w:tcBorders>
          </w:tcPr>
          <w:p w14:paraId="2E0D9D69" w14:textId="77777777" w:rsidR="00373737" w:rsidRPr="00C978B9" w:rsidRDefault="00373737" w:rsidP="00131907">
            <w:pPr>
              <w:keepNext/>
            </w:pPr>
          </w:p>
        </w:tc>
        <w:tc>
          <w:tcPr>
            <w:tcW w:w="5458" w:type="dxa"/>
            <w:tcBorders>
              <w:top w:val="single" w:sz="8" w:space="0" w:color="BCBEC0"/>
            </w:tcBorders>
          </w:tcPr>
          <w:p w14:paraId="2E0D9D6A" w14:textId="77777777"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14:paraId="2E0D9D6B" w14:textId="77777777" w:rsidR="00373737" w:rsidRPr="00A15CDB" w:rsidRDefault="0087601B" w:rsidP="006B723B">
            <w:pPr>
              <w:pStyle w:val="TableText"/>
              <w:keepNext/>
            </w:pPr>
            <w:r w:rsidRPr="00377C76">
              <w:t>Foundational</w:t>
            </w:r>
          </w:p>
        </w:tc>
      </w:tr>
      <w:tr w:rsidR="00373737" w:rsidRPr="00C978B9" w14:paraId="2E0D9D70" w14:textId="77777777" w:rsidTr="00A41E4E">
        <w:tc>
          <w:tcPr>
            <w:tcW w:w="2042" w:type="dxa"/>
            <w:vMerge w:val="restart"/>
            <w:tcBorders>
              <w:top w:val="single" w:sz="12" w:space="0" w:color="auto"/>
              <w:bottom w:val="single" w:sz="8" w:space="0" w:color="BCBEC0"/>
            </w:tcBorders>
            <w:vAlign w:val="center"/>
          </w:tcPr>
          <w:p w14:paraId="2E0D9D6D" w14:textId="77777777" w:rsidR="00373737" w:rsidRPr="00C978B9" w:rsidRDefault="00373737" w:rsidP="00131907">
            <w:pPr>
              <w:keepNext/>
            </w:pPr>
            <w:r w:rsidRPr="00C978B9">
              <w:rPr>
                <w:noProof/>
                <w:lang w:eastAsia="en-AU"/>
              </w:rPr>
              <w:drawing>
                <wp:inline distT="0" distB="0" distL="0" distR="0" wp14:anchorId="2E0D9DD7" wp14:editId="2E0D9DD8">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2E0D9D6E" w14:textId="77777777" w:rsidR="00373737" w:rsidRPr="00610758" w:rsidRDefault="006B723B" w:rsidP="006B723B">
            <w:pPr>
              <w:pStyle w:val="TableText"/>
              <w:keepNext/>
              <w:rPr>
                <w:sz w:val="24"/>
                <w:szCs w:val="24"/>
              </w:rPr>
            </w:pPr>
            <w:r>
              <w:t>Communicate Effectively</w:t>
            </w:r>
          </w:p>
        </w:tc>
        <w:tc>
          <w:tcPr>
            <w:tcW w:w="3357" w:type="dxa"/>
            <w:tcBorders>
              <w:top w:val="single" w:sz="12" w:space="0" w:color="auto"/>
              <w:bottom w:val="single" w:sz="8" w:space="0" w:color="BCBEC0"/>
            </w:tcBorders>
          </w:tcPr>
          <w:p w14:paraId="2E0D9D6F" w14:textId="77777777" w:rsidR="00373737" w:rsidRPr="00610758" w:rsidRDefault="0087601B" w:rsidP="006B723B">
            <w:pPr>
              <w:pStyle w:val="TableText"/>
              <w:keepNext/>
            </w:pPr>
            <w:r w:rsidRPr="00377C76">
              <w:t>Foundational</w:t>
            </w:r>
          </w:p>
        </w:tc>
      </w:tr>
      <w:tr w:rsidR="00373737" w:rsidRPr="00C978B9" w14:paraId="2E0D9D74" w14:textId="77777777" w:rsidTr="00A8686E">
        <w:tc>
          <w:tcPr>
            <w:tcW w:w="2042" w:type="dxa"/>
            <w:vMerge/>
            <w:tcBorders>
              <w:bottom w:val="single" w:sz="4" w:space="0" w:color="BCBEC0"/>
            </w:tcBorders>
          </w:tcPr>
          <w:p w14:paraId="2E0D9D71" w14:textId="77777777" w:rsidR="00373737" w:rsidRPr="00C978B9" w:rsidRDefault="00373737" w:rsidP="00131907">
            <w:pPr>
              <w:keepNext/>
            </w:pPr>
          </w:p>
        </w:tc>
        <w:tc>
          <w:tcPr>
            <w:tcW w:w="5458" w:type="dxa"/>
            <w:tcBorders>
              <w:bottom w:val="single" w:sz="4" w:space="0" w:color="BCBEC0"/>
            </w:tcBorders>
          </w:tcPr>
          <w:p w14:paraId="2E0D9D72" w14:textId="77777777" w:rsidR="00373737" w:rsidRPr="0087601B" w:rsidRDefault="0001016C" w:rsidP="0001016C">
            <w:pPr>
              <w:pStyle w:val="TableText"/>
              <w:keepNext/>
              <w:rPr>
                <w:b/>
                <w:sz w:val="24"/>
                <w:szCs w:val="24"/>
              </w:rPr>
            </w:pPr>
            <w:r w:rsidRPr="0087601B">
              <w:rPr>
                <w:b/>
              </w:rPr>
              <w:t>Commit to Customer Service</w:t>
            </w:r>
          </w:p>
        </w:tc>
        <w:tc>
          <w:tcPr>
            <w:tcW w:w="3357" w:type="dxa"/>
            <w:tcBorders>
              <w:bottom w:val="single" w:sz="4" w:space="0" w:color="BCBEC0"/>
            </w:tcBorders>
          </w:tcPr>
          <w:p w14:paraId="2E0D9D73" w14:textId="77777777" w:rsidR="00373737" w:rsidRPr="0087601B" w:rsidRDefault="0087601B" w:rsidP="0001016C">
            <w:pPr>
              <w:pStyle w:val="TableText"/>
              <w:keepNext/>
              <w:rPr>
                <w:b/>
              </w:rPr>
            </w:pPr>
            <w:r w:rsidRPr="0087601B">
              <w:rPr>
                <w:b/>
              </w:rPr>
              <w:t>Intermediate</w:t>
            </w:r>
          </w:p>
        </w:tc>
      </w:tr>
      <w:tr w:rsidR="00373737" w:rsidRPr="00C978B9" w14:paraId="2E0D9D78" w14:textId="77777777" w:rsidTr="00A41E4E">
        <w:tc>
          <w:tcPr>
            <w:tcW w:w="2042" w:type="dxa"/>
            <w:vMerge/>
            <w:tcBorders>
              <w:top w:val="single" w:sz="8" w:space="0" w:color="BCBEC0"/>
            </w:tcBorders>
          </w:tcPr>
          <w:p w14:paraId="2E0D9D75" w14:textId="77777777" w:rsidR="00373737" w:rsidRPr="00C978B9" w:rsidRDefault="00373737" w:rsidP="00131907">
            <w:pPr>
              <w:keepNext/>
            </w:pPr>
          </w:p>
        </w:tc>
        <w:tc>
          <w:tcPr>
            <w:tcW w:w="5458" w:type="dxa"/>
            <w:tcBorders>
              <w:top w:val="single" w:sz="8" w:space="0" w:color="BCBEC0"/>
            </w:tcBorders>
          </w:tcPr>
          <w:p w14:paraId="2E0D9D76" w14:textId="77777777" w:rsidR="00373737" w:rsidRPr="00C978B9" w:rsidRDefault="006B723B" w:rsidP="006B723B">
            <w:pPr>
              <w:pStyle w:val="TableText"/>
              <w:keepNext/>
              <w:rPr>
                <w:sz w:val="24"/>
                <w:szCs w:val="24"/>
              </w:rPr>
            </w:pPr>
            <w:r>
              <w:t>Work Collaboratively</w:t>
            </w:r>
          </w:p>
        </w:tc>
        <w:tc>
          <w:tcPr>
            <w:tcW w:w="3357" w:type="dxa"/>
            <w:tcBorders>
              <w:top w:val="single" w:sz="8" w:space="0" w:color="BCBEC0"/>
            </w:tcBorders>
          </w:tcPr>
          <w:p w14:paraId="2E0D9D77" w14:textId="77777777" w:rsidR="00373737" w:rsidRPr="00A15CDB" w:rsidRDefault="0087601B" w:rsidP="006B723B">
            <w:pPr>
              <w:pStyle w:val="TableText"/>
              <w:keepNext/>
            </w:pPr>
            <w:r>
              <w:t>Intermediate</w:t>
            </w:r>
          </w:p>
        </w:tc>
      </w:tr>
      <w:tr w:rsidR="00373737" w:rsidRPr="00C978B9" w14:paraId="2E0D9D7C" w14:textId="77777777" w:rsidTr="00A41E4E">
        <w:tc>
          <w:tcPr>
            <w:tcW w:w="2042" w:type="dxa"/>
            <w:vMerge/>
            <w:tcBorders>
              <w:top w:val="single" w:sz="8" w:space="0" w:color="BCBEC0"/>
            </w:tcBorders>
          </w:tcPr>
          <w:p w14:paraId="2E0D9D79" w14:textId="77777777" w:rsidR="00373737" w:rsidRPr="00C978B9" w:rsidRDefault="00373737" w:rsidP="00131907">
            <w:pPr>
              <w:keepNext/>
            </w:pPr>
          </w:p>
        </w:tc>
        <w:tc>
          <w:tcPr>
            <w:tcW w:w="5458" w:type="dxa"/>
            <w:tcBorders>
              <w:top w:val="single" w:sz="8" w:space="0" w:color="BCBEC0"/>
            </w:tcBorders>
          </w:tcPr>
          <w:p w14:paraId="2E0D9D7A" w14:textId="77777777"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14:paraId="2E0D9D7B" w14:textId="77777777" w:rsidR="00373737" w:rsidRPr="00A15CDB" w:rsidRDefault="006B723B" w:rsidP="006B723B">
            <w:pPr>
              <w:pStyle w:val="TableText"/>
              <w:keepNext/>
            </w:pPr>
            <w:r>
              <w:t>Foundational</w:t>
            </w:r>
          </w:p>
        </w:tc>
      </w:tr>
      <w:tr w:rsidR="00373737" w:rsidRPr="00C978B9" w14:paraId="2E0D9D80" w14:textId="77777777" w:rsidTr="00A41E4E">
        <w:tc>
          <w:tcPr>
            <w:tcW w:w="2042" w:type="dxa"/>
            <w:vMerge w:val="restart"/>
            <w:tcBorders>
              <w:top w:val="single" w:sz="12" w:space="0" w:color="auto"/>
              <w:bottom w:val="single" w:sz="8" w:space="0" w:color="BCBEC0"/>
            </w:tcBorders>
            <w:vAlign w:val="center"/>
          </w:tcPr>
          <w:p w14:paraId="2E0D9D7D" w14:textId="77777777" w:rsidR="00373737" w:rsidRPr="00C978B9" w:rsidRDefault="00373737" w:rsidP="00131907">
            <w:pPr>
              <w:keepNext/>
            </w:pPr>
            <w:r w:rsidRPr="00C978B9">
              <w:rPr>
                <w:noProof/>
                <w:lang w:eastAsia="en-AU"/>
              </w:rPr>
              <w:drawing>
                <wp:inline distT="0" distB="0" distL="0" distR="0" wp14:anchorId="2E0D9DD9" wp14:editId="2E0D9DDA">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2E0D9D7E" w14:textId="77777777" w:rsidR="00373737" w:rsidRPr="00610758" w:rsidRDefault="006B723B" w:rsidP="006B723B">
            <w:pPr>
              <w:pStyle w:val="TableText"/>
              <w:keepNext/>
              <w:rPr>
                <w:sz w:val="24"/>
                <w:szCs w:val="24"/>
              </w:rPr>
            </w:pPr>
            <w:r>
              <w:t>Deliver Results</w:t>
            </w:r>
          </w:p>
        </w:tc>
        <w:tc>
          <w:tcPr>
            <w:tcW w:w="3357" w:type="dxa"/>
            <w:tcBorders>
              <w:top w:val="single" w:sz="12" w:space="0" w:color="auto"/>
              <w:bottom w:val="single" w:sz="8" w:space="0" w:color="BCBEC0"/>
            </w:tcBorders>
          </w:tcPr>
          <w:p w14:paraId="2E0D9D7F" w14:textId="77777777" w:rsidR="00373737" w:rsidRPr="00610758" w:rsidRDefault="0087601B" w:rsidP="006B723B">
            <w:pPr>
              <w:pStyle w:val="TableText"/>
              <w:keepNext/>
            </w:pPr>
            <w:r>
              <w:t>Foundational</w:t>
            </w:r>
          </w:p>
        </w:tc>
      </w:tr>
      <w:tr w:rsidR="00373737" w:rsidRPr="00C978B9" w14:paraId="2E0D9D84" w14:textId="77777777" w:rsidTr="00A41E4E">
        <w:tc>
          <w:tcPr>
            <w:tcW w:w="2042" w:type="dxa"/>
            <w:vMerge/>
            <w:tcBorders>
              <w:top w:val="single" w:sz="8" w:space="0" w:color="BCBEC0"/>
            </w:tcBorders>
          </w:tcPr>
          <w:p w14:paraId="2E0D9D81" w14:textId="77777777" w:rsidR="00373737" w:rsidRPr="00C978B9" w:rsidRDefault="00373737" w:rsidP="00131907">
            <w:pPr>
              <w:keepNext/>
            </w:pPr>
          </w:p>
        </w:tc>
        <w:tc>
          <w:tcPr>
            <w:tcW w:w="5458" w:type="dxa"/>
            <w:tcBorders>
              <w:top w:val="single" w:sz="8" w:space="0" w:color="BCBEC0"/>
            </w:tcBorders>
          </w:tcPr>
          <w:p w14:paraId="2E0D9D82" w14:textId="77777777" w:rsidR="00373737" w:rsidRPr="0087601B" w:rsidRDefault="006B723B" w:rsidP="006B723B">
            <w:pPr>
              <w:pStyle w:val="TableText"/>
              <w:keepNext/>
              <w:rPr>
                <w:b/>
                <w:sz w:val="24"/>
                <w:szCs w:val="24"/>
              </w:rPr>
            </w:pPr>
            <w:r w:rsidRPr="0087601B">
              <w:rPr>
                <w:b/>
              </w:rPr>
              <w:t>Plan and Prioritise</w:t>
            </w:r>
          </w:p>
        </w:tc>
        <w:tc>
          <w:tcPr>
            <w:tcW w:w="3357" w:type="dxa"/>
            <w:tcBorders>
              <w:top w:val="single" w:sz="8" w:space="0" w:color="BCBEC0"/>
            </w:tcBorders>
          </w:tcPr>
          <w:p w14:paraId="2E0D9D83" w14:textId="77777777" w:rsidR="00373737" w:rsidRPr="0087601B" w:rsidRDefault="006B723B" w:rsidP="006B723B">
            <w:pPr>
              <w:pStyle w:val="TableText"/>
              <w:keepNext/>
              <w:rPr>
                <w:b/>
              </w:rPr>
            </w:pPr>
            <w:r w:rsidRPr="0087601B">
              <w:rPr>
                <w:b/>
              </w:rPr>
              <w:t>Intermediate</w:t>
            </w:r>
          </w:p>
        </w:tc>
      </w:tr>
      <w:tr w:rsidR="00373737" w:rsidRPr="00C978B9" w14:paraId="2E0D9D88" w14:textId="77777777" w:rsidTr="00A8686E">
        <w:tc>
          <w:tcPr>
            <w:tcW w:w="2042" w:type="dxa"/>
            <w:vMerge/>
            <w:tcBorders>
              <w:bottom w:val="single" w:sz="4" w:space="0" w:color="BCBEC0"/>
            </w:tcBorders>
          </w:tcPr>
          <w:p w14:paraId="2E0D9D85" w14:textId="77777777" w:rsidR="00373737" w:rsidRPr="00C978B9" w:rsidRDefault="00373737" w:rsidP="00131907">
            <w:pPr>
              <w:keepNext/>
            </w:pPr>
          </w:p>
        </w:tc>
        <w:tc>
          <w:tcPr>
            <w:tcW w:w="5458" w:type="dxa"/>
            <w:tcBorders>
              <w:bottom w:val="single" w:sz="4" w:space="0" w:color="BCBEC0"/>
            </w:tcBorders>
          </w:tcPr>
          <w:p w14:paraId="2E0D9D86" w14:textId="77777777" w:rsidR="00373737" w:rsidRPr="0087601B" w:rsidRDefault="0001016C" w:rsidP="0001016C">
            <w:pPr>
              <w:pStyle w:val="TableText"/>
              <w:keepNext/>
              <w:rPr>
                <w:sz w:val="24"/>
                <w:szCs w:val="24"/>
              </w:rPr>
            </w:pPr>
            <w:r w:rsidRPr="0087601B">
              <w:t>Think and Solve Problems</w:t>
            </w:r>
          </w:p>
        </w:tc>
        <w:tc>
          <w:tcPr>
            <w:tcW w:w="3357" w:type="dxa"/>
            <w:tcBorders>
              <w:bottom w:val="single" w:sz="4" w:space="0" w:color="BCBEC0"/>
            </w:tcBorders>
          </w:tcPr>
          <w:p w14:paraId="2E0D9D87" w14:textId="77777777" w:rsidR="00373737" w:rsidRPr="0087601B" w:rsidRDefault="0087601B" w:rsidP="0001016C">
            <w:pPr>
              <w:pStyle w:val="TableText"/>
              <w:keepNext/>
            </w:pPr>
            <w:r w:rsidRPr="0087601B">
              <w:t>Foundational</w:t>
            </w:r>
          </w:p>
        </w:tc>
      </w:tr>
      <w:tr w:rsidR="00373737" w:rsidRPr="00C978B9" w14:paraId="2E0D9D8C" w14:textId="77777777" w:rsidTr="00A8686E">
        <w:tc>
          <w:tcPr>
            <w:tcW w:w="2042" w:type="dxa"/>
            <w:vMerge/>
            <w:tcBorders>
              <w:bottom w:val="single" w:sz="4" w:space="0" w:color="BCBEC0"/>
            </w:tcBorders>
          </w:tcPr>
          <w:p w14:paraId="2E0D9D89" w14:textId="77777777" w:rsidR="00373737" w:rsidRPr="00C978B9" w:rsidRDefault="00373737" w:rsidP="00131907">
            <w:pPr>
              <w:keepNext/>
            </w:pPr>
          </w:p>
        </w:tc>
        <w:tc>
          <w:tcPr>
            <w:tcW w:w="5458" w:type="dxa"/>
            <w:tcBorders>
              <w:bottom w:val="single" w:sz="4" w:space="0" w:color="BCBEC0"/>
            </w:tcBorders>
          </w:tcPr>
          <w:p w14:paraId="2E0D9D8A" w14:textId="77777777" w:rsidR="00373737" w:rsidRPr="0087601B" w:rsidRDefault="0001016C" w:rsidP="0001016C">
            <w:pPr>
              <w:pStyle w:val="TableText"/>
              <w:keepNext/>
              <w:rPr>
                <w:b/>
                <w:sz w:val="24"/>
                <w:szCs w:val="24"/>
              </w:rPr>
            </w:pPr>
            <w:r w:rsidRPr="0087601B">
              <w:rPr>
                <w:b/>
              </w:rPr>
              <w:t>Demonstrate Accountability</w:t>
            </w:r>
          </w:p>
        </w:tc>
        <w:tc>
          <w:tcPr>
            <w:tcW w:w="3357" w:type="dxa"/>
            <w:tcBorders>
              <w:bottom w:val="single" w:sz="4" w:space="0" w:color="BCBEC0"/>
            </w:tcBorders>
          </w:tcPr>
          <w:p w14:paraId="2E0D9D8B" w14:textId="3577C3C1" w:rsidR="00373737" w:rsidRPr="0087601B" w:rsidRDefault="007B2FCB" w:rsidP="0001016C">
            <w:pPr>
              <w:pStyle w:val="TableText"/>
              <w:keepNext/>
              <w:rPr>
                <w:b/>
              </w:rPr>
            </w:pPr>
            <w:r>
              <w:rPr>
                <w:b/>
              </w:rPr>
              <w:t>Intermediate</w:t>
            </w:r>
          </w:p>
        </w:tc>
      </w:tr>
      <w:tr w:rsidR="00373737" w:rsidRPr="00C978B9" w14:paraId="2E0D9D90" w14:textId="77777777" w:rsidTr="00A41E4E">
        <w:tc>
          <w:tcPr>
            <w:tcW w:w="2042" w:type="dxa"/>
            <w:vMerge w:val="restart"/>
            <w:tcBorders>
              <w:top w:val="single" w:sz="12" w:space="0" w:color="auto"/>
              <w:bottom w:val="single" w:sz="8" w:space="0" w:color="BCBEC0"/>
            </w:tcBorders>
            <w:vAlign w:val="center"/>
          </w:tcPr>
          <w:p w14:paraId="2E0D9D8D" w14:textId="77777777" w:rsidR="00373737" w:rsidRPr="00C978B9" w:rsidRDefault="00373737" w:rsidP="00131907">
            <w:pPr>
              <w:keepNext/>
            </w:pPr>
            <w:r w:rsidRPr="00C978B9">
              <w:rPr>
                <w:noProof/>
                <w:lang w:eastAsia="en-AU"/>
              </w:rPr>
              <w:drawing>
                <wp:inline distT="0" distB="0" distL="0" distR="0" wp14:anchorId="2E0D9DDB" wp14:editId="2E0D9DDC">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2E0D9D8E" w14:textId="77777777"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14:paraId="2E0D9D8F" w14:textId="77777777" w:rsidR="00373737" w:rsidRPr="00610758" w:rsidRDefault="006B723B" w:rsidP="006B723B">
            <w:pPr>
              <w:pStyle w:val="TableText"/>
              <w:keepNext/>
            </w:pPr>
            <w:r>
              <w:t>Foundational</w:t>
            </w:r>
          </w:p>
        </w:tc>
      </w:tr>
      <w:tr w:rsidR="00373737" w:rsidRPr="00C978B9" w14:paraId="2E0D9D94" w14:textId="77777777" w:rsidTr="00A8686E">
        <w:tc>
          <w:tcPr>
            <w:tcW w:w="2042" w:type="dxa"/>
            <w:vMerge/>
            <w:tcBorders>
              <w:bottom w:val="single" w:sz="4" w:space="0" w:color="BCBEC0"/>
            </w:tcBorders>
          </w:tcPr>
          <w:p w14:paraId="2E0D9D91" w14:textId="77777777" w:rsidR="00373737" w:rsidRPr="00C978B9" w:rsidRDefault="00373737" w:rsidP="00131907">
            <w:pPr>
              <w:keepNext/>
            </w:pPr>
          </w:p>
        </w:tc>
        <w:tc>
          <w:tcPr>
            <w:tcW w:w="5458" w:type="dxa"/>
            <w:tcBorders>
              <w:bottom w:val="single" w:sz="4" w:space="0" w:color="BCBEC0"/>
            </w:tcBorders>
          </w:tcPr>
          <w:p w14:paraId="2E0D9D92" w14:textId="77777777" w:rsidR="00373737" w:rsidRPr="0087601B" w:rsidRDefault="0001016C" w:rsidP="0001016C">
            <w:pPr>
              <w:pStyle w:val="TableText"/>
              <w:keepNext/>
              <w:rPr>
                <w:b/>
                <w:sz w:val="24"/>
                <w:szCs w:val="24"/>
              </w:rPr>
            </w:pPr>
            <w:r w:rsidRPr="0087601B">
              <w:rPr>
                <w:b/>
              </w:rPr>
              <w:t>Technology</w:t>
            </w:r>
          </w:p>
        </w:tc>
        <w:tc>
          <w:tcPr>
            <w:tcW w:w="3357" w:type="dxa"/>
            <w:tcBorders>
              <w:bottom w:val="single" w:sz="4" w:space="0" w:color="BCBEC0"/>
            </w:tcBorders>
          </w:tcPr>
          <w:p w14:paraId="2E0D9D93" w14:textId="34D11F57" w:rsidR="00373737" w:rsidRPr="0087601B" w:rsidRDefault="007B2FCB" w:rsidP="0001016C">
            <w:pPr>
              <w:pStyle w:val="TableText"/>
              <w:keepNext/>
              <w:rPr>
                <w:b/>
              </w:rPr>
            </w:pPr>
            <w:r>
              <w:rPr>
                <w:b/>
              </w:rPr>
              <w:t>Interm</w:t>
            </w:r>
            <w:r w:rsidRPr="00326540">
              <w:rPr>
                <w:b/>
              </w:rPr>
              <w:t>edia</w:t>
            </w:r>
            <w:r>
              <w:rPr>
                <w:b/>
              </w:rPr>
              <w:t>te</w:t>
            </w:r>
          </w:p>
        </w:tc>
      </w:tr>
      <w:tr w:rsidR="00373737" w:rsidRPr="00C978B9" w14:paraId="2E0D9D98" w14:textId="77777777" w:rsidTr="00A41E4E">
        <w:tc>
          <w:tcPr>
            <w:tcW w:w="2042" w:type="dxa"/>
            <w:vMerge/>
            <w:tcBorders>
              <w:top w:val="single" w:sz="8" w:space="0" w:color="BCBEC0"/>
            </w:tcBorders>
          </w:tcPr>
          <w:p w14:paraId="2E0D9D95" w14:textId="77777777" w:rsidR="00373737" w:rsidRPr="00C978B9" w:rsidRDefault="00373737" w:rsidP="00131907">
            <w:pPr>
              <w:keepNext/>
            </w:pPr>
          </w:p>
        </w:tc>
        <w:tc>
          <w:tcPr>
            <w:tcW w:w="5458" w:type="dxa"/>
            <w:tcBorders>
              <w:top w:val="single" w:sz="8" w:space="0" w:color="BCBEC0"/>
            </w:tcBorders>
          </w:tcPr>
          <w:p w14:paraId="2E0D9D96" w14:textId="77777777"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14:paraId="2E0D9D97" w14:textId="77777777" w:rsidR="00373737" w:rsidRPr="00A15CDB" w:rsidRDefault="0015352A" w:rsidP="006B723B">
            <w:pPr>
              <w:pStyle w:val="TableText"/>
              <w:keepNext/>
            </w:pPr>
            <w:r>
              <w:t>Foundational</w:t>
            </w:r>
          </w:p>
        </w:tc>
      </w:tr>
      <w:tr w:rsidR="00373737" w:rsidRPr="00C978B9" w14:paraId="2E0D9D9C" w14:textId="77777777" w:rsidTr="00A8686E">
        <w:tc>
          <w:tcPr>
            <w:tcW w:w="2042" w:type="dxa"/>
            <w:vMerge/>
            <w:tcBorders>
              <w:bottom w:val="single" w:sz="4" w:space="0" w:color="BCBEC0"/>
            </w:tcBorders>
          </w:tcPr>
          <w:p w14:paraId="2E0D9D99" w14:textId="77777777" w:rsidR="00373737" w:rsidRPr="00C978B9" w:rsidRDefault="00373737" w:rsidP="00131907">
            <w:pPr>
              <w:keepNext/>
            </w:pPr>
          </w:p>
        </w:tc>
        <w:tc>
          <w:tcPr>
            <w:tcW w:w="5458" w:type="dxa"/>
            <w:tcBorders>
              <w:bottom w:val="single" w:sz="4" w:space="0" w:color="BCBEC0"/>
            </w:tcBorders>
          </w:tcPr>
          <w:p w14:paraId="2E0D9D9A" w14:textId="77777777" w:rsidR="00373737" w:rsidRPr="0087601B" w:rsidRDefault="0001016C" w:rsidP="0001016C">
            <w:pPr>
              <w:pStyle w:val="TableText"/>
              <w:keepNext/>
              <w:rPr>
                <w:sz w:val="24"/>
                <w:szCs w:val="24"/>
              </w:rPr>
            </w:pPr>
            <w:r w:rsidRPr="0087601B">
              <w:t>Project Management</w:t>
            </w:r>
          </w:p>
        </w:tc>
        <w:tc>
          <w:tcPr>
            <w:tcW w:w="3357" w:type="dxa"/>
            <w:tcBorders>
              <w:bottom w:val="single" w:sz="4" w:space="0" w:color="BCBEC0"/>
            </w:tcBorders>
          </w:tcPr>
          <w:p w14:paraId="2E0D9D9B" w14:textId="77777777" w:rsidR="00373737" w:rsidRPr="0087601B" w:rsidRDefault="0087601B" w:rsidP="0001016C">
            <w:pPr>
              <w:pStyle w:val="TableText"/>
              <w:keepNext/>
            </w:pPr>
            <w:r w:rsidRPr="0087601B">
              <w:t>Foundational</w:t>
            </w:r>
          </w:p>
        </w:tc>
      </w:tr>
    </w:tbl>
    <w:p w14:paraId="2E0D9D9D" w14:textId="77777777" w:rsidR="002D36BB" w:rsidRDefault="002D36BB" w:rsidP="008E08E3"/>
    <w:p w14:paraId="2E0D9D9E" w14:textId="77777777" w:rsidR="002D36BB" w:rsidRDefault="002D36BB" w:rsidP="00325E9D"/>
    <w:p w14:paraId="2E0D9D9F" w14:textId="77777777" w:rsidR="00325E9D" w:rsidRPr="00C978B9" w:rsidRDefault="00325E9D" w:rsidP="00325E9D">
      <w:pPr>
        <w:pStyle w:val="Heading2"/>
      </w:pPr>
      <w:r w:rsidRPr="00C978B9">
        <w:lastRenderedPageBreak/>
        <w:t xml:space="preserve">Focus </w:t>
      </w:r>
      <w:r>
        <w:t>c</w:t>
      </w:r>
      <w:r w:rsidRPr="00C978B9">
        <w:t>apabilities</w:t>
      </w:r>
    </w:p>
    <w:p w14:paraId="2E0D9DA0" w14:textId="77777777" w:rsidR="00325E9D" w:rsidRDefault="00325E9D" w:rsidP="00325E9D">
      <w:r w:rsidRPr="00325E9D">
        <w:rPr>
          <w:rFonts w:cs="Arial"/>
        </w:rPr>
        <w:t xml:space="preserve">The focus capabilities for the role are the capabilities in which occupants must demonstrate immediate competence. The </w:t>
      </w:r>
      <w:proofErr w:type="spellStart"/>
      <w:r w:rsidRPr="00325E9D">
        <w:rPr>
          <w:rFonts w:cs="Arial"/>
        </w:rPr>
        <w:t>behavioural</w:t>
      </w:r>
      <w:proofErr w:type="spellEnd"/>
      <w:r w:rsidRPr="00325E9D">
        <w:rPr>
          <w:rFonts w:cs="Arial"/>
        </w:rPr>
        <w:t xml:space="preserve"> indicators provide examples of the types of </w:t>
      </w:r>
      <w:proofErr w:type="spellStart"/>
      <w:r w:rsidRPr="00325E9D">
        <w:rPr>
          <w:rFonts w:cs="Arial"/>
        </w:rPr>
        <w:t>behaviours</w:t>
      </w:r>
      <w:proofErr w:type="spellEnd"/>
      <w:r w:rsidRPr="00325E9D">
        <w:rPr>
          <w:rFonts w:cs="Arial"/>
        </w:rPr>
        <w:t xml:space="preserve">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8"/>
        <w:gridCol w:w="5760"/>
      </w:tblGrid>
      <w:tr w:rsidR="002D36BB" w:rsidRPr="00C978B9" w14:paraId="2E0D9DA2" w14:textId="77777777"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2E0D9DA1" w14:textId="77777777" w:rsidR="002D36BB" w:rsidRPr="00C978B9" w:rsidRDefault="002D36BB" w:rsidP="006C18F8">
            <w:pPr>
              <w:pStyle w:val="TableTextWhite0"/>
              <w:keepNext/>
            </w:pPr>
            <w:r w:rsidRPr="00C978B9">
              <w:t>NSW Public Sector Capability Framework</w:t>
            </w:r>
          </w:p>
        </w:tc>
      </w:tr>
      <w:tr w:rsidR="00A85305" w:rsidRPr="00C978B9" w14:paraId="2E0D9DA6" w14:textId="77777777"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14:paraId="2E0D9DA3" w14:textId="77777777"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14:paraId="2E0D9DA4" w14:textId="77777777"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14:paraId="2E0D9DA5" w14:textId="77777777" w:rsidR="00A85305" w:rsidRPr="00C978B9" w:rsidRDefault="00A85305" w:rsidP="00A85305">
            <w:pPr>
              <w:pStyle w:val="TableText"/>
              <w:keepNext/>
              <w:rPr>
                <w:b/>
                <w:sz w:val="24"/>
                <w:szCs w:val="24"/>
              </w:rPr>
            </w:pPr>
            <w:r>
              <w:rPr>
                <w:b/>
              </w:rPr>
              <w:t>Behavioural Indicators</w:t>
            </w:r>
          </w:p>
        </w:tc>
      </w:tr>
      <w:tr w:rsidR="0039395B" w:rsidRPr="00C978B9" w14:paraId="2E0D9DB0" w14:textId="77777777" w:rsidTr="00742966">
        <w:tc>
          <w:tcPr>
            <w:tcW w:w="2714" w:type="dxa"/>
          </w:tcPr>
          <w:p w14:paraId="2E0D9DA7" w14:textId="77777777" w:rsidR="001F2503" w:rsidRPr="00C978B9" w:rsidRDefault="0039395B" w:rsidP="00CC7829">
            <w:pPr>
              <w:pStyle w:val="TableText"/>
              <w:rPr>
                <w:b/>
              </w:rPr>
            </w:pPr>
            <w:r>
              <w:rPr>
                <w:b/>
              </w:rPr>
              <w:t>Personal Attributes</w:t>
            </w:r>
          </w:p>
          <w:p w14:paraId="2E0D9DA8" w14:textId="77777777" w:rsidR="001F2503" w:rsidRPr="00C978B9" w:rsidRDefault="0039395B" w:rsidP="0039395B">
            <w:pPr>
              <w:pStyle w:val="TableText"/>
            </w:pPr>
            <w:r>
              <w:t>Act with Integrity</w:t>
            </w:r>
          </w:p>
        </w:tc>
        <w:tc>
          <w:tcPr>
            <w:tcW w:w="2348" w:type="dxa"/>
          </w:tcPr>
          <w:p w14:paraId="2E0D9DA9" w14:textId="77777777" w:rsidR="001F2503" w:rsidRPr="00C978B9" w:rsidRDefault="0039395B" w:rsidP="0039395B">
            <w:pPr>
              <w:pStyle w:val="TableText"/>
              <w:rPr>
                <w:rFonts w:cs="Arial"/>
                <w:color w:val="000000"/>
              </w:rPr>
            </w:pPr>
            <w:r>
              <w:rPr>
                <w:rFonts w:cs="Arial"/>
                <w:color w:val="000000"/>
              </w:rPr>
              <w:t>Intermediate</w:t>
            </w:r>
          </w:p>
        </w:tc>
        <w:tc>
          <w:tcPr>
            <w:tcW w:w="5795" w:type="dxa"/>
          </w:tcPr>
          <w:p w14:paraId="4C778DAE" w14:textId="77777777" w:rsidR="006649E8" w:rsidRPr="006649E8" w:rsidRDefault="006649E8" w:rsidP="006649E8">
            <w:pPr>
              <w:pStyle w:val="TableBullet"/>
              <w:tabs>
                <w:tab w:val="clear" w:pos="360"/>
                <w:tab w:val="num" w:pos="284"/>
              </w:tabs>
              <w:ind w:left="284" w:hanging="284"/>
            </w:pPr>
            <w:r w:rsidRPr="006649E8">
              <w:t xml:space="preserve">Represent the organisation in an honest, ethical and professional way </w:t>
            </w:r>
          </w:p>
          <w:p w14:paraId="21833749" w14:textId="77777777" w:rsidR="006649E8" w:rsidRPr="006649E8" w:rsidRDefault="006649E8" w:rsidP="006649E8">
            <w:pPr>
              <w:pStyle w:val="TableBullet"/>
              <w:tabs>
                <w:tab w:val="clear" w:pos="360"/>
                <w:tab w:val="num" w:pos="284"/>
              </w:tabs>
              <w:ind w:left="284" w:hanging="284"/>
            </w:pPr>
            <w:r w:rsidRPr="006649E8">
              <w:t xml:space="preserve">Support a culture of integrity and professionalism </w:t>
            </w:r>
          </w:p>
          <w:p w14:paraId="41ECB4A6" w14:textId="77777777" w:rsidR="006649E8" w:rsidRPr="006649E8" w:rsidRDefault="006649E8" w:rsidP="006649E8">
            <w:pPr>
              <w:pStyle w:val="TableBullet"/>
              <w:tabs>
                <w:tab w:val="clear" w:pos="360"/>
                <w:tab w:val="num" w:pos="284"/>
              </w:tabs>
              <w:ind w:left="284" w:hanging="284"/>
            </w:pPr>
            <w:r w:rsidRPr="006649E8">
              <w:t xml:space="preserve">Understand and follow legislation, rules, policies, guidelines and codes of conduct </w:t>
            </w:r>
          </w:p>
          <w:p w14:paraId="30DB28EF" w14:textId="77777777" w:rsidR="006649E8" w:rsidRPr="006649E8" w:rsidRDefault="006649E8" w:rsidP="006649E8">
            <w:pPr>
              <w:pStyle w:val="TableBullet"/>
              <w:tabs>
                <w:tab w:val="clear" w:pos="360"/>
                <w:tab w:val="num" w:pos="284"/>
              </w:tabs>
              <w:ind w:left="284" w:hanging="284"/>
            </w:pPr>
            <w:r w:rsidRPr="006649E8">
              <w:t xml:space="preserve">Help others to understand their obligations to comply with legislation, rules, policies, guidelines and codes of conduct </w:t>
            </w:r>
          </w:p>
          <w:p w14:paraId="62BE307D" w14:textId="77777777" w:rsidR="006649E8" w:rsidRPr="006649E8" w:rsidRDefault="006649E8" w:rsidP="006649E8">
            <w:pPr>
              <w:pStyle w:val="TableBullet"/>
              <w:tabs>
                <w:tab w:val="clear" w:pos="360"/>
                <w:tab w:val="num" w:pos="284"/>
              </w:tabs>
              <w:ind w:left="284" w:hanging="284"/>
            </w:pPr>
            <w:r w:rsidRPr="006649E8">
              <w:t xml:space="preserve">Recognise and report misconduct, illegal or inappropriate behaviour </w:t>
            </w:r>
          </w:p>
          <w:p w14:paraId="2E0D9DAF" w14:textId="3557192E" w:rsidR="001F2503" w:rsidRPr="00C978B9" w:rsidRDefault="006649E8" w:rsidP="006649E8">
            <w:pPr>
              <w:pStyle w:val="TableBullet"/>
              <w:tabs>
                <w:tab w:val="clear" w:pos="360"/>
                <w:tab w:val="num" w:pos="284"/>
              </w:tabs>
              <w:ind w:left="284" w:hanging="284"/>
            </w:pPr>
            <w:r w:rsidRPr="006649E8">
              <w:t>Report and manage apparent conflicts of interest</w:t>
            </w:r>
          </w:p>
        </w:tc>
      </w:tr>
      <w:tr w:rsidR="0039395B" w:rsidRPr="00C978B9" w14:paraId="2E0D9DB9" w14:textId="77777777" w:rsidTr="00742966">
        <w:tc>
          <w:tcPr>
            <w:tcW w:w="2714" w:type="dxa"/>
          </w:tcPr>
          <w:p w14:paraId="2E0D9DB1" w14:textId="77777777" w:rsidR="001F2503" w:rsidRPr="00C978B9" w:rsidRDefault="0039395B" w:rsidP="00CC7829">
            <w:pPr>
              <w:pStyle w:val="TableText"/>
              <w:rPr>
                <w:b/>
              </w:rPr>
            </w:pPr>
            <w:r>
              <w:rPr>
                <w:b/>
              </w:rPr>
              <w:t>Relationships</w:t>
            </w:r>
          </w:p>
          <w:p w14:paraId="2E0D9DB2" w14:textId="77777777" w:rsidR="001F2503" w:rsidRPr="00C978B9" w:rsidRDefault="0039395B" w:rsidP="0039395B">
            <w:pPr>
              <w:pStyle w:val="TableText"/>
            </w:pPr>
            <w:r>
              <w:t>Commit to Customer Service</w:t>
            </w:r>
          </w:p>
        </w:tc>
        <w:tc>
          <w:tcPr>
            <w:tcW w:w="2348" w:type="dxa"/>
          </w:tcPr>
          <w:p w14:paraId="2E0D9DB3" w14:textId="77777777" w:rsidR="001F2503" w:rsidRPr="00C978B9" w:rsidRDefault="0087601B" w:rsidP="0039395B">
            <w:pPr>
              <w:pStyle w:val="TableText"/>
              <w:rPr>
                <w:rFonts w:cs="Arial"/>
                <w:color w:val="000000"/>
              </w:rPr>
            </w:pPr>
            <w:r>
              <w:rPr>
                <w:rFonts w:cs="Arial"/>
                <w:color w:val="000000"/>
              </w:rPr>
              <w:t>Intermediate</w:t>
            </w:r>
          </w:p>
        </w:tc>
        <w:tc>
          <w:tcPr>
            <w:tcW w:w="5795" w:type="dxa"/>
          </w:tcPr>
          <w:p w14:paraId="7E18018C" w14:textId="77777777" w:rsidR="006649E8" w:rsidRPr="006649E8" w:rsidRDefault="006649E8" w:rsidP="006649E8">
            <w:pPr>
              <w:pStyle w:val="TableBullet"/>
              <w:tabs>
                <w:tab w:val="clear" w:pos="360"/>
                <w:tab w:val="num" w:pos="284"/>
              </w:tabs>
              <w:ind w:left="284" w:hanging="284"/>
            </w:pPr>
            <w:r w:rsidRPr="006649E8">
              <w:t xml:space="preserve">Support a culture of quality customer service in the organisation </w:t>
            </w:r>
          </w:p>
          <w:p w14:paraId="7A004241" w14:textId="77777777" w:rsidR="006649E8" w:rsidRPr="006649E8" w:rsidRDefault="006649E8" w:rsidP="006649E8">
            <w:pPr>
              <w:pStyle w:val="TableBullet"/>
              <w:tabs>
                <w:tab w:val="clear" w:pos="360"/>
                <w:tab w:val="num" w:pos="284"/>
              </w:tabs>
              <w:ind w:left="284" w:hanging="284"/>
            </w:pPr>
            <w:r w:rsidRPr="006649E8">
              <w:t xml:space="preserve">Demonstrate a thorough knowledge of the services provided and relay to customers </w:t>
            </w:r>
          </w:p>
          <w:p w14:paraId="76FAB51D" w14:textId="77777777" w:rsidR="006649E8" w:rsidRPr="006649E8" w:rsidRDefault="006649E8" w:rsidP="006649E8">
            <w:pPr>
              <w:pStyle w:val="TableBullet"/>
              <w:tabs>
                <w:tab w:val="clear" w:pos="360"/>
                <w:tab w:val="num" w:pos="284"/>
              </w:tabs>
              <w:ind w:left="284" w:hanging="284"/>
            </w:pPr>
            <w:r w:rsidRPr="006649E8">
              <w:t xml:space="preserve">Identify and respond quickly to customer needs </w:t>
            </w:r>
          </w:p>
          <w:p w14:paraId="0B032355" w14:textId="77777777" w:rsidR="006649E8" w:rsidRPr="006649E8" w:rsidRDefault="006649E8" w:rsidP="006649E8">
            <w:pPr>
              <w:pStyle w:val="TableBullet"/>
              <w:tabs>
                <w:tab w:val="clear" w:pos="360"/>
                <w:tab w:val="num" w:pos="284"/>
              </w:tabs>
              <w:ind w:left="284" w:hanging="284"/>
            </w:pPr>
            <w:r w:rsidRPr="006649E8">
              <w:t xml:space="preserve">Consider customer service requirements and develop solutions to meet needs </w:t>
            </w:r>
          </w:p>
          <w:p w14:paraId="126F28DB" w14:textId="77777777" w:rsidR="006649E8" w:rsidRPr="006649E8" w:rsidRDefault="006649E8" w:rsidP="006649E8">
            <w:pPr>
              <w:pStyle w:val="TableBullet"/>
              <w:tabs>
                <w:tab w:val="clear" w:pos="360"/>
                <w:tab w:val="num" w:pos="284"/>
              </w:tabs>
              <w:ind w:left="284" w:hanging="284"/>
            </w:pPr>
            <w:r w:rsidRPr="006649E8">
              <w:t xml:space="preserve">Resolve complex customer issues and needs </w:t>
            </w:r>
          </w:p>
          <w:p w14:paraId="2E0D9DB8" w14:textId="4D7F1D25" w:rsidR="001F2503" w:rsidRPr="00C978B9" w:rsidRDefault="006649E8" w:rsidP="006649E8">
            <w:pPr>
              <w:pStyle w:val="TableBullet"/>
              <w:tabs>
                <w:tab w:val="clear" w:pos="360"/>
                <w:tab w:val="num" w:pos="284"/>
              </w:tabs>
              <w:ind w:left="284" w:hanging="284"/>
            </w:pPr>
            <w:r w:rsidRPr="006649E8">
              <w:t>Co-operate across work areas to improve outcomes for customers</w:t>
            </w:r>
          </w:p>
        </w:tc>
      </w:tr>
      <w:tr w:rsidR="0039395B" w:rsidRPr="00C978B9" w14:paraId="2E0D9DC1" w14:textId="77777777" w:rsidTr="00742966">
        <w:tc>
          <w:tcPr>
            <w:tcW w:w="2714" w:type="dxa"/>
          </w:tcPr>
          <w:p w14:paraId="2E0D9DBA" w14:textId="77777777" w:rsidR="001F2503" w:rsidRPr="00C978B9" w:rsidRDefault="0039395B" w:rsidP="00CC7829">
            <w:pPr>
              <w:pStyle w:val="TableText"/>
              <w:rPr>
                <w:b/>
              </w:rPr>
            </w:pPr>
            <w:r>
              <w:rPr>
                <w:b/>
              </w:rPr>
              <w:t>Results</w:t>
            </w:r>
          </w:p>
          <w:p w14:paraId="2E0D9DBB" w14:textId="77777777" w:rsidR="001F2503" w:rsidRPr="00C978B9" w:rsidRDefault="0087601B" w:rsidP="0039395B">
            <w:pPr>
              <w:pStyle w:val="TableText"/>
            </w:pPr>
            <w:r>
              <w:t>Plan and Prioritise</w:t>
            </w:r>
          </w:p>
        </w:tc>
        <w:tc>
          <w:tcPr>
            <w:tcW w:w="2348" w:type="dxa"/>
          </w:tcPr>
          <w:p w14:paraId="2E0D9DBC" w14:textId="77777777" w:rsidR="001F2503" w:rsidRPr="00C978B9" w:rsidRDefault="0087601B" w:rsidP="0039395B">
            <w:pPr>
              <w:pStyle w:val="TableText"/>
              <w:rPr>
                <w:rFonts w:cs="Arial"/>
                <w:color w:val="000000"/>
              </w:rPr>
            </w:pPr>
            <w:r>
              <w:rPr>
                <w:rFonts w:cs="Arial"/>
                <w:color w:val="000000"/>
              </w:rPr>
              <w:t>Intermediate</w:t>
            </w:r>
          </w:p>
        </w:tc>
        <w:tc>
          <w:tcPr>
            <w:tcW w:w="5795" w:type="dxa"/>
          </w:tcPr>
          <w:p w14:paraId="16D41860" w14:textId="77777777" w:rsidR="006649E8" w:rsidRPr="006649E8" w:rsidRDefault="006649E8" w:rsidP="006649E8">
            <w:pPr>
              <w:pStyle w:val="TableBullet"/>
              <w:tabs>
                <w:tab w:val="clear" w:pos="360"/>
                <w:tab w:val="num" w:pos="284"/>
              </w:tabs>
              <w:ind w:left="284" w:hanging="284"/>
            </w:pPr>
            <w:r w:rsidRPr="006649E8">
              <w:t xml:space="preserve">Understand the team/unit objectives and align operational activities accordingly </w:t>
            </w:r>
          </w:p>
          <w:p w14:paraId="61B7CDD3" w14:textId="77777777" w:rsidR="006649E8" w:rsidRPr="006649E8" w:rsidRDefault="006649E8" w:rsidP="006649E8">
            <w:pPr>
              <w:pStyle w:val="TableBullet"/>
              <w:tabs>
                <w:tab w:val="clear" w:pos="360"/>
                <w:tab w:val="num" w:pos="284"/>
              </w:tabs>
              <w:ind w:left="284" w:hanging="284"/>
            </w:pPr>
            <w:r w:rsidRPr="006649E8">
              <w:t xml:space="preserve">Initiate, and develop team goals and plans and use feedback to inform future planning </w:t>
            </w:r>
          </w:p>
          <w:p w14:paraId="63600545" w14:textId="77777777" w:rsidR="006649E8" w:rsidRPr="006649E8" w:rsidRDefault="006649E8" w:rsidP="006649E8">
            <w:pPr>
              <w:pStyle w:val="TableBullet"/>
              <w:tabs>
                <w:tab w:val="clear" w:pos="360"/>
                <w:tab w:val="num" w:pos="284"/>
              </w:tabs>
              <w:ind w:left="284" w:hanging="284"/>
            </w:pPr>
            <w:r w:rsidRPr="006649E8">
              <w:t xml:space="preserve">Respond proactively to changing circumstances and adjust plans and schedules when necessary </w:t>
            </w:r>
          </w:p>
          <w:p w14:paraId="75B71E4D" w14:textId="77777777" w:rsidR="006649E8" w:rsidRPr="006649E8" w:rsidRDefault="006649E8" w:rsidP="006649E8">
            <w:pPr>
              <w:pStyle w:val="TableBullet"/>
              <w:tabs>
                <w:tab w:val="clear" w:pos="360"/>
                <w:tab w:val="num" w:pos="284"/>
              </w:tabs>
              <w:ind w:left="284" w:hanging="284"/>
            </w:pPr>
            <w:r w:rsidRPr="006649E8">
              <w:t xml:space="preserve">Consider the implications of immediate and longer term organisational issues and how these might impact on the achievement of team/unit goals </w:t>
            </w:r>
          </w:p>
          <w:p w14:paraId="2E0D9DC0" w14:textId="0D1261F1" w:rsidR="001F2503" w:rsidRPr="00C978B9" w:rsidRDefault="006649E8" w:rsidP="006649E8">
            <w:pPr>
              <w:pStyle w:val="TableBullet"/>
              <w:tabs>
                <w:tab w:val="clear" w:pos="360"/>
                <w:tab w:val="num" w:pos="284"/>
              </w:tabs>
              <w:ind w:left="284" w:hanging="284"/>
            </w:pPr>
            <w:r w:rsidRPr="006649E8">
              <w:t>Accommodate and respond with initiative to changing priorities and operating environments</w:t>
            </w:r>
          </w:p>
        </w:tc>
      </w:tr>
      <w:tr w:rsidR="0039395B" w:rsidRPr="00C978B9" w14:paraId="2E0D9DCA" w14:textId="77777777" w:rsidTr="00742966">
        <w:tc>
          <w:tcPr>
            <w:tcW w:w="2714" w:type="dxa"/>
          </w:tcPr>
          <w:p w14:paraId="2E0D9DC2" w14:textId="77777777" w:rsidR="001F2503" w:rsidRPr="00C978B9" w:rsidRDefault="0039395B" w:rsidP="00CC7829">
            <w:pPr>
              <w:pStyle w:val="TableText"/>
              <w:rPr>
                <w:b/>
              </w:rPr>
            </w:pPr>
            <w:r>
              <w:rPr>
                <w:b/>
              </w:rPr>
              <w:t>Results</w:t>
            </w:r>
          </w:p>
          <w:p w14:paraId="2E0D9DC3" w14:textId="77777777" w:rsidR="001F2503" w:rsidRPr="00C978B9" w:rsidRDefault="0039395B" w:rsidP="0039395B">
            <w:pPr>
              <w:pStyle w:val="TableText"/>
            </w:pPr>
            <w:r>
              <w:t>Demonstrate Accountability</w:t>
            </w:r>
          </w:p>
        </w:tc>
        <w:tc>
          <w:tcPr>
            <w:tcW w:w="2348" w:type="dxa"/>
          </w:tcPr>
          <w:p w14:paraId="2E0D9DC4" w14:textId="7C674E23" w:rsidR="001F2503" w:rsidRPr="00C978B9" w:rsidRDefault="007B2FCB" w:rsidP="0039395B">
            <w:pPr>
              <w:pStyle w:val="TableText"/>
              <w:rPr>
                <w:rFonts w:cs="Arial"/>
                <w:color w:val="000000"/>
              </w:rPr>
            </w:pPr>
            <w:r>
              <w:rPr>
                <w:rFonts w:cs="Arial"/>
                <w:color w:val="000000"/>
              </w:rPr>
              <w:t>Intermediate</w:t>
            </w:r>
          </w:p>
        </w:tc>
        <w:tc>
          <w:tcPr>
            <w:tcW w:w="5795" w:type="dxa"/>
          </w:tcPr>
          <w:p w14:paraId="2CD9FD16" w14:textId="77777777" w:rsidR="006649E8" w:rsidRPr="006649E8" w:rsidRDefault="006649E8" w:rsidP="006649E8">
            <w:pPr>
              <w:pStyle w:val="TableBullet"/>
              <w:tabs>
                <w:tab w:val="clear" w:pos="360"/>
                <w:tab w:val="num" w:pos="284"/>
              </w:tabs>
              <w:ind w:left="284" w:hanging="284"/>
            </w:pPr>
            <w:r w:rsidRPr="006649E8">
              <w:t xml:space="preserve">Take responsibility and be accountable for own actions </w:t>
            </w:r>
          </w:p>
          <w:p w14:paraId="41CF0B4F" w14:textId="77777777" w:rsidR="006649E8" w:rsidRPr="006649E8" w:rsidRDefault="006649E8" w:rsidP="006649E8">
            <w:pPr>
              <w:pStyle w:val="TableBullet"/>
              <w:tabs>
                <w:tab w:val="clear" w:pos="360"/>
                <w:tab w:val="num" w:pos="284"/>
              </w:tabs>
              <w:ind w:left="284" w:hanging="284"/>
            </w:pPr>
            <w:r w:rsidRPr="006649E8">
              <w:t xml:space="preserve">Understand delegations and act within authority levels </w:t>
            </w:r>
          </w:p>
          <w:p w14:paraId="3EF1B921" w14:textId="77777777" w:rsidR="006649E8" w:rsidRPr="006649E8" w:rsidRDefault="006649E8" w:rsidP="006649E8">
            <w:pPr>
              <w:pStyle w:val="TableBullet"/>
              <w:tabs>
                <w:tab w:val="clear" w:pos="360"/>
                <w:tab w:val="num" w:pos="284"/>
              </w:tabs>
              <w:ind w:left="284" w:hanging="284"/>
            </w:pPr>
            <w:r w:rsidRPr="006649E8">
              <w:t xml:space="preserve">Identify and follow safe work practices, and be vigilant about their application by self and others </w:t>
            </w:r>
          </w:p>
          <w:p w14:paraId="5A580240" w14:textId="77777777" w:rsidR="006649E8" w:rsidRPr="006649E8" w:rsidRDefault="006649E8" w:rsidP="006649E8">
            <w:pPr>
              <w:pStyle w:val="TableBullet"/>
              <w:tabs>
                <w:tab w:val="clear" w:pos="360"/>
                <w:tab w:val="num" w:pos="284"/>
              </w:tabs>
              <w:ind w:left="284" w:hanging="284"/>
            </w:pPr>
            <w:r w:rsidRPr="006649E8">
              <w:t xml:space="preserve">Be alert to risks that might impact the completion of an activity and escalate these when identified </w:t>
            </w:r>
          </w:p>
          <w:p w14:paraId="2E0D9DC9" w14:textId="7D5B343A" w:rsidR="001F2503" w:rsidRPr="00C978B9" w:rsidRDefault="006649E8" w:rsidP="006649E8">
            <w:pPr>
              <w:pStyle w:val="TableBullet"/>
              <w:tabs>
                <w:tab w:val="clear" w:pos="360"/>
                <w:tab w:val="num" w:pos="284"/>
              </w:tabs>
              <w:ind w:left="284" w:hanging="284"/>
            </w:pPr>
            <w:r w:rsidRPr="006649E8">
              <w:t>Use financial and other resources responsibly</w:t>
            </w:r>
          </w:p>
        </w:tc>
      </w:tr>
      <w:tr w:rsidR="0039395B" w:rsidRPr="00C978B9" w14:paraId="2E0D9DD3" w14:textId="77777777" w:rsidTr="00742966">
        <w:tc>
          <w:tcPr>
            <w:tcW w:w="2714" w:type="dxa"/>
          </w:tcPr>
          <w:p w14:paraId="2E0D9DCB" w14:textId="77777777" w:rsidR="001F2503" w:rsidRPr="00C978B9" w:rsidRDefault="0039395B" w:rsidP="00CC7829">
            <w:pPr>
              <w:pStyle w:val="TableText"/>
              <w:rPr>
                <w:b/>
              </w:rPr>
            </w:pPr>
            <w:r>
              <w:rPr>
                <w:b/>
              </w:rPr>
              <w:t>Business Enablers</w:t>
            </w:r>
          </w:p>
          <w:p w14:paraId="2E0D9DCC" w14:textId="77777777" w:rsidR="001F2503" w:rsidRPr="00C978B9" w:rsidRDefault="0039395B" w:rsidP="0039395B">
            <w:pPr>
              <w:pStyle w:val="TableText"/>
            </w:pPr>
            <w:r>
              <w:t>Technology</w:t>
            </w:r>
          </w:p>
        </w:tc>
        <w:tc>
          <w:tcPr>
            <w:tcW w:w="2348" w:type="dxa"/>
          </w:tcPr>
          <w:p w14:paraId="2E0D9DCD" w14:textId="063930EA" w:rsidR="001F2503" w:rsidRPr="00C978B9" w:rsidRDefault="007B2FCB" w:rsidP="0039395B">
            <w:pPr>
              <w:pStyle w:val="TableText"/>
              <w:rPr>
                <w:rFonts w:cs="Arial"/>
                <w:color w:val="000000"/>
              </w:rPr>
            </w:pPr>
            <w:r>
              <w:rPr>
                <w:rFonts w:cs="Arial"/>
                <w:color w:val="000000"/>
              </w:rPr>
              <w:t>Intermediate</w:t>
            </w:r>
          </w:p>
        </w:tc>
        <w:tc>
          <w:tcPr>
            <w:tcW w:w="5795" w:type="dxa"/>
          </w:tcPr>
          <w:p w14:paraId="724642D0" w14:textId="77777777" w:rsidR="006649E8" w:rsidRPr="006649E8" w:rsidRDefault="006649E8" w:rsidP="006649E8">
            <w:pPr>
              <w:pStyle w:val="TableBullet"/>
              <w:tabs>
                <w:tab w:val="clear" w:pos="360"/>
                <w:tab w:val="num" w:pos="284"/>
              </w:tabs>
              <w:ind w:left="284" w:hanging="284"/>
            </w:pPr>
            <w:r w:rsidRPr="006649E8">
              <w:t xml:space="preserve">Apply computer applications that enable performance of more complex tasks </w:t>
            </w:r>
          </w:p>
          <w:p w14:paraId="0C7E229F" w14:textId="77777777" w:rsidR="006649E8" w:rsidRPr="006649E8" w:rsidRDefault="006649E8" w:rsidP="006649E8">
            <w:pPr>
              <w:pStyle w:val="TableBullet"/>
              <w:tabs>
                <w:tab w:val="clear" w:pos="360"/>
                <w:tab w:val="num" w:pos="284"/>
              </w:tabs>
              <w:ind w:left="284" w:hanging="284"/>
            </w:pPr>
            <w:r w:rsidRPr="006649E8">
              <w:t xml:space="preserve">Apply practical skills in the use of relevant technology </w:t>
            </w:r>
          </w:p>
          <w:p w14:paraId="5E02E761" w14:textId="77777777" w:rsidR="006649E8" w:rsidRPr="006649E8" w:rsidRDefault="006649E8" w:rsidP="006649E8">
            <w:pPr>
              <w:pStyle w:val="TableBullet"/>
              <w:tabs>
                <w:tab w:val="clear" w:pos="360"/>
                <w:tab w:val="num" w:pos="284"/>
              </w:tabs>
              <w:ind w:left="284" w:hanging="284"/>
            </w:pPr>
            <w:r w:rsidRPr="006649E8">
              <w:lastRenderedPageBreak/>
              <w:t xml:space="preserve">Make effective use of records, information and knowledge management functions and systems </w:t>
            </w:r>
          </w:p>
          <w:p w14:paraId="3073683B" w14:textId="77777777" w:rsidR="006649E8" w:rsidRPr="006649E8" w:rsidRDefault="006649E8" w:rsidP="006649E8">
            <w:pPr>
              <w:pStyle w:val="TableBullet"/>
              <w:tabs>
                <w:tab w:val="clear" w:pos="360"/>
                <w:tab w:val="num" w:pos="284"/>
              </w:tabs>
              <w:ind w:left="284" w:hanging="284"/>
            </w:pPr>
            <w:r w:rsidRPr="006649E8">
              <w:t xml:space="preserve">Understand and comply with information and communications security and acceptable use policies </w:t>
            </w:r>
          </w:p>
          <w:p w14:paraId="2E0D9DD2" w14:textId="567259CD" w:rsidR="001F2503" w:rsidRPr="00C978B9" w:rsidRDefault="006649E8" w:rsidP="006649E8">
            <w:pPr>
              <w:pStyle w:val="TableBullet"/>
              <w:tabs>
                <w:tab w:val="clear" w:pos="360"/>
                <w:tab w:val="num" w:pos="284"/>
              </w:tabs>
              <w:ind w:left="284" w:hanging="284"/>
            </w:pPr>
            <w:r w:rsidRPr="006649E8">
              <w:t>Support the implementation of systems improvement initiatives and the introduction and roll-out of new technologies</w:t>
            </w:r>
          </w:p>
        </w:tc>
      </w:tr>
    </w:tbl>
    <w:p w14:paraId="2E0D9DD4" w14:textId="77777777" w:rsidR="00BB1772" w:rsidRDefault="00BB1772"/>
    <w:sectPr w:rsidR="00BB1772"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DFEC6" w14:textId="77777777" w:rsidR="008770F2" w:rsidRDefault="008770F2" w:rsidP="00BB532F">
      <w:pPr>
        <w:spacing w:after="0" w:line="240" w:lineRule="auto"/>
      </w:pPr>
      <w:r>
        <w:separator/>
      </w:r>
    </w:p>
  </w:endnote>
  <w:endnote w:type="continuationSeparator" w:id="0">
    <w:p w14:paraId="27B33D8E" w14:textId="77777777" w:rsidR="008770F2" w:rsidRDefault="008770F2"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oney">
    <w:altName w:val="Roone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2E0D9DE4" w14:textId="77777777" w:rsidTr="00C03AFD">
      <w:tc>
        <w:tcPr>
          <w:tcW w:w="2250" w:type="pct"/>
          <w:vAlign w:val="center"/>
        </w:tcPr>
        <w:p w14:paraId="2E0D9DE1" w14:textId="362DD0D2"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00291C31">
            <w:rPr>
              <w:color w:val="000000" w:themeColor="text1"/>
              <w:sz w:val="18"/>
            </w:rPr>
            <w:t>Geo</w:t>
          </w:r>
          <w:r w:rsidRPr="00C03AFD">
            <w:rPr>
              <w:color w:val="000000" w:themeColor="text1"/>
              <w:sz w:val="18"/>
            </w:rPr>
            <w:t>scientist</w:t>
          </w:r>
        </w:p>
      </w:tc>
      <w:tc>
        <w:tcPr>
          <w:tcW w:w="250" w:type="pct"/>
          <w:vAlign w:val="center"/>
        </w:tcPr>
        <w:p w14:paraId="2E0D9DE2"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EC0A0F">
            <w:rPr>
              <w:noProof/>
              <w:color w:val="928B81"/>
              <w:sz w:val="18"/>
              <w:lang w:eastAsia="en-AU"/>
            </w:rPr>
            <w:t>5</w:t>
          </w:r>
          <w:r w:rsidRPr="00C03AFD">
            <w:rPr>
              <w:noProof/>
              <w:color w:val="928B81"/>
              <w:sz w:val="18"/>
              <w:lang w:eastAsia="en-AU"/>
            </w:rPr>
            <w:fldChar w:fldCharType="end"/>
          </w:r>
        </w:p>
      </w:tc>
      <w:tc>
        <w:tcPr>
          <w:tcW w:w="2350" w:type="pct"/>
        </w:tcPr>
        <w:p w14:paraId="2E0D9DE3" w14:textId="77777777" w:rsidR="00C03AFD" w:rsidRDefault="00C03AFD" w:rsidP="00C03AFD">
          <w:pPr>
            <w:pStyle w:val="Footer"/>
            <w:jc w:val="right"/>
          </w:pPr>
          <w:r>
            <w:rPr>
              <w:noProof/>
              <w:lang w:val="en-AU" w:eastAsia="en-AU"/>
            </w:rPr>
            <w:drawing>
              <wp:inline distT="0" distB="0" distL="0" distR="0" wp14:anchorId="2E0D9DEF" wp14:editId="2E0D9DF0">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E0D9DE5"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2E0D9DED" w14:textId="77777777" w:rsidTr="0047547E">
      <w:trPr>
        <w:trHeight w:val="811"/>
      </w:trPr>
      <w:tc>
        <w:tcPr>
          <w:tcW w:w="10005" w:type="dxa"/>
          <w:vAlign w:val="bottom"/>
        </w:tcPr>
        <w:p w14:paraId="2E0D9DEB"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EC0A0F">
            <w:rPr>
              <w:noProof/>
              <w:lang w:eastAsia="en-AU"/>
            </w:rPr>
            <w:t>1</w:t>
          </w:r>
          <w:r>
            <w:rPr>
              <w:noProof/>
              <w:lang w:eastAsia="en-AU"/>
            </w:rPr>
            <w:fldChar w:fldCharType="end"/>
          </w:r>
        </w:p>
      </w:tc>
      <w:tc>
        <w:tcPr>
          <w:tcW w:w="875" w:type="dxa"/>
        </w:tcPr>
        <w:p w14:paraId="2E0D9DEC" w14:textId="77777777" w:rsidR="00BB532F" w:rsidRDefault="00BB532F" w:rsidP="00BD7BA7">
          <w:pPr>
            <w:pStyle w:val="Footer"/>
            <w:jc w:val="right"/>
          </w:pPr>
          <w:r>
            <w:rPr>
              <w:noProof/>
              <w:lang w:val="en-AU" w:eastAsia="en-AU"/>
            </w:rPr>
            <w:drawing>
              <wp:inline distT="0" distB="0" distL="0" distR="0" wp14:anchorId="2E0D9DF3" wp14:editId="2E0D9DF4">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E0D9DEE"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D7144" w14:textId="77777777" w:rsidR="008770F2" w:rsidRDefault="008770F2" w:rsidP="00BB532F">
      <w:pPr>
        <w:spacing w:after="0" w:line="240" w:lineRule="auto"/>
      </w:pPr>
      <w:r>
        <w:separator/>
      </w:r>
    </w:p>
  </w:footnote>
  <w:footnote w:type="continuationSeparator" w:id="0">
    <w:p w14:paraId="5FD187E4" w14:textId="77777777" w:rsidR="008770F2" w:rsidRDefault="008770F2"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7"/>
      <w:gridCol w:w="4326"/>
    </w:tblGrid>
    <w:tr w:rsidR="007E2FB7" w14:paraId="2E0D9DE9" w14:textId="77777777" w:rsidTr="009D747B">
      <w:trPr>
        <w:trHeight w:val="1337"/>
      </w:trPr>
      <w:tc>
        <w:tcPr>
          <w:tcW w:w="7038" w:type="dxa"/>
        </w:tcPr>
        <w:p w14:paraId="2E0D9DE6"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2E0D9DE7" w14:textId="77777777" w:rsidR="007E2FB7" w:rsidRPr="001E49B2" w:rsidRDefault="001C2248" w:rsidP="00376152">
          <w:pPr>
            <w:pStyle w:val="TitleSub"/>
            <w:spacing w:after="0"/>
            <w:rPr>
              <w:rFonts w:ascii="Arial" w:hAnsi="Arial" w:cs="Arial"/>
              <w:b/>
            </w:rPr>
          </w:pPr>
          <w:r w:rsidRPr="001E49B2">
            <w:rPr>
              <w:rFonts w:ascii="Arial" w:hAnsi="Arial" w:cs="Arial"/>
              <w:b/>
            </w:rPr>
            <w:t>Geoscientist</w:t>
          </w:r>
        </w:p>
      </w:tc>
      <w:tc>
        <w:tcPr>
          <w:tcW w:w="3665" w:type="dxa"/>
        </w:tcPr>
        <w:p w14:paraId="2E0D9DE8" w14:textId="086FC9C7" w:rsidR="000477E1" w:rsidRPr="000477E1" w:rsidRDefault="002C168E" w:rsidP="00376152">
          <w:pPr>
            <w:jc w:val="center"/>
          </w:pPr>
          <w:r>
            <w:rPr>
              <w:noProof/>
              <w:lang w:val="en-AU" w:eastAsia="en-AU"/>
            </w:rPr>
            <w:drawing>
              <wp:inline distT="0" distB="0" distL="0" distR="0" wp14:anchorId="439C7EEE" wp14:editId="59669EF7">
                <wp:extent cx="2602109" cy="63817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PE R&amp;G Logo - August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3121" cy="648233"/>
                        </a:xfrm>
                        <a:prstGeom prst="rect">
                          <a:avLst/>
                        </a:prstGeom>
                      </pic:spPr>
                    </pic:pic>
                  </a:graphicData>
                </a:graphic>
              </wp:inline>
            </w:drawing>
          </w:r>
        </w:p>
      </w:tc>
    </w:tr>
  </w:tbl>
  <w:p w14:paraId="2E0D9DEA"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B38"/>
    <w:multiLevelType w:val="hybridMultilevel"/>
    <w:tmpl w:val="32E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87A5D05"/>
    <w:multiLevelType w:val="hybridMultilevel"/>
    <w:tmpl w:val="960A8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97896"/>
    <w:rsid w:val="000A2621"/>
    <w:rsid w:val="000B53F2"/>
    <w:rsid w:val="000C3CC8"/>
    <w:rsid w:val="000D12B3"/>
    <w:rsid w:val="000D799A"/>
    <w:rsid w:val="000F231F"/>
    <w:rsid w:val="00104EC7"/>
    <w:rsid w:val="001336E8"/>
    <w:rsid w:val="0013413E"/>
    <w:rsid w:val="00134F5E"/>
    <w:rsid w:val="0015352A"/>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0D6"/>
    <w:rsid w:val="00205A8A"/>
    <w:rsid w:val="00211F68"/>
    <w:rsid w:val="00237421"/>
    <w:rsid w:val="00240A8E"/>
    <w:rsid w:val="00263ACB"/>
    <w:rsid w:val="0028314F"/>
    <w:rsid w:val="00287C54"/>
    <w:rsid w:val="00291C31"/>
    <w:rsid w:val="002A648F"/>
    <w:rsid w:val="002B0B83"/>
    <w:rsid w:val="002B1F76"/>
    <w:rsid w:val="002C168E"/>
    <w:rsid w:val="002C2823"/>
    <w:rsid w:val="002D36BB"/>
    <w:rsid w:val="00301747"/>
    <w:rsid w:val="00325E9D"/>
    <w:rsid w:val="00326540"/>
    <w:rsid w:val="00327F5C"/>
    <w:rsid w:val="00340ADC"/>
    <w:rsid w:val="00343491"/>
    <w:rsid w:val="00345199"/>
    <w:rsid w:val="00346D51"/>
    <w:rsid w:val="00351826"/>
    <w:rsid w:val="00360F31"/>
    <w:rsid w:val="00372A99"/>
    <w:rsid w:val="00373737"/>
    <w:rsid w:val="00375289"/>
    <w:rsid w:val="00376152"/>
    <w:rsid w:val="00377118"/>
    <w:rsid w:val="0039395B"/>
    <w:rsid w:val="003A2AFA"/>
    <w:rsid w:val="003A3538"/>
    <w:rsid w:val="003B0F42"/>
    <w:rsid w:val="003B403A"/>
    <w:rsid w:val="003B4B85"/>
    <w:rsid w:val="003C00FD"/>
    <w:rsid w:val="003C031F"/>
    <w:rsid w:val="003C5EB3"/>
    <w:rsid w:val="003D5227"/>
    <w:rsid w:val="003E2663"/>
    <w:rsid w:val="00411F3E"/>
    <w:rsid w:val="0041525E"/>
    <w:rsid w:val="004203B4"/>
    <w:rsid w:val="00436621"/>
    <w:rsid w:val="00442732"/>
    <w:rsid w:val="00466287"/>
    <w:rsid w:val="0047547E"/>
    <w:rsid w:val="00492AA6"/>
    <w:rsid w:val="004C45E2"/>
    <w:rsid w:val="004D0C22"/>
    <w:rsid w:val="004D27C8"/>
    <w:rsid w:val="004E44A5"/>
    <w:rsid w:val="004E474E"/>
    <w:rsid w:val="004E7F32"/>
    <w:rsid w:val="004F05B4"/>
    <w:rsid w:val="00502DBF"/>
    <w:rsid w:val="00521D19"/>
    <w:rsid w:val="00523CFF"/>
    <w:rsid w:val="00527FCF"/>
    <w:rsid w:val="005307BA"/>
    <w:rsid w:val="00545AC6"/>
    <w:rsid w:val="00551038"/>
    <w:rsid w:val="005822E8"/>
    <w:rsid w:val="0059035B"/>
    <w:rsid w:val="005B10E1"/>
    <w:rsid w:val="005B5053"/>
    <w:rsid w:val="005C43CD"/>
    <w:rsid w:val="005C7AF5"/>
    <w:rsid w:val="005D716E"/>
    <w:rsid w:val="005D71EA"/>
    <w:rsid w:val="005E6C59"/>
    <w:rsid w:val="005E75FC"/>
    <w:rsid w:val="005F2CB4"/>
    <w:rsid w:val="005F5FD1"/>
    <w:rsid w:val="005F7EE8"/>
    <w:rsid w:val="006022B4"/>
    <w:rsid w:val="00603D53"/>
    <w:rsid w:val="00612673"/>
    <w:rsid w:val="00612AFA"/>
    <w:rsid w:val="00614552"/>
    <w:rsid w:val="00621D45"/>
    <w:rsid w:val="00623950"/>
    <w:rsid w:val="00626492"/>
    <w:rsid w:val="0063544E"/>
    <w:rsid w:val="006538BF"/>
    <w:rsid w:val="006649E8"/>
    <w:rsid w:val="00674D4C"/>
    <w:rsid w:val="00683870"/>
    <w:rsid w:val="006A2280"/>
    <w:rsid w:val="006A7C0B"/>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2FCB"/>
    <w:rsid w:val="007B7C1F"/>
    <w:rsid w:val="007C1883"/>
    <w:rsid w:val="007C21C8"/>
    <w:rsid w:val="007D0E2E"/>
    <w:rsid w:val="007E2FB7"/>
    <w:rsid w:val="00805561"/>
    <w:rsid w:val="00806FE1"/>
    <w:rsid w:val="00807ED1"/>
    <w:rsid w:val="00817B11"/>
    <w:rsid w:val="008203EE"/>
    <w:rsid w:val="008267A0"/>
    <w:rsid w:val="0083547C"/>
    <w:rsid w:val="008476E6"/>
    <w:rsid w:val="0085706D"/>
    <w:rsid w:val="00860904"/>
    <w:rsid w:val="0087601B"/>
    <w:rsid w:val="008770F2"/>
    <w:rsid w:val="008A0EBB"/>
    <w:rsid w:val="008A13AC"/>
    <w:rsid w:val="008B74C1"/>
    <w:rsid w:val="008C0B4D"/>
    <w:rsid w:val="008C37C8"/>
    <w:rsid w:val="008D7766"/>
    <w:rsid w:val="008E08E3"/>
    <w:rsid w:val="008F1C66"/>
    <w:rsid w:val="00902EC0"/>
    <w:rsid w:val="009077E2"/>
    <w:rsid w:val="00910F45"/>
    <w:rsid w:val="00911725"/>
    <w:rsid w:val="009351E9"/>
    <w:rsid w:val="00940C04"/>
    <w:rsid w:val="00957666"/>
    <w:rsid w:val="00961C70"/>
    <w:rsid w:val="00964A6C"/>
    <w:rsid w:val="00970179"/>
    <w:rsid w:val="009761C4"/>
    <w:rsid w:val="00977E40"/>
    <w:rsid w:val="00985984"/>
    <w:rsid w:val="00994DCE"/>
    <w:rsid w:val="0099587E"/>
    <w:rsid w:val="009979FA"/>
    <w:rsid w:val="009B3103"/>
    <w:rsid w:val="009C12FA"/>
    <w:rsid w:val="009D72FE"/>
    <w:rsid w:val="009D747B"/>
    <w:rsid w:val="009F1393"/>
    <w:rsid w:val="00A00C30"/>
    <w:rsid w:val="00A02AEF"/>
    <w:rsid w:val="00A14A03"/>
    <w:rsid w:val="00A2122C"/>
    <w:rsid w:val="00A41E4E"/>
    <w:rsid w:val="00A4412E"/>
    <w:rsid w:val="00A47353"/>
    <w:rsid w:val="00A646D1"/>
    <w:rsid w:val="00A73C38"/>
    <w:rsid w:val="00A77B0C"/>
    <w:rsid w:val="00A81E1B"/>
    <w:rsid w:val="00A83932"/>
    <w:rsid w:val="00A85305"/>
    <w:rsid w:val="00A8686E"/>
    <w:rsid w:val="00A8732A"/>
    <w:rsid w:val="00A970A2"/>
    <w:rsid w:val="00AB120A"/>
    <w:rsid w:val="00AB50E4"/>
    <w:rsid w:val="00AC1AF9"/>
    <w:rsid w:val="00AC742D"/>
    <w:rsid w:val="00AC7DC9"/>
    <w:rsid w:val="00AE04C1"/>
    <w:rsid w:val="00AE14D7"/>
    <w:rsid w:val="00AE32FD"/>
    <w:rsid w:val="00AF01AC"/>
    <w:rsid w:val="00AF7D0C"/>
    <w:rsid w:val="00B0574B"/>
    <w:rsid w:val="00B2037F"/>
    <w:rsid w:val="00B32691"/>
    <w:rsid w:val="00B407F6"/>
    <w:rsid w:val="00B635E3"/>
    <w:rsid w:val="00B72B4F"/>
    <w:rsid w:val="00B835C0"/>
    <w:rsid w:val="00B876AF"/>
    <w:rsid w:val="00BA759E"/>
    <w:rsid w:val="00BB1772"/>
    <w:rsid w:val="00BB532F"/>
    <w:rsid w:val="00BC162D"/>
    <w:rsid w:val="00BC2FE4"/>
    <w:rsid w:val="00BD4DDA"/>
    <w:rsid w:val="00BE14E1"/>
    <w:rsid w:val="00BE4EAE"/>
    <w:rsid w:val="00C03AFD"/>
    <w:rsid w:val="00C271F9"/>
    <w:rsid w:val="00C44ADB"/>
    <w:rsid w:val="00C517B6"/>
    <w:rsid w:val="00C63F0F"/>
    <w:rsid w:val="00C70636"/>
    <w:rsid w:val="00C70842"/>
    <w:rsid w:val="00CC1830"/>
    <w:rsid w:val="00CC76F2"/>
    <w:rsid w:val="00CE105E"/>
    <w:rsid w:val="00CE1E5E"/>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25470"/>
    <w:rsid w:val="00E27471"/>
    <w:rsid w:val="00E44564"/>
    <w:rsid w:val="00E5722E"/>
    <w:rsid w:val="00E72D70"/>
    <w:rsid w:val="00E80A46"/>
    <w:rsid w:val="00E83B02"/>
    <w:rsid w:val="00E85FA0"/>
    <w:rsid w:val="00E87997"/>
    <w:rsid w:val="00E95F38"/>
    <w:rsid w:val="00EA7A67"/>
    <w:rsid w:val="00EC0A0F"/>
    <w:rsid w:val="00EC0B04"/>
    <w:rsid w:val="00EC1812"/>
    <w:rsid w:val="00EC4A51"/>
    <w:rsid w:val="00EC5C1D"/>
    <w:rsid w:val="00ED176B"/>
    <w:rsid w:val="00F31B35"/>
    <w:rsid w:val="00F339CD"/>
    <w:rsid w:val="00F33A43"/>
    <w:rsid w:val="00F41650"/>
    <w:rsid w:val="00F45AF8"/>
    <w:rsid w:val="00F47143"/>
    <w:rsid w:val="00F64FF9"/>
    <w:rsid w:val="00F9569D"/>
    <w:rsid w:val="00FB62B7"/>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D9CF4"/>
  <w15:docId w15:val="{1A38DA13-CE7C-496D-96AD-D8E57DA7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FollowedHyperlink">
    <w:name w:val="FollowedHyperlink"/>
    <w:basedOn w:val="DefaultParagraphFont"/>
    <w:uiPriority w:val="99"/>
    <w:semiHidden/>
    <w:unhideWhenUsed/>
    <w:rsid w:val="002050D6"/>
    <w:rPr>
      <w:color w:val="800080" w:themeColor="followedHyperlink"/>
      <w:u w:val="single"/>
    </w:rPr>
  </w:style>
  <w:style w:type="character" w:customStyle="1" w:styleId="urtxtstd23">
    <w:name w:val="urtxtstd23"/>
    <w:basedOn w:val="DefaultParagraphFont"/>
    <w:rsid w:val="00EC1812"/>
    <w:rPr>
      <w:rFonts w:ascii="Arial" w:hAnsi="Arial" w:cs="Arial" w:hint="default"/>
      <w:b w:val="0"/>
      <w:bCs w:val="0"/>
      <w:i w:val="0"/>
      <w:iCs w:val="0"/>
      <w:sz w:val="18"/>
      <w:szCs w:val="18"/>
    </w:rPr>
  </w:style>
  <w:style w:type="character" w:styleId="CommentReference">
    <w:name w:val="annotation reference"/>
    <w:basedOn w:val="DefaultParagraphFont"/>
    <w:uiPriority w:val="99"/>
    <w:semiHidden/>
    <w:unhideWhenUsed/>
    <w:rsid w:val="00291C31"/>
    <w:rPr>
      <w:sz w:val="16"/>
      <w:szCs w:val="16"/>
    </w:rPr>
  </w:style>
  <w:style w:type="paragraph" w:styleId="CommentText">
    <w:name w:val="annotation text"/>
    <w:basedOn w:val="Normal"/>
    <w:link w:val="CommentTextChar"/>
    <w:uiPriority w:val="99"/>
    <w:semiHidden/>
    <w:unhideWhenUsed/>
    <w:rsid w:val="00291C31"/>
    <w:pPr>
      <w:spacing w:line="240" w:lineRule="auto"/>
    </w:pPr>
    <w:rPr>
      <w:sz w:val="20"/>
      <w:szCs w:val="20"/>
    </w:rPr>
  </w:style>
  <w:style w:type="character" w:customStyle="1" w:styleId="CommentTextChar">
    <w:name w:val="Comment Text Char"/>
    <w:basedOn w:val="DefaultParagraphFont"/>
    <w:link w:val="CommentText"/>
    <w:uiPriority w:val="99"/>
    <w:semiHidden/>
    <w:rsid w:val="00291C31"/>
    <w:rPr>
      <w:sz w:val="20"/>
      <w:szCs w:val="20"/>
    </w:rPr>
  </w:style>
  <w:style w:type="paragraph" w:styleId="CommentSubject">
    <w:name w:val="annotation subject"/>
    <w:basedOn w:val="CommentText"/>
    <w:next w:val="CommentText"/>
    <w:link w:val="CommentSubjectChar"/>
    <w:uiPriority w:val="99"/>
    <w:semiHidden/>
    <w:unhideWhenUsed/>
    <w:rsid w:val="00291C31"/>
    <w:rPr>
      <w:b/>
      <w:bCs/>
    </w:rPr>
  </w:style>
  <w:style w:type="character" w:customStyle="1" w:styleId="CommentSubjectChar">
    <w:name w:val="Comment Subject Char"/>
    <w:basedOn w:val="CommentTextChar"/>
    <w:link w:val="CommentSubject"/>
    <w:uiPriority w:val="99"/>
    <w:semiHidden/>
    <w:rsid w:val="00291C31"/>
    <w:rPr>
      <w:b/>
      <w:bCs/>
      <w:sz w:val="20"/>
      <w:szCs w:val="20"/>
    </w:rPr>
  </w:style>
  <w:style w:type="paragraph" w:customStyle="1" w:styleId="Pa18">
    <w:name w:val="Pa18"/>
    <w:basedOn w:val="Normal"/>
    <w:next w:val="Normal"/>
    <w:uiPriority w:val="99"/>
    <w:rsid w:val="006649E8"/>
    <w:pPr>
      <w:autoSpaceDE w:val="0"/>
      <w:autoSpaceDN w:val="0"/>
      <w:adjustRightInd w:val="0"/>
      <w:spacing w:after="0" w:line="161" w:lineRule="atLeast"/>
    </w:pPr>
    <w:rPr>
      <w:rFonts w:ascii="Rooney" w:hAnsi="Rooney"/>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731738271">
      <w:bodyDiv w:val="1"/>
      <w:marLeft w:val="0"/>
      <w:marRight w:val="0"/>
      <w:marTop w:val="0"/>
      <w:marBottom w:val="0"/>
      <w:divBdr>
        <w:top w:val="none" w:sz="0" w:space="0" w:color="auto"/>
        <w:left w:val="none" w:sz="0" w:space="0" w:color="auto"/>
        <w:bottom w:val="none" w:sz="0" w:space="0" w:color="auto"/>
        <w:right w:val="none" w:sz="0" w:space="0" w:color="auto"/>
      </w:divBdr>
    </w:div>
    <w:div w:id="752318594">
      <w:bodyDiv w:val="1"/>
      <w:marLeft w:val="0"/>
      <w:marRight w:val="0"/>
      <w:marTop w:val="0"/>
      <w:marBottom w:val="0"/>
      <w:divBdr>
        <w:top w:val="none" w:sz="0" w:space="0" w:color="auto"/>
        <w:left w:val="none" w:sz="0" w:space="0" w:color="auto"/>
        <w:bottom w:val="none" w:sz="0" w:space="0" w:color="auto"/>
        <w:right w:val="none" w:sz="0" w:space="0" w:color="auto"/>
      </w:divBdr>
    </w:div>
    <w:div w:id="1484933037">
      <w:bodyDiv w:val="1"/>
      <w:marLeft w:val="0"/>
      <w:marRight w:val="0"/>
      <w:marTop w:val="0"/>
      <w:marBottom w:val="0"/>
      <w:divBdr>
        <w:top w:val="none" w:sz="0" w:space="0" w:color="auto"/>
        <w:left w:val="none" w:sz="0" w:space="0" w:color="auto"/>
        <w:bottom w:val="none" w:sz="0" w:space="0" w:color="auto"/>
        <w:right w:val="none" w:sz="0" w:space="0" w:color="auto"/>
      </w:divBdr>
    </w:div>
    <w:div w:id="1595044545">
      <w:bodyDiv w:val="1"/>
      <w:marLeft w:val="0"/>
      <w:marRight w:val="0"/>
      <w:marTop w:val="0"/>
      <w:marBottom w:val="0"/>
      <w:divBdr>
        <w:top w:val="none" w:sz="0" w:space="0" w:color="auto"/>
        <w:left w:val="none" w:sz="0" w:space="0" w:color="auto"/>
        <w:bottom w:val="none" w:sz="0" w:space="0" w:color="auto"/>
        <w:right w:val="none" w:sz="0" w:space="0" w:color="auto"/>
      </w:divBdr>
    </w:div>
    <w:div w:id="1945337194">
      <w:bodyDiv w:val="1"/>
      <w:marLeft w:val="0"/>
      <w:marRight w:val="0"/>
      <w:marTop w:val="0"/>
      <w:marBottom w:val="0"/>
      <w:divBdr>
        <w:top w:val="none" w:sz="0" w:space="0" w:color="auto"/>
        <w:left w:val="none" w:sz="0" w:space="0" w:color="auto"/>
        <w:bottom w:val="none" w:sz="0" w:space="0" w:color="auto"/>
        <w:right w:val="none" w:sz="0" w:space="0" w:color="auto"/>
      </w:divBdr>
    </w:div>
    <w:div w:id="211577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ourcesandenergy.nsw.gov.au" TargetMode="Externa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psc.nsw.gov.au/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C317-AD74-4737-92E5-B3E02C31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5</Pages>
  <Words>1304</Words>
  <Characters>7439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Mark Russell</cp:lastModifiedBy>
  <cp:revision>2</cp:revision>
  <dcterms:created xsi:type="dcterms:W3CDTF">2018-10-10T05:52:00Z</dcterms:created>
  <dcterms:modified xsi:type="dcterms:W3CDTF">2018-10-10T05:52:00Z</dcterms:modified>
</cp:coreProperties>
</file>