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and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Heritage Division/Heritage Operations/Assessments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10</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224412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28 August 2017</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336527" w:rsidP="00DC0173">
            <w:pPr>
              <w:pStyle w:val="TableTextWhite"/>
            </w:pPr>
            <w:hyperlink r:id="rId8" w:history="1">
              <w:r w:rsidR="007B43CC" w:rsidRPr="00510E4A">
                <w:rPr>
                  <w:rStyle w:val="Hyperlink"/>
                </w:rPr>
                <w:t>www.environment.nsw.gov.au</w:t>
              </w:r>
            </w:hyperlink>
            <w:r w:rsidR="007B43CC">
              <w:t xml:space="preserve"> </w:t>
            </w:r>
          </w:p>
        </w:tc>
        <w:bookmarkStart w:id="0" w:name="Cluster"/>
        <w:bookmarkEnd w:id="0"/>
      </w:tr>
    </w:tbl>
    <w:p w:rsidR="007B43CC" w:rsidRDefault="007B43CC"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 xml:space="preserve">The NSW Office of Environment and Heritage aims to enrich life in NSW by helping the community to conserve and enjoy our environment and heritage.  For more information go to </w:t>
      </w:r>
      <w:hyperlink r:id="rId9" w:history="1">
        <w:r w:rsidR="00DA797C" w:rsidRPr="00667708">
          <w:rPr>
            <w:rStyle w:val="Hyperlink"/>
            <w:rFonts w:cs="Arial"/>
            <w:sz w:val="22"/>
          </w:rPr>
          <w:t>www.environment.nsw.gov.au</w:t>
        </w:r>
      </w:hyperlink>
      <w:r w:rsidRPr="00614552">
        <w:rPr>
          <w:rFonts w:cs="Arial"/>
        </w:rPr>
        <w:t>.</w:t>
      </w:r>
      <w:r w:rsidR="00DA797C">
        <w:rPr>
          <w:rFonts w:cs="Arial"/>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Senior Heritage Assessments Officer undertakes the assessment of development applications and approval pathways and compliance under the Heritage Act 1977 relating to items listed on State Heritage Register and applications referred under the provisions of the Environmental Planning and Assessmen</w:t>
      </w:r>
      <w:r w:rsidR="001A3843">
        <w:rPr>
          <w:rFonts w:cs="Arial"/>
        </w:rPr>
        <w:t xml:space="preserve">t Act 1979. The Senior Heritage </w:t>
      </w:r>
      <w:r w:rsidRPr="00614552">
        <w:rPr>
          <w:rFonts w:cs="Arial"/>
        </w:rPr>
        <w:t>Assessments Officer also provides advice on heritage conservation to develop outcomes in accordance with State Government Policy.</w:t>
      </w:r>
      <w:r w:rsidR="00313116">
        <w:rPr>
          <w:rFonts w:cs="Arial"/>
        </w:rPr>
        <w:t xml:space="preserve"> </w:t>
      </w:r>
      <w:r w:rsidR="00313116" w:rsidRPr="00130950">
        <w:rPr>
          <w:rFonts w:cs="Arial"/>
        </w:rPr>
        <w:t>The role contributes to the delivery of the Heritage Division’s vision of Celebrating, Sharing and Connecting our stories, our history and places in NSW.</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high level advice on the effective management and conservation of heritage items listed on the State Heritage Register. This includes, Conservation Management Plans and Conservation Strategies.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compliance and enforcement activities relating to the Heritage Act 1977.</w:t>
      </w:r>
    </w:p>
    <w:p w:rsidR="00CA21D2" w:rsidRPr="00CA21D2" w:rsidRDefault="00CA21D2" w:rsidP="00CA21D2">
      <w:pPr>
        <w:pStyle w:val="ListParagraph"/>
        <w:numPr>
          <w:ilvl w:val="0"/>
          <w:numId w:val="3"/>
        </w:numPr>
        <w:tabs>
          <w:tab w:val="left" w:pos="2925"/>
        </w:tabs>
        <w:rPr>
          <w:rFonts w:cs="Arial"/>
        </w:rPr>
      </w:pPr>
      <w:r w:rsidRPr="00CA21D2">
        <w:rPr>
          <w:rFonts w:cs="Arial"/>
        </w:rPr>
        <w:t>Provide expert and strategic advice on the development of policy, strategies, frameworks, shared heritage projects and other community based heritage issues to ensure that the management, conservation and interpretation of Aboriginal, non-Aboriginal and shared heritage occurs according to agreed government priorities.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Assess highly complex development proposals in accordance with policies and legislation, exercise any relevant approval delegations under the Heritage Act 1977 and review assessment reports prepared by team members.</w:t>
      </w:r>
    </w:p>
    <w:p w:rsidR="00CA21D2" w:rsidRPr="00CA21D2" w:rsidRDefault="00CA21D2" w:rsidP="00CA21D2">
      <w:pPr>
        <w:pStyle w:val="ListParagraph"/>
        <w:numPr>
          <w:ilvl w:val="0"/>
          <w:numId w:val="3"/>
        </w:numPr>
        <w:tabs>
          <w:tab w:val="left" w:pos="2925"/>
        </w:tabs>
        <w:rPr>
          <w:rFonts w:cs="Arial"/>
        </w:rPr>
      </w:pPr>
      <w:r w:rsidRPr="00CA21D2">
        <w:rPr>
          <w:rFonts w:cs="Arial"/>
        </w:rPr>
        <w:lastRenderedPageBreak/>
        <w:t>Prepare accurate and timely written reports, submissions, briefing notes and ministerial correspondence on a range of operational issues and ens</w:t>
      </w:r>
      <w:r>
        <w:rPr>
          <w:rFonts w:cs="Arial"/>
        </w:rPr>
        <w:t xml:space="preserve">ure documentation is developed </w:t>
      </w:r>
      <w:r w:rsidRPr="00CA21D2">
        <w:rPr>
          <w:rFonts w:cs="Arial"/>
        </w:rPr>
        <w:t>in accordance with government protocols.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Liaise and provide feedback to a range of diverse stakeholders to explain Departmental and Heritage Council position.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Assist in the development and maintenance of systems, policies and processes and prepare and maintain documentation in accordance with policies and legislation.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oversee all aspects of project development and implementation across a portfolio of complex projects, including preparing business cases and project plans, establishing appropriate governance, identifying, allocating and managing resources, and meeting reporting requirements, to ensure project outcomes are achieved on time, on budget, to quality standards and in line with the Agency project management methodology.</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Anticipate and understand contentious issues and assimilate information quickly by providing advice which is well researched and sound.</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High volume of work within statutory timeframes and other competing deadlines.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90" w:type="dxa"/>
        <w:tblLayout w:type="fixed"/>
        <w:tblLook w:val="04A0" w:firstRow="1" w:lastRow="0" w:firstColumn="1" w:lastColumn="0" w:noHBand="0" w:noVBand="1"/>
        <w:tblCaption w:val="PSC_Key_RelationshipsTable"/>
        <w:tblDescription w:val="PSC_Key_RelationshipsTable"/>
      </w:tblPr>
      <w:tblGrid>
        <w:gridCol w:w="3602"/>
        <w:gridCol w:w="6988"/>
      </w:tblGrid>
      <w:tr w:rsidR="000F040D" w:rsidTr="000F040D">
        <w:trPr>
          <w:cnfStyle w:val="100000000000" w:firstRow="1" w:lastRow="0" w:firstColumn="0" w:lastColumn="0" w:oddVBand="0" w:evenVBand="0" w:oddHBand="0" w:evenHBand="0" w:firstRowFirstColumn="0" w:firstRowLastColumn="0" w:lastRowFirstColumn="0" w:lastRowLastColumn="0"/>
          <w:tblHeader/>
        </w:trPr>
        <w:tc>
          <w:tcPr>
            <w:tcW w:w="3601" w:type="dxa"/>
            <w:hideMark/>
          </w:tcPr>
          <w:p w:rsidR="000F040D" w:rsidRDefault="000F040D">
            <w:pPr>
              <w:pStyle w:val="TableTextWhite0"/>
            </w:pPr>
            <w:r>
              <w:t>Who</w:t>
            </w:r>
          </w:p>
        </w:tc>
        <w:tc>
          <w:tcPr>
            <w:tcW w:w="6986" w:type="dxa"/>
            <w:hideMark/>
          </w:tcPr>
          <w:p w:rsidR="000F040D" w:rsidRDefault="000F040D">
            <w:pPr>
              <w:pStyle w:val="TableTextWhite0"/>
            </w:pPr>
            <w:r>
              <w:t xml:space="preserve">       Why</w:t>
            </w:r>
          </w:p>
        </w:tc>
      </w:tr>
      <w:tr w:rsidR="000F040D" w:rsidTr="000F040D">
        <w:tc>
          <w:tcPr>
            <w:tcW w:w="3601" w:type="dxa"/>
            <w:tcBorders>
              <w:top w:val="single" w:sz="8" w:space="0" w:color="BCBEC0"/>
              <w:left w:val="nil"/>
              <w:bottom w:val="single" w:sz="8" w:space="0" w:color="BCBEC0"/>
              <w:right w:val="nil"/>
            </w:tcBorders>
            <w:shd w:val="clear" w:color="auto" w:fill="BCBEC0"/>
            <w:hideMark/>
          </w:tcPr>
          <w:p w:rsidR="000F040D" w:rsidRDefault="000F040D">
            <w:pPr>
              <w:pStyle w:val="TableText"/>
              <w:keepNext/>
              <w:rPr>
                <w:b/>
              </w:rPr>
            </w:pPr>
            <w:r>
              <w:rPr>
                <w:b/>
              </w:rPr>
              <w:t>Internal</w:t>
            </w:r>
          </w:p>
        </w:tc>
        <w:tc>
          <w:tcPr>
            <w:tcW w:w="6986" w:type="dxa"/>
            <w:tcBorders>
              <w:top w:val="single" w:sz="8" w:space="0" w:color="BCBEC0"/>
              <w:left w:val="nil"/>
              <w:bottom w:val="single" w:sz="8" w:space="0" w:color="BCBEC0"/>
              <w:right w:val="nil"/>
            </w:tcBorders>
            <w:shd w:val="clear" w:color="auto" w:fill="BCBEC0"/>
          </w:tcPr>
          <w:p w:rsidR="000F040D" w:rsidRDefault="000F040D">
            <w:pPr>
              <w:pStyle w:val="TableText"/>
              <w:keepNext/>
              <w:rPr>
                <w:b/>
              </w:rPr>
            </w:pPr>
          </w:p>
        </w:tc>
      </w:tr>
      <w:tr w:rsidR="000F040D" w:rsidTr="000F040D">
        <w:tc>
          <w:tcPr>
            <w:tcW w:w="3601" w:type="dxa"/>
            <w:tcBorders>
              <w:top w:val="single" w:sz="8" w:space="0" w:color="auto"/>
              <w:left w:val="nil"/>
              <w:bottom w:val="single" w:sz="8" w:space="0" w:color="BCBEC0"/>
              <w:right w:val="nil"/>
            </w:tcBorders>
            <w:hideMark/>
          </w:tcPr>
          <w:p w:rsidR="000F040D" w:rsidRDefault="000F040D">
            <w:pPr>
              <w:pStyle w:val="TableText"/>
            </w:pPr>
            <w:r>
              <w:t>Senior Team Leader</w:t>
            </w:r>
          </w:p>
        </w:tc>
        <w:tc>
          <w:tcPr>
            <w:tcW w:w="6986" w:type="dxa"/>
            <w:tcBorders>
              <w:top w:val="single" w:sz="8" w:space="0" w:color="auto"/>
              <w:left w:val="nil"/>
              <w:bottom w:val="single" w:sz="8" w:space="0" w:color="BCBEC0"/>
              <w:right w:val="nil"/>
            </w:tcBorders>
            <w:hideMark/>
          </w:tcPr>
          <w:p w:rsidR="000F040D" w:rsidRDefault="000F040D" w:rsidP="000F040D">
            <w:pPr>
              <w:pStyle w:val="TableText"/>
              <w:numPr>
                <w:ilvl w:val="0"/>
                <w:numId w:val="4"/>
              </w:numPr>
            </w:pPr>
            <w:r>
              <w:t>Escalate issues, keep informed, advise and receive direction.</w:t>
            </w:r>
          </w:p>
        </w:tc>
      </w:tr>
      <w:tr w:rsidR="000F040D" w:rsidTr="000F040D">
        <w:tc>
          <w:tcPr>
            <w:tcW w:w="3601" w:type="dxa"/>
            <w:tcBorders>
              <w:top w:val="single" w:sz="8" w:space="0" w:color="auto"/>
              <w:left w:val="nil"/>
              <w:bottom w:val="single" w:sz="8" w:space="0" w:color="BCBEC0"/>
              <w:right w:val="nil"/>
            </w:tcBorders>
            <w:hideMark/>
          </w:tcPr>
          <w:p w:rsidR="000F040D" w:rsidRDefault="000F040D">
            <w:pPr>
              <w:pStyle w:val="TableText"/>
            </w:pPr>
            <w:r>
              <w:t>Work team/Other internal staff</w:t>
            </w:r>
          </w:p>
        </w:tc>
        <w:tc>
          <w:tcPr>
            <w:tcW w:w="6986" w:type="dxa"/>
            <w:tcBorders>
              <w:top w:val="single" w:sz="8" w:space="0" w:color="auto"/>
              <w:left w:val="nil"/>
              <w:bottom w:val="single" w:sz="8" w:space="0" w:color="BCBEC0"/>
              <w:right w:val="nil"/>
            </w:tcBorders>
            <w:hideMark/>
          </w:tcPr>
          <w:p w:rsidR="000F040D" w:rsidRDefault="000F040D" w:rsidP="000F040D">
            <w:pPr>
              <w:pStyle w:val="TableText"/>
              <w:numPr>
                <w:ilvl w:val="0"/>
                <w:numId w:val="4"/>
              </w:numPr>
            </w:pPr>
            <w:r>
              <w:t>Support team, work collaboratively.</w:t>
            </w:r>
          </w:p>
        </w:tc>
      </w:tr>
      <w:tr w:rsidR="000F040D" w:rsidTr="000F040D">
        <w:tc>
          <w:tcPr>
            <w:tcW w:w="3601" w:type="dxa"/>
            <w:tcBorders>
              <w:top w:val="single" w:sz="8" w:space="0" w:color="auto"/>
              <w:left w:val="nil"/>
              <w:bottom w:val="single" w:sz="8" w:space="0" w:color="BCBEC0"/>
              <w:right w:val="nil"/>
            </w:tcBorders>
            <w:hideMark/>
          </w:tcPr>
          <w:p w:rsidR="000F040D" w:rsidRDefault="000F040D">
            <w:pPr>
              <w:pStyle w:val="TableText"/>
            </w:pPr>
            <w:r>
              <w:t xml:space="preserve">Regional Operations </w:t>
            </w:r>
          </w:p>
        </w:tc>
        <w:tc>
          <w:tcPr>
            <w:tcW w:w="6986" w:type="dxa"/>
            <w:tcBorders>
              <w:top w:val="single" w:sz="8" w:space="0" w:color="auto"/>
              <w:left w:val="nil"/>
              <w:bottom w:val="single" w:sz="8" w:space="0" w:color="BCBEC0"/>
              <w:right w:val="nil"/>
            </w:tcBorders>
            <w:hideMark/>
          </w:tcPr>
          <w:p w:rsidR="000F040D" w:rsidRDefault="000F040D" w:rsidP="000F040D">
            <w:pPr>
              <w:pStyle w:val="TableText"/>
              <w:numPr>
                <w:ilvl w:val="0"/>
                <w:numId w:val="4"/>
              </w:numPr>
            </w:pPr>
            <w:r>
              <w:t>Liaise, work collaboratively.</w:t>
            </w:r>
          </w:p>
        </w:tc>
      </w:tr>
      <w:tr w:rsidR="000F040D" w:rsidTr="000F040D">
        <w:tc>
          <w:tcPr>
            <w:tcW w:w="3601" w:type="dxa"/>
            <w:tcBorders>
              <w:top w:val="single" w:sz="8" w:space="0" w:color="BCBEC0"/>
              <w:left w:val="nil"/>
              <w:bottom w:val="single" w:sz="8" w:space="0" w:color="BCBEC0"/>
              <w:right w:val="nil"/>
            </w:tcBorders>
            <w:shd w:val="clear" w:color="auto" w:fill="BCBEC0"/>
            <w:hideMark/>
          </w:tcPr>
          <w:p w:rsidR="000F040D" w:rsidRDefault="000F040D">
            <w:pPr>
              <w:pStyle w:val="TableText"/>
              <w:keepNext/>
              <w:rPr>
                <w:b/>
              </w:rPr>
            </w:pPr>
            <w:r>
              <w:rPr>
                <w:b/>
              </w:rPr>
              <w:t>External</w:t>
            </w:r>
          </w:p>
        </w:tc>
        <w:tc>
          <w:tcPr>
            <w:tcW w:w="6986" w:type="dxa"/>
            <w:tcBorders>
              <w:top w:val="single" w:sz="8" w:space="0" w:color="BCBEC0"/>
              <w:left w:val="nil"/>
              <w:bottom w:val="single" w:sz="8" w:space="0" w:color="BCBEC0"/>
              <w:right w:val="nil"/>
            </w:tcBorders>
            <w:shd w:val="clear" w:color="auto" w:fill="BCBEC0"/>
          </w:tcPr>
          <w:p w:rsidR="000F040D" w:rsidRDefault="000F040D">
            <w:pPr>
              <w:pStyle w:val="TableText"/>
              <w:keepNext/>
              <w:rPr>
                <w:b/>
              </w:rPr>
            </w:pPr>
          </w:p>
        </w:tc>
      </w:tr>
      <w:tr w:rsidR="000F040D" w:rsidTr="000F040D">
        <w:tc>
          <w:tcPr>
            <w:tcW w:w="3601" w:type="dxa"/>
            <w:tcBorders>
              <w:top w:val="single" w:sz="8" w:space="0" w:color="auto"/>
              <w:left w:val="nil"/>
              <w:bottom w:val="single" w:sz="8" w:space="0" w:color="auto"/>
              <w:right w:val="nil"/>
            </w:tcBorders>
            <w:hideMark/>
          </w:tcPr>
          <w:p w:rsidR="000F040D" w:rsidRDefault="000F040D">
            <w:pPr>
              <w:pStyle w:val="TableText"/>
            </w:pPr>
            <w:r>
              <w:t>Other Government Agencies, industry groups. community representatives, special interest groups and individual landholders, ACHAC</w:t>
            </w:r>
          </w:p>
        </w:tc>
        <w:tc>
          <w:tcPr>
            <w:tcW w:w="6986" w:type="dxa"/>
            <w:tcBorders>
              <w:top w:val="single" w:sz="8" w:space="0" w:color="auto"/>
              <w:left w:val="nil"/>
              <w:bottom w:val="single" w:sz="8" w:space="0" w:color="auto"/>
              <w:right w:val="nil"/>
            </w:tcBorders>
            <w:hideMark/>
          </w:tcPr>
          <w:p w:rsidR="000F040D" w:rsidRDefault="000F040D" w:rsidP="000F040D">
            <w:pPr>
              <w:pStyle w:val="TableText"/>
              <w:numPr>
                <w:ilvl w:val="0"/>
                <w:numId w:val="4"/>
              </w:numPr>
            </w:pPr>
            <w:r>
              <w:t>Consult with, represent the Division to other government agencies and community groups.</w:t>
            </w:r>
          </w:p>
          <w:p w:rsidR="000F040D" w:rsidRDefault="000F040D" w:rsidP="000F040D">
            <w:pPr>
              <w:pStyle w:val="TableText"/>
              <w:numPr>
                <w:ilvl w:val="0"/>
                <w:numId w:val="4"/>
              </w:numPr>
            </w:pPr>
            <w:r>
              <w:t>Provide advice on practical and statutory heritage conservation matters.</w:t>
            </w:r>
          </w:p>
        </w:tc>
      </w:tr>
      <w:tr w:rsidR="000F040D" w:rsidTr="000F040D">
        <w:tc>
          <w:tcPr>
            <w:tcW w:w="3601" w:type="dxa"/>
            <w:tcBorders>
              <w:top w:val="single" w:sz="8" w:space="0" w:color="auto"/>
              <w:left w:val="nil"/>
              <w:bottom w:val="single" w:sz="8" w:space="0" w:color="BCBEC0"/>
              <w:right w:val="nil"/>
            </w:tcBorders>
            <w:hideMark/>
          </w:tcPr>
          <w:p w:rsidR="000F040D" w:rsidRDefault="000F040D">
            <w:pPr>
              <w:pStyle w:val="TableText"/>
            </w:pPr>
            <w:r>
              <w:t>Heritage Council of NSW</w:t>
            </w:r>
          </w:p>
        </w:tc>
        <w:tc>
          <w:tcPr>
            <w:tcW w:w="6986" w:type="dxa"/>
            <w:tcBorders>
              <w:top w:val="single" w:sz="8" w:space="0" w:color="auto"/>
              <w:left w:val="nil"/>
              <w:bottom w:val="single" w:sz="8" w:space="0" w:color="BCBEC0"/>
              <w:right w:val="nil"/>
            </w:tcBorders>
            <w:hideMark/>
          </w:tcPr>
          <w:p w:rsidR="000F040D" w:rsidRDefault="000F040D" w:rsidP="000F040D">
            <w:pPr>
              <w:pStyle w:val="TableText"/>
              <w:numPr>
                <w:ilvl w:val="0"/>
                <w:numId w:val="4"/>
              </w:numPr>
            </w:pPr>
            <w:r>
              <w:t>Provide advice, prepare assessment reports.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313116" w:rsidRDefault="00313116" w:rsidP="00313116">
      <w:pPr>
        <w:spacing w:after="0" w:line="240" w:lineRule="auto"/>
        <w:rPr>
          <w:rFonts w:cs="Arial"/>
          <w:szCs w:val="26"/>
        </w:rPr>
      </w:pPr>
      <w:r w:rsidRPr="007E7688">
        <w:rPr>
          <w:rFonts w:cs="Arial"/>
          <w:szCs w:val="26"/>
        </w:rPr>
        <w:t>The role operates with a high level of autonomy, makes day to day decisions relating to work priorities and workload management for itself and staff. The role exercises delegated authority consistent with OEH policy and under a range of NSW and other State and Commonwealth legislation and is fully accountable for the delivery of assigned projects on time and at or below budget.</w:t>
      </w:r>
    </w:p>
    <w:p w:rsidR="00CA21D2" w:rsidRPr="00CA21D2" w:rsidRDefault="00CA21D2" w:rsidP="00CA21D2">
      <w:pPr>
        <w:spacing w:after="0" w:line="240" w:lineRule="auto"/>
        <w:rPr>
          <w:rFonts w:eastAsia="Times New Roman" w:cs="Arial"/>
          <w:color w:val="FF0000"/>
          <w:sz w:val="20"/>
          <w:szCs w:val="20"/>
          <w:lang w:val="en-AU" w:eastAsia="en-AU"/>
        </w:rPr>
      </w:pPr>
      <w:bookmarkStart w:id="1" w:name="_GoBack"/>
      <w:bookmarkEnd w:id="1"/>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Senior Team Leader, Assessments.</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lastRenderedPageBreak/>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Tertiary qualifications in heritage management, architecture, design, urban design, archaeology, planning, landscape architecture or relevant field with demonstrated experience in heritage conservation.</w:t>
      </w:r>
    </w:p>
    <w:p w:rsidR="00205A8A" w:rsidRDefault="00205A8A" w:rsidP="00205A8A">
      <w:pPr>
        <w:tabs>
          <w:tab w:val="left" w:pos="2925"/>
        </w:tabs>
        <w:rPr>
          <w:rFonts w:ascii="Georgia" w:hAnsi="Georgia"/>
        </w:rPr>
      </w:pPr>
      <w:r w:rsidRPr="00614552">
        <w:rPr>
          <w:rFonts w:cs="Arial"/>
        </w:rPr>
        <w:t>Drivers Licence.</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pPr>
        <w:rPr>
          <w:rFonts w:cs="Arial"/>
        </w:rPr>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313116" w:rsidRPr="00803E47" w:rsidTr="004A6E62">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313116" w:rsidRPr="00803E47" w:rsidRDefault="00313116" w:rsidP="004A6E62">
            <w:pPr>
              <w:pStyle w:val="TableTextWhite0"/>
              <w:keepNext/>
            </w:pPr>
            <w:r>
              <w:t>NSW Public Sector Capability Framework</w:t>
            </w:r>
          </w:p>
        </w:tc>
      </w:tr>
      <w:tr w:rsidR="00313116" w:rsidRPr="00C978B9" w:rsidTr="004A6E62">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313116" w:rsidRPr="00C978B9" w:rsidRDefault="00313116" w:rsidP="004A6E62">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313116" w:rsidRPr="00C978B9" w:rsidRDefault="00313116" w:rsidP="004A6E62">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313116" w:rsidRPr="00C978B9" w:rsidRDefault="00313116" w:rsidP="004A6E62">
            <w:pPr>
              <w:pStyle w:val="TableText"/>
              <w:keepNext/>
              <w:rPr>
                <w:b/>
                <w:sz w:val="24"/>
                <w:szCs w:val="24"/>
              </w:rPr>
            </w:pPr>
            <w:r>
              <w:rPr>
                <w:b/>
              </w:rPr>
              <w:t>Level</w:t>
            </w:r>
          </w:p>
        </w:tc>
      </w:tr>
      <w:tr w:rsidR="00313116" w:rsidRPr="00C978B9" w:rsidTr="004A6E62">
        <w:tc>
          <w:tcPr>
            <w:tcW w:w="2042" w:type="dxa"/>
            <w:vMerge w:val="restart"/>
            <w:tcBorders>
              <w:top w:val="gems" w:sz="8" w:space="0" w:color="BCBEC0"/>
              <w:bottom w:val="single" w:sz="8" w:space="0" w:color="BCBEC0"/>
            </w:tcBorders>
            <w:vAlign w:val="center"/>
          </w:tcPr>
          <w:p w:rsidR="00313116" w:rsidRPr="00C978B9" w:rsidRDefault="00313116" w:rsidP="004A6E62">
            <w:pPr>
              <w:keepNext/>
            </w:pPr>
            <w:r w:rsidRPr="00C978B9">
              <w:rPr>
                <w:noProof/>
                <w:lang w:eastAsia="en-AU"/>
              </w:rPr>
              <w:drawing>
                <wp:inline distT="0" distB="0" distL="0" distR="0" wp14:anchorId="1EB1BB01" wp14:editId="235FD68E">
                  <wp:extent cx="881037" cy="881037"/>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13116" w:rsidRPr="00610758" w:rsidRDefault="00313116" w:rsidP="004A6E62">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13116" w:rsidRPr="00610758" w:rsidRDefault="00313116" w:rsidP="004A6E62">
            <w:pPr>
              <w:pStyle w:val="TableText"/>
              <w:keepNext/>
            </w:pPr>
            <w:r>
              <w:t>Intermediate</w:t>
            </w:r>
          </w:p>
        </w:tc>
      </w:tr>
      <w:tr w:rsidR="00313116" w:rsidRPr="00C978B9" w:rsidTr="004A6E62">
        <w:tc>
          <w:tcPr>
            <w:tcW w:w="2042" w:type="dxa"/>
            <w:vMerge/>
            <w:tcBorders>
              <w:bottom w:val="single" w:sz="4" w:space="0" w:color="BCBEC0"/>
            </w:tcBorders>
          </w:tcPr>
          <w:p w:rsidR="00313116" w:rsidRPr="00C978B9" w:rsidRDefault="00313116" w:rsidP="004A6E62">
            <w:pPr>
              <w:keepNext/>
            </w:pPr>
          </w:p>
        </w:tc>
        <w:tc>
          <w:tcPr>
            <w:tcW w:w="5458" w:type="dxa"/>
            <w:tcBorders>
              <w:bottom w:val="single" w:sz="4" w:space="0" w:color="BCBEC0"/>
            </w:tcBorders>
          </w:tcPr>
          <w:p w:rsidR="00313116" w:rsidRPr="00610758" w:rsidRDefault="00313116" w:rsidP="004A6E62">
            <w:pPr>
              <w:pStyle w:val="TableText"/>
              <w:keepNext/>
              <w:rPr>
                <w:b/>
                <w:sz w:val="24"/>
                <w:szCs w:val="24"/>
              </w:rPr>
            </w:pPr>
            <w:r>
              <w:rPr>
                <w:b/>
              </w:rPr>
              <w:t>Act with Integrity</w:t>
            </w:r>
          </w:p>
        </w:tc>
        <w:tc>
          <w:tcPr>
            <w:tcW w:w="3357" w:type="dxa"/>
            <w:tcBorders>
              <w:bottom w:val="single" w:sz="4" w:space="0" w:color="BCBEC0"/>
            </w:tcBorders>
          </w:tcPr>
          <w:p w:rsidR="00313116" w:rsidRPr="00610758" w:rsidRDefault="00313116" w:rsidP="004A6E62">
            <w:pPr>
              <w:pStyle w:val="TableText"/>
              <w:keepNext/>
              <w:rPr>
                <w:b/>
              </w:rPr>
            </w:pPr>
            <w:r>
              <w:rPr>
                <w:b/>
              </w:rPr>
              <w:t>Adept</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Manage Self</w:t>
            </w:r>
          </w:p>
        </w:tc>
        <w:tc>
          <w:tcPr>
            <w:tcW w:w="3357" w:type="dxa"/>
            <w:tcBorders>
              <w:top w:val="single" w:sz="8" w:space="0" w:color="BCBEC0"/>
            </w:tcBorders>
          </w:tcPr>
          <w:p w:rsidR="00313116" w:rsidRPr="00A15CDB" w:rsidRDefault="00313116" w:rsidP="004A6E62">
            <w:pPr>
              <w:pStyle w:val="TableText"/>
              <w:keepNext/>
            </w:pPr>
            <w:r>
              <w:t>Adept</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Value Diversity</w:t>
            </w:r>
          </w:p>
        </w:tc>
        <w:tc>
          <w:tcPr>
            <w:tcW w:w="3357" w:type="dxa"/>
            <w:tcBorders>
              <w:top w:val="single" w:sz="8" w:space="0" w:color="BCBEC0"/>
            </w:tcBorders>
          </w:tcPr>
          <w:p w:rsidR="00313116" w:rsidRPr="00A15CDB" w:rsidRDefault="00313116" w:rsidP="004A6E62">
            <w:pPr>
              <w:pStyle w:val="TableText"/>
              <w:keepNext/>
            </w:pPr>
            <w:r>
              <w:t>Intermediate</w:t>
            </w:r>
          </w:p>
        </w:tc>
      </w:tr>
      <w:tr w:rsidR="00313116" w:rsidRPr="00C978B9" w:rsidTr="004A6E62">
        <w:tc>
          <w:tcPr>
            <w:tcW w:w="2042" w:type="dxa"/>
            <w:vMerge w:val="restart"/>
            <w:tcBorders>
              <w:top w:val="single" w:sz="12" w:space="0" w:color="auto"/>
              <w:bottom w:val="single" w:sz="8" w:space="0" w:color="BCBEC0"/>
            </w:tcBorders>
            <w:vAlign w:val="center"/>
          </w:tcPr>
          <w:p w:rsidR="00313116" w:rsidRPr="00C978B9" w:rsidRDefault="00313116" w:rsidP="004A6E62">
            <w:pPr>
              <w:keepNext/>
            </w:pPr>
            <w:r w:rsidRPr="00C978B9">
              <w:rPr>
                <w:noProof/>
                <w:lang w:eastAsia="en-AU"/>
              </w:rPr>
              <w:drawing>
                <wp:inline distT="0" distB="0" distL="0" distR="0" wp14:anchorId="2EB6BA1D" wp14:editId="330EAAAD">
                  <wp:extent cx="881037" cy="881037"/>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13116" w:rsidRPr="00610758" w:rsidRDefault="00313116" w:rsidP="004A6E62">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13116" w:rsidRPr="00610758" w:rsidRDefault="00313116" w:rsidP="004A6E62">
            <w:pPr>
              <w:pStyle w:val="TableText"/>
              <w:keepNext/>
              <w:rPr>
                <w:b/>
              </w:rPr>
            </w:pPr>
            <w:r>
              <w:rPr>
                <w:b/>
              </w:rPr>
              <w:t>Advanced</w:t>
            </w:r>
          </w:p>
        </w:tc>
      </w:tr>
      <w:tr w:rsidR="00313116" w:rsidRPr="00C978B9" w:rsidTr="004A6E62">
        <w:tc>
          <w:tcPr>
            <w:tcW w:w="2042" w:type="dxa"/>
            <w:vMerge/>
            <w:tcBorders>
              <w:bottom w:val="single" w:sz="4" w:space="0" w:color="BCBEC0"/>
            </w:tcBorders>
          </w:tcPr>
          <w:p w:rsidR="00313116" w:rsidRPr="00C978B9" w:rsidRDefault="00313116" w:rsidP="004A6E62">
            <w:pPr>
              <w:keepNext/>
            </w:pPr>
          </w:p>
        </w:tc>
        <w:tc>
          <w:tcPr>
            <w:tcW w:w="5458" w:type="dxa"/>
            <w:tcBorders>
              <w:bottom w:val="single" w:sz="4" w:space="0" w:color="BCBEC0"/>
            </w:tcBorders>
          </w:tcPr>
          <w:p w:rsidR="00313116" w:rsidRPr="00610758" w:rsidRDefault="00313116" w:rsidP="004A6E62">
            <w:pPr>
              <w:pStyle w:val="TableText"/>
              <w:keepNext/>
              <w:rPr>
                <w:b/>
                <w:sz w:val="24"/>
                <w:szCs w:val="24"/>
              </w:rPr>
            </w:pPr>
            <w:r>
              <w:rPr>
                <w:b/>
              </w:rPr>
              <w:t>Commit to Customer Service</w:t>
            </w:r>
          </w:p>
        </w:tc>
        <w:tc>
          <w:tcPr>
            <w:tcW w:w="3357" w:type="dxa"/>
            <w:tcBorders>
              <w:bottom w:val="single" w:sz="4" w:space="0" w:color="BCBEC0"/>
            </w:tcBorders>
          </w:tcPr>
          <w:p w:rsidR="00313116" w:rsidRPr="00610758" w:rsidRDefault="00313116" w:rsidP="004A6E62">
            <w:pPr>
              <w:pStyle w:val="TableText"/>
              <w:keepNext/>
              <w:rPr>
                <w:b/>
              </w:rPr>
            </w:pPr>
            <w:r>
              <w:rPr>
                <w:b/>
              </w:rPr>
              <w:t>Adept</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Work Collaboratively</w:t>
            </w:r>
          </w:p>
        </w:tc>
        <w:tc>
          <w:tcPr>
            <w:tcW w:w="3357" w:type="dxa"/>
            <w:tcBorders>
              <w:top w:val="single" w:sz="8" w:space="0" w:color="BCBEC0"/>
            </w:tcBorders>
          </w:tcPr>
          <w:p w:rsidR="00313116" w:rsidRPr="00A15CDB" w:rsidRDefault="00313116" w:rsidP="004A6E62">
            <w:pPr>
              <w:pStyle w:val="TableText"/>
              <w:keepNext/>
            </w:pPr>
            <w:r>
              <w:t>Adept</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Influence and Negotiate</w:t>
            </w:r>
          </w:p>
        </w:tc>
        <w:tc>
          <w:tcPr>
            <w:tcW w:w="3357" w:type="dxa"/>
            <w:tcBorders>
              <w:top w:val="single" w:sz="8" w:space="0" w:color="BCBEC0"/>
            </w:tcBorders>
          </w:tcPr>
          <w:p w:rsidR="00313116" w:rsidRPr="00A15CDB" w:rsidRDefault="00313116" w:rsidP="004A6E62">
            <w:pPr>
              <w:pStyle w:val="TableText"/>
              <w:keepNext/>
            </w:pPr>
            <w:r>
              <w:t>Intermediate</w:t>
            </w:r>
          </w:p>
        </w:tc>
      </w:tr>
      <w:tr w:rsidR="00313116" w:rsidRPr="00C978B9" w:rsidTr="004A6E62">
        <w:tc>
          <w:tcPr>
            <w:tcW w:w="2042" w:type="dxa"/>
            <w:vMerge w:val="restart"/>
            <w:tcBorders>
              <w:top w:val="single" w:sz="12" w:space="0" w:color="auto"/>
              <w:bottom w:val="single" w:sz="8" w:space="0" w:color="BCBEC0"/>
            </w:tcBorders>
            <w:vAlign w:val="center"/>
          </w:tcPr>
          <w:p w:rsidR="00313116" w:rsidRPr="00C978B9" w:rsidRDefault="00313116" w:rsidP="004A6E62">
            <w:pPr>
              <w:keepNext/>
            </w:pPr>
            <w:r w:rsidRPr="00C978B9">
              <w:rPr>
                <w:noProof/>
                <w:lang w:eastAsia="en-AU"/>
              </w:rPr>
              <w:drawing>
                <wp:inline distT="0" distB="0" distL="0" distR="0" wp14:anchorId="54B674E8" wp14:editId="76AFBBC0">
                  <wp:extent cx="881037" cy="881037"/>
                  <wp:effectExtent l="0" t="0" r="0" b="0"/>
                  <wp:docPr id="9"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13116" w:rsidRPr="00610758" w:rsidRDefault="00313116" w:rsidP="004A6E62">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13116" w:rsidRPr="00610758" w:rsidRDefault="00313116" w:rsidP="004A6E62">
            <w:pPr>
              <w:pStyle w:val="TableText"/>
              <w:keepNext/>
              <w:rPr>
                <w:b/>
              </w:rPr>
            </w:pPr>
            <w:r>
              <w:rPr>
                <w:b/>
              </w:rPr>
              <w:t>Advanced</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Plan and Prioritise</w:t>
            </w:r>
          </w:p>
        </w:tc>
        <w:tc>
          <w:tcPr>
            <w:tcW w:w="3357" w:type="dxa"/>
            <w:tcBorders>
              <w:top w:val="single" w:sz="8" w:space="0" w:color="BCBEC0"/>
            </w:tcBorders>
          </w:tcPr>
          <w:p w:rsidR="00313116" w:rsidRPr="00A15CDB" w:rsidRDefault="00313116" w:rsidP="004A6E62">
            <w:pPr>
              <w:pStyle w:val="TableText"/>
              <w:keepNext/>
            </w:pPr>
            <w:r>
              <w:t>Adept</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Think and Solve Problems</w:t>
            </w:r>
          </w:p>
        </w:tc>
        <w:tc>
          <w:tcPr>
            <w:tcW w:w="3357" w:type="dxa"/>
            <w:tcBorders>
              <w:top w:val="single" w:sz="8" w:space="0" w:color="BCBEC0"/>
            </w:tcBorders>
          </w:tcPr>
          <w:p w:rsidR="00313116" w:rsidRPr="00A15CDB" w:rsidRDefault="00313116" w:rsidP="004A6E62">
            <w:pPr>
              <w:pStyle w:val="TableText"/>
              <w:keepNext/>
            </w:pPr>
            <w:r>
              <w:t>Intermediate</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Demonstrate Accountability</w:t>
            </w:r>
          </w:p>
        </w:tc>
        <w:tc>
          <w:tcPr>
            <w:tcW w:w="3357" w:type="dxa"/>
            <w:tcBorders>
              <w:top w:val="single" w:sz="8" w:space="0" w:color="BCBEC0"/>
            </w:tcBorders>
          </w:tcPr>
          <w:p w:rsidR="00313116" w:rsidRPr="00A15CDB" w:rsidRDefault="00313116" w:rsidP="004A6E62">
            <w:pPr>
              <w:pStyle w:val="TableText"/>
              <w:keepNext/>
            </w:pPr>
            <w:r>
              <w:t>Intermediate</w:t>
            </w:r>
          </w:p>
        </w:tc>
      </w:tr>
      <w:tr w:rsidR="00313116" w:rsidRPr="00C978B9" w:rsidTr="004A6E62">
        <w:tc>
          <w:tcPr>
            <w:tcW w:w="2042" w:type="dxa"/>
            <w:vMerge w:val="restart"/>
            <w:tcBorders>
              <w:top w:val="single" w:sz="12" w:space="0" w:color="auto"/>
              <w:bottom w:val="single" w:sz="8" w:space="0" w:color="BCBEC0"/>
            </w:tcBorders>
            <w:vAlign w:val="center"/>
          </w:tcPr>
          <w:p w:rsidR="00313116" w:rsidRPr="00C978B9" w:rsidRDefault="00313116" w:rsidP="004A6E62">
            <w:pPr>
              <w:keepNext/>
            </w:pPr>
            <w:r w:rsidRPr="00C978B9">
              <w:rPr>
                <w:noProof/>
                <w:lang w:eastAsia="en-AU"/>
              </w:rPr>
              <w:drawing>
                <wp:inline distT="0" distB="0" distL="0" distR="0" wp14:anchorId="4EC29BED" wp14:editId="1AE4B196">
                  <wp:extent cx="881037" cy="881037"/>
                  <wp:effectExtent l="0" t="0" r="0" b="0"/>
                  <wp:docPr id="10"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13116" w:rsidRPr="00610758" w:rsidRDefault="00313116" w:rsidP="004A6E62">
            <w:pPr>
              <w:pStyle w:val="TableText"/>
              <w:keepNext/>
              <w:rPr>
                <w:sz w:val="24"/>
                <w:szCs w:val="24"/>
              </w:rPr>
            </w:pPr>
            <w:r>
              <w:t>Finance</w:t>
            </w:r>
          </w:p>
        </w:tc>
        <w:tc>
          <w:tcPr>
            <w:tcW w:w="3357" w:type="dxa"/>
            <w:tcBorders>
              <w:top w:val="single" w:sz="12" w:space="0" w:color="auto"/>
              <w:bottom w:val="single" w:sz="8" w:space="0" w:color="BCBEC0"/>
            </w:tcBorders>
          </w:tcPr>
          <w:p w:rsidR="00313116" w:rsidRPr="00610758" w:rsidRDefault="00313116" w:rsidP="004A6E62">
            <w:pPr>
              <w:pStyle w:val="TableText"/>
              <w:keepNext/>
            </w:pPr>
            <w:r>
              <w:t>Intermediate</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Technology</w:t>
            </w:r>
          </w:p>
        </w:tc>
        <w:tc>
          <w:tcPr>
            <w:tcW w:w="3357" w:type="dxa"/>
            <w:tcBorders>
              <w:top w:val="single" w:sz="8" w:space="0" w:color="BCBEC0"/>
            </w:tcBorders>
          </w:tcPr>
          <w:p w:rsidR="00313116" w:rsidRPr="00A15CDB" w:rsidRDefault="00313116" w:rsidP="004A6E62">
            <w:pPr>
              <w:pStyle w:val="TableText"/>
              <w:keepNext/>
            </w:pPr>
            <w:r>
              <w:t>Intermediate</w:t>
            </w:r>
          </w:p>
        </w:tc>
      </w:tr>
      <w:tr w:rsidR="00313116" w:rsidRPr="00C978B9" w:rsidTr="004A6E62">
        <w:tc>
          <w:tcPr>
            <w:tcW w:w="2042" w:type="dxa"/>
            <w:vMerge/>
            <w:tcBorders>
              <w:top w:val="single" w:sz="8" w:space="0" w:color="BCBEC0"/>
            </w:tcBorders>
          </w:tcPr>
          <w:p w:rsidR="00313116" w:rsidRPr="00C978B9" w:rsidRDefault="00313116" w:rsidP="004A6E62">
            <w:pPr>
              <w:keepNext/>
            </w:pPr>
          </w:p>
        </w:tc>
        <w:tc>
          <w:tcPr>
            <w:tcW w:w="5458" w:type="dxa"/>
            <w:tcBorders>
              <w:top w:val="single" w:sz="8" w:space="0" w:color="BCBEC0"/>
            </w:tcBorders>
          </w:tcPr>
          <w:p w:rsidR="00313116" w:rsidRPr="00C978B9" w:rsidRDefault="00313116" w:rsidP="004A6E62">
            <w:pPr>
              <w:pStyle w:val="TableText"/>
              <w:keepNext/>
              <w:rPr>
                <w:sz w:val="24"/>
                <w:szCs w:val="24"/>
              </w:rPr>
            </w:pPr>
            <w:r>
              <w:t>Procurement and Contract Management</w:t>
            </w:r>
          </w:p>
        </w:tc>
        <w:tc>
          <w:tcPr>
            <w:tcW w:w="3357" w:type="dxa"/>
            <w:tcBorders>
              <w:top w:val="single" w:sz="8" w:space="0" w:color="BCBEC0"/>
            </w:tcBorders>
          </w:tcPr>
          <w:p w:rsidR="00313116" w:rsidRPr="00A15CDB" w:rsidRDefault="00313116" w:rsidP="004A6E62">
            <w:pPr>
              <w:pStyle w:val="TableText"/>
              <w:keepNext/>
            </w:pPr>
            <w:r>
              <w:t>Adept</w:t>
            </w:r>
          </w:p>
        </w:tc>
      </w:tr>
      <w:tr w:rsidR="00313116" w:rsidRPr="00C978B9" w:rsidTr="004A6E62">
        <w:tc>
          <w:tcPr>
            <w:tcW w:w="2042" w:type="dxa"/>
            <w:vMerge/>
            <w:tcBorders>
              <w:bottom w:val="single" w:sz="4" w:space="0" w:color="BCBEC0"/>
            </w:tcBorders>
          </w:tcPr>
          <w:p w:rsidR="00313116" w:rsidRPr="00C978B9" w:rsidRDefault="00313116" w:rsidP="004A6E62">
            <w:pPr>
              <w:keepNext/>
            </w:pPr>
          </w:p>
        </w:tc>
        <w:tc>
          <w:tcPr>
            <w:tcW w:w="5458" w:type="dxa"/>
            <w:tcBorders>
              <w:bottom w:val="single" w:sz="4" w:space="0" w:color="BCBEC0"/>
            </w:tcBorders>
          </w:tcPr>
          <w:p w:rsidR="00313116" w:rsidRPr="00610758" w:rsidRDefault="00313116" w:rsidP="004A6E62">
            <w:pPr>
              <w:pStyle w:val="TableText"/>
              <w:keepNext/>
              <w:rPr>
                <w:b/>
                <w:sz w:val="24"/>
                <w:szCs w:val="24"/>
              </w:rPr>
            </w:pPr>
            <w:r>
              <w:rPr>
                <w:b/>
              </w:rPr>
              <w:t>Project Management</w:t>
            </w:r>
          </w:p>
        </w:tc>
        <w:tc>
          <w:tcPr>
            <w:tcW w:w="3357" w:type="dxa"/>
            <w:tcBorders>
              <w:bottom w:val="single" w:sz="4" w:space="0" w:color="BCBEC0"/>
            </w:tcBorders>
          </w:tcPr>
          <w:p w:rsidR="00313116" w:rsidRPr="00610758" w:rsidRDefault="00313116" w:rsidP="004A6E62">
            <w:pPr>
              <w:pStyle w:val="TableText"/>
              <w:keepNext/>
              <w:rPr>
                <w:b/>
              </w:rPr>
            </w:pPr>
            <w:r>
              <w:rPr>
                <w:b/>
              </w:rPr>
              <w:t>Adept</w:t>
            </w:r>
          </w:p>
        </w:tc>
      </w:tr>
    </w:tbl>
    <w:p w:rsidR="00313116" w:rsidRPr="00C978B9" w:rsidRDefault="00313116" w:rsidP="00313116">
      <w:pPr>
        <w:pStyle w:val="Heading2"/>
        <w:spacing w:before="240"/>
      </w:pPr>
      <w:r w:rsidRPr="00C978B9">
        <w:t xml:space="preserve">Focus </w:t>
      </w:r>
      <w:r>
        <w:t>c</w:t>
      </w:r>
      <w:r w:rsidRPr="00C978B9">
        <w:t>apabilities</w:t>
      </w:r>
    </w:p>
    <w:p w:rsidR="00313116" w:rsidRDefault="00313116" w:rsidP="00313116">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313116" w:rsidRPr="00C978B9" w:rsidTr="004A6E62">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313116" w:rsidRPr="00C978B9" w:rsidRDefault="00313116" w:rsidP="004A6E62">
            <w:pPr>
              <w:pStyle w:val="TableTextWhite0"/>
              <w:keepNext/>
            </w:pPr>
            <w:r w:rsidRPr="00C978B9">
              <w:lastRenderedPageBreak/>
              <w:t>NSW Public Sector Capability Framework</w:t>
            </w:r>
          </w:p>
        </w:tc>
      </w:tr>
      <w:tr w:rsidR="00313116" w:rsidRPr="00C978B9" w:rsidTr="004A6E62">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313116" w:rsidRPr="00C978B9" w:rsidRDefault="00313116" w:rsidP="004A6E62">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313116" w:rsidRPr="00C978B9" w:rsidRDefault="00313116" w:rsidP="004A6E62">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313116" w:rsidRPr="00C978B9" w:rsidRDefault="00313116" w:rsidP="004A6E62">
            <w:pPr>
              <w:pStyle w:val="TableText"/>
              <w:keepNext/>
              <w:rPr>
                <w:b/>
                <w:sz w:val="24"/>
                <w:szCs w:val="24"/>
              </w:rPr>
            </w:pPr>
            <w:r>
              <w:rPr>
                <w:b/>
              </w:rPr>
              <w:t>Behavioural Indicators</w:t>
            </w:r>
          </w:p>
        </w:tc>
      </w:tr>
      <w:tr w:rsidR="00313116" w:rsidRPr="00C978B9" w:rsidTr="004A6E62">
        <w:tc>
          <w:tcPr>
            <w:tcW w:w="2714" w:type="dxa"/>
          </w:tcPr>
          <w:p w:rsidR="00313116" w:rsidRPr="00C978B9" w:rsidRDefault="00313116" w:rsidP="004A6E62">
            <w:pPr>
              <w:pStyle w:val="TableText"/>
              <w:rPr>
                <w:b/>
              </w:rPr>
            </w:pPr>
            <w:r>
              <w:rPr>
                <w:b/>
              </w:rPr>
              <w:t>Personal Attributes</w:t>
            </w:r>
          </w:p>
          <w:p w:rsidR="00313116" w:rsidRPr="00C978B9" w:rsidRDefault="00313116" w:rsidP="004A6E62">
            <w:pPr>
              <w:pStyle w:val="TableText"/>
            </w:pPr>
            <w:r>
              <w:t>Act with Integrity</w:t>
            </w:r>
          </w:p>
        </w:tc>
        <w:tc>
          <w:tcPr>
            <w:tcW w:w="2348" w:type="dxa"/>
          </w:tcPr>
          <w:p w:rsidR="00313116" w:rsidRPr="00C978B9" w:rsidRDefault="00313116" w:rsidP="004A6E62">
            <w:pPr>
              <w:pStyle w:val="TableText"/>
              <w:rPr>
                <w:rFonts w:cs="Arial"/>
                <w:color w:val="000000"/>
              </w:rPr>
            </w:pPr>
            <w:r>
              <w:rPr>
                <w:rFonts w:cs="Arial"/>
                <w:color w:val="000000"/>
              </w:rPr>
              <w:t>Adept</w:t>
            </w:r>
          </w:p>
        </w:tc>
        <w:tc>
          <w:tcPr>
            <w:tcW w:w="5795" w:type="dxa"/>
          </w:tcPr>
          <w:p w:rsidR="00313116" w:rsidRPr="00C978B9" w:rsidRDefault="00313116" w:rsidP="00313116">
            <w:pPr>
              <w:pStyle w:val="TableBullet"/>
              <w:tabs>
                <w:tab w:val="clear" w:pos="284"/>
                <w:tab w:val="num" w:pos="360"/>
              </w:tabs>
              <w:ind w:left="360" w:hanging="360"/>
            </w:pPr>
            <w:r>
              <w:t>Represent the organisation in an honest, ethical and professional way and encourage others to do so</w:t>
            </w:r>
          </w:p>
          <w:p w:rsidR="00313116" w:rsidRPr="00C978B9" w:rsidRDefault="00313116" w:rsidP="00313116">
            <w:pPr>
              <w:pStyle w:val="TableBullet"/>
              <w:tabs>
                <w:tab w:val="clear" w:pos="284"/>
                <w:tab w:val="num" w:pos="360"/>
              </w:tabs>
              <w:ind w:left="360" w:hanging="360"/>
            </w:pPr>
            <w:r>
              <w:t>Demonstrate professionalism to support a culture of integrity within the team/unit</w:t>
            </w:r>
          </w:p>
          <w:p w:rsidR="00313116" w:rsidRPr="00C978B9" w:rsidRDefault="00313116" w:rsidP="00313116">
            <w:pPr>
              <w:pStyle w:val="TableBullet"/>
              <w:tabs>
                <w:tab w:val="clear" w:pos="284"/>
                <w:tab w:val="num" w:pos="360"/>
              </w:tabs>
              <w:ind w:left="360" w:hanging="360"/>
            </w:pPr>
            <w:r>
              <w:t>Set an example for others to follow and identify and explain ethical issues</w:t>
            </w:r>
          </w:p>
          <w:p w:rsidR="00313116" w:rsidRPr="00C978B9" w:rsidRDefault="00313116" w:rsidP="00313116">
            <w:pPr>
              <w:pStyle w:val="TableBullet"/>
              <w:tabs>
                <w:tab w:val="clear" w:pos="284"/>
                <w:tab w:val="num" w:pos="360"/>
              </w:tabs>
              <w:ind w:left="360" w:hanging="360"/>
            </w:pPr>
            <w:r>
              <w:t>Ensure that others understand the legislation and policy framework within which they operate</w:t>
            </w:r>
          </w:p>
          <w:p w:rsidR="00313116" w:rsidRPr="00C978B9" w:rsidRDefault="00313116" w:rsidP="00313116">
            <w:pPr>
              <w:pStyle w:val="TableBullet"/>
              <w:tabs>
                <w:tab w:val="clear" w:pos="284"/>
                <w:tab w:val="num" w:pos="360"/>
              </w:tabs>
              <w:ind w:left="360" w:hanging="360"/>
            </w:pPr>
            <w:r>
              <w:t>Act to prevent and report misconduct, illegal and inappropriate behaviour</w:t>
            </w:r>
          </w:p>
        </w:tc>
      </w:tr>
      <w:tr w:rsidR="00313116" w:rsidRPr="00C978B9" w:rsidTr="004A6E62">
        <w:tc>
          <w:tcPr>
            <w:tcW w:w="2714" w:type="dxa"/>
          </w:tcPr>
          <w:p w:rsidR="00313116" w:rsidRPr="00C978B9" w:rsidRDefault="00313116" w:rsidP="004A6E62">
            <w:pPr>
              <w:pStyle w:val="TableText"/>
              <w:rPr>
                <w:b/>
              </w:rPr>
            </w:pPr>
            <w:r>
              <w:rPr>
                <w:b/>
              </w:rPr>
              <w:t>Relationships</w:t>
            </w:r>
          </w:p>
          <w:p w:rsidR="00313116" w:rsidRPr="00C978B9" w:rsidRDefault="00313116" w:rsidP="004A6E62">
            <w:pPr>
              <w:pStyle w:val="TableText"/>
            </w:pPr>
            <w:r>
              <w:t>Communicate Effectively</w:t>
            </w:r>
          </w:p>
        </w:tc>
        <w:tc>
          <w:tcPr>
            <w:tcW w:w="2348" w:type="dxa"/>
          </w:tcPr>
          <w:p w:rsidR="00313116" w:rsidRPr="00C978B9" w:rsidRDefault="00313116" w:rsidP="004A6E62">
            <w:pPr>
              <w:pStyle w:val="TableText"/>
              <w:rPr>
                <w:rFonts w:cs="Arial"/>
                <w:color w:val="000000"/>
              </w:rPr>
            </w:pPr>
            <w:r>
              <w:rPr>
                <w:rFonts w:cs="Arial"/>
                <w:color w:val="000000"/>
              </w:rPr>
              <w:t>Advanced</w:t>
            </w:r>
          </w:p>
        </w:tc>
        <w:tc>
          <w:tcPr>
            <w:tcW w:w="5795" w:type="dxa"/>
          </w:tcPr>
          <w:p w:rsidR="00313116" w:rsidRPr="008D1F0D" w:rsidRDefault="00313116" w:rsidP="00313116">
            <w:pPr>
              <w:pStyle w:val="TableBullet"/>
              <w:tabs>
                <w:tab w:val="clear" w:pos="284"/>
                <w:tab w:val="num" w:pos="360"/>
              </w:tabs>
              <w:ind w:left="360" w:hanging="360"/>
            </w:pPr>
            <w:r w:rsidRPr="008D1F0D">
              <w:t xml:space="preserve">Present with credibility, engage varied audiences and test levels of understanding </w:t>
            </w:r>
          </w:p>
          <w:p w:rsidR="00313116" w:rsidRPr="008D1F0D" w:rsidRDefault="00313116" w:rsidP="00313116">
            <w:pPr>
              <w:pStyle w:val="TableBullet"/>
              <w:tabs>
                <w:tab w:val="clear" w:pos="284"/>
                <w:tab w:val="num" w:pos="360"/>
              </w:tabs>
              <w:ind w:left="360" w:hanging="360"/>
            </w:pPr>
            <w:r w:rsidRPr="008D1F0D">
              <w:t xml:space="preserve">Translate technical and complex information concisely for diverse audiences </w:t>
            </w:r>
          </w:p>
          <w:p w:rsidR="00313116" w:rsidRPr="008D1F0D" w:rsidRDefault="00313116" w:rsidP="00313116">
            <w:pPr>
              <w:pStyle w:val="TableBullet"/>
              <w:tabs>
                <w:tab w:val="clear" w:pos="284"/>
                <w:tab w:val="num" w:pos="360"/>
              </w:tabs>
              <w:ind w:left="360" w:hanging="360"/>
            </w:pPr>
            <w:r w:rsidRPr="008D1F0D">
              <w:t xml:space="preserve">Create opportunities for others to contribute to discussion and debate </w:t>
            </w:r>
          </w:p>
          <w:p w:rsidR="00313116" w:rsidRPr="008D1F0D" w:rsidRDefault="00313116" w:rsidP="00313116">
            <w:pPr>
              <w:pStyle w:val="TableBullet"/>
              <w:tabs>
                <w:tab w:val="clear" w:pos="284"/>
                <w:tab w:val="num" w:pos="360"/>
              </w:tabs>
              <w:ind w:left="360" w:hanging="360"/>
            </w:pPr>
            <w:r w:rsidRPr="008D1F0D">
              <w:t xml:space="preserve">Actively listen and encourage others to contribute inputs </w:t>
            </w:r>
          </w:p>
          <w:p w:rsidR="00313116" w:rsidRPr="008D1F0D" w:rsidRDefault="00313116" w:rsidP="00313116">
            <w:pPr>
              <w:pStyle w:val="TableBullet"/>
              <w:tabs>
                <w:tab w:val="clear" w:pos="284"/>
                <w:tab w:val="num" w:pos="360"/>
              </w:tabs>
              <w:ind w:left="360" w:hanging="360"/>
            </w:pPr>
            <w:r w:rsidRPr="008D1F0D">
              <w:t xml:space="preserve">Adjust style and approach to optimise outcomes </w:t>
            </w:r>
          </w:p>
          <w:p w:rsidR="00313116" w:rsidRPr="00C978B9" w:rsidRDefault="00313116" w:rsidP="00313116">
            <w:pPr>
              <w:pStyle w:val="TableBullet"/>
              <w:tabs>
                <w:tab w:val="clear" w:pos="284"/>
                <w:tab w:val="num" w:pos="360"/>
              </w:tabs>
              <w:ind w:left="360" w:hanging="360"/>
            </w:pPr>
            <w:r w:rsidRPr="008D1F0D">
              <w:t>Write fluently and persuasively in a range of styles and formats</w:t>
            </w:r>
          </w:p>
        </w:tc>
      </w:tr>
      <w:tr w:rsidR="00313116" w:rsidRPr="00C978B9" w:rsidTr="004A6E62">
        <w:tc>
          <w:tcPr>
            <w:tcW w:w="2714" w:type="dxa"/>
          </w:tcPr>
          <w:p w:rsidR="00313116" w:rsidRPr="00C978B9" w:rsidRDefault="00313116" w:rsidP="004A6E62">
            <w:pPr>
              <w:pStyle w:val="TableText"/>
              <w:rPr>
                <w:b/>
              </w:rPr>
            </w:pPr>
            <w:r>
              <w:rPr>
                <w:b/>
              </w:rPr>
              <w:t>Relationships</w:t>
            </w:r>
          </w:p>
          <w:p w:rsidR="00313116" w:rsidRPr="00C978B9" w:rsidRDefault="00313116" w:rsidP="004A6E62">
            <w:pPr>
              <w:pStyle w:val="TableText"/>
            </w:pPr>
            <w:r>
              <w:t>Commit to Customer Service</w:t>
            </w:r>
          </w:p>
        </w:tc>
        <w:tc>
          <w:tcPr>
            <w:tcW w:w="2348" w:type="dxa"/>
          </w:tcPr>
          <w:p w:rsidR="00313116" w:rsidRPr="00C978B9" w:rsidRDefault="00313116" w:rsidP="004A6E62">
            <w:pPr>
              <w:pStyle w:val="TableText"/>
              <w:rPr>
                <w:rFonts w:cs="Arial"/>
                <w:color w:val="000000"/>
              </w:rPr>
            </w:pPr>
            <w:r>
              <w:rPr>
                <w:rFonts w:cs="Arial"/>
                <w:color w:val="000000"/>
              </w:rPr>
              <w:t>Adept</w:t>
            </w:r>
          </w:p>
        </w:tc>
        <w:tc>
          <w:tcPr>
            <w:tcW w:w="5795" w:type="dxa"/>
          </w:tcPr>
          <w:p w:rsidR="00313116" w:rsidRPr="00C978B9" w:rsidRDefault="00313116" w:rsidP="00313116">
            <w:pPr>
              <w:pStyle w:val="TableBullet"/>
              <w:tabs>
                <w:tab w:val="clear" w:pos="284"/>
                <w:tab w:val="num" w:pos="360"/>
              </w:tabs>
              <w:ind w:left="360" w:hanging="360"/>
            </w:pPr>
            <w:r>
              <w:t>Take responsibility for delivering high quality customer-focused services</w:t>
            </w:r>
          </w:p>
          <w:p w:rsidR="00313116" w:rsidRPr="00C978B9" w:rsidRDefault="00313116" w:rsidP="00313116">
            <w:pPr>
              <w:pStyle w:val="TableBullet"/>
              <w:tabs>
                <w:tab w:val="clear" w:pos="284"/>
                <w:tab w:val="num" w:pos="360"/>
              </w:tabs>
              <w:ind w:left="360" w:hanging="360"/>
            </w:pPr>
            <w:r>
              <w:t>Understand customer perspectives and ensure responsiveness to their needs</w:t>
            </w:r>
          </w:p>
          <w:p w:rsidR="00313116" w:rsidRPr="00C978B9" w:rsidRDefault="00313116" w:rsidP="00313116">
            <w:pPr>
              <w:pStyle w:val="TableBullet"/>
              <w:tabs>
                <w:tab w:val="clear" w:pos="284"/>
                <w:tab w:val="num" w:pos="360"/>
              </w:tabs>
              <w:ind w:left="360" w:hanging="360"/>
            </w:pPr>
            <w:r>
              <w:t>Identify customer service needs and implement solutions</w:t>
            </w:r>
          </w:p>
          <w:p w:rsidR="00313116" w:rsidRPr="00C978B9" w:rsidRDefault="00313116" w:rsidP="00313116">
            <w:pPr>
              <w:pStyle w:val="TableBullet"/>
              <w:tabs>
                <w:tab w:val="clear" w:pos="284"/>
                <w:tab w:val="num" w:pos="360"/>
              </w:tabs>
              <w:ind w:left="360" w:hanging="360"/>
            </w:pPr>
            <w:r>
              <w:t>Find opportunities to co-operate with internal and external parties to improve outcomes for customers</w:t>
            </w:r>
          </w:p>
          <w:p w:rsidR="00313116" w:rsidRPr="00C978B9" w:rsidRDefault="00313116" w:rsidP="00313116">
            <w:pPr>
              <w:pStyle w:val="TableBullet"/>
              <w:tabs>
                <w:tab w:val="clear" w:pos="284"/>
                <w:tab w:val="num" w:pos="360"/>
              </w:tabs>
              <w:ind w:left="360" w:hanging="360"/>
            </w:pPr>
            <w:r>
              <w:t>Maintain relationships with key customers in area of expertise</w:t>
            </w:r>
          </w:p>
          <w:p w:rsidR="00313116" w:rsidRPr="00C978B9" w:rsidRDefault="00313116" w:rsidP="00313116">
            <w:pPr>
              <w:pStyle w:val="TableBullet"/>
              <w:tabs>
                <w:tab w:val="clear" w:pos="284"/>
                <w:tab w:val="num" w:pos="360"/>
              </w:tabs>
              <w:ind w:left="360" w:hanging="360"/>
            </w:pPr>
            <w:r>
              <w:t>Connect and collaborate with relevant stakeholders within the community</w:t>
            </w:r>
          </w:p>
        </w:tc>
      </w:tr>
      <w:tr w:rsidR="00313116" w:rsidRPr="00C978B9" w:rsidTr="004A6E62">
        <w:tc>
          <w:tcPr>
            <w:tcW w:w="2714" w:type="dxa"/>
          </w:tcPr>
          <w:p w:rsidR="00313116" w:rsidRPr="00C978B9" w:rsidRDefault="00313116" w:rsidP="004A6E62">
            <w:pPr>
              <w:pStyle w:val="TableText"/>
              <w:rPr>
                <w:b/>
              </w:rPr>
            </w:pPr>
            <w:r>
              <w:rPr>
                <w:b/>
              </w:rPr>
              <w:t>Results</w:t>
            </w:r>
          </w:p>
          <w:p w:rsidR="00313116" w:rsidRPr="00C978B9" w:rsidRDefault="00313116" w:rsidP="004A6E62">
            <w:pPr>
              <w:pStyle w:val="TableText"/>
            </w:pPr>
            <w:r>
              <w:t>Deliver Results</w:t>
            </w:r>
          </w:p>
        </w:tc>
        <w:tc>
          <w:tcPr>
            <w:tcW w:w="2348" w:type="dxa"/>
          </w:tcPr>
          <w:p w:rsidR="00313116" w:rsidRPr="00C978B9" w:rsidRDefault="00313116" w:rsidP="004A6E62">
            <w:pPr>
              <w:pStyle w:val="TableText"/>
              <w:rPr>
                <w:rFonts w:cs="Arial"/>
                <w:color w:val="000000"/>
              </w:rPr>
            </w:pPr>
            <w:r>
              <w:rPr>
                <w:rFonts w:cs="Arial"/>
                <w:color w:val="000000"/>
              </w:rPr>
              <w:t>Advanced</w:t>
            </w:r>
          </w:p>
        </w:tc>
        <w:tc>
          <w:tcPr>
            <w:tcW w:w="5795" w:type="dxa"/>
          </w:tcPr>
          <w:p w:rsidR="00313116" w:rsidRPr="008D1F0D" w:rsidRDefault="00313116" w:rsidP="00313116">
            <w:pPr>
              <w:pStyle w:val="TableBullet"/>
              <w:tabs>
                <w:tab w:val="clear" w:pos="284"/>
                <w:tab w:val="num" w:pos="360"/>
              </w:tabs>
              <w:ind w:left="360" w:hanging="360"/>
            </w:pPr>
            <w:r w:rsidRPr="008D1F0D">
              <w:t xml:space="preserve">Drive a culture of achievement and acknowledge input of others </w:t>
            </w:r>
          </w:p>
          <w:p w:rsidR="00313116" w:rsidRPr="008D1F0D" w:rsidRDefault="00313116" w:rsidP="00313116">
            <w:pPr>
              <w:pStyle w:val="TableBullet"/>
              <w:tabs>
                <w:tab w:val="clear" w:pos="284"/>
                <w:tab w:val="num" w:pos="360"/>
              </w:tabs>
              <w:ind w:left="360" w:hanging="360"/>
            </w:pPr>
            <w:r w:rsidRPr="008D1F0D">
              <w:t xml:space="preserve">Investigate and create opportunities to enhance the achievement of organisational objectives </w:t>
            </w:r>
          </w:p>
          <w:p w:rsidR="00313116" w:rsidRPr="008D1F0D" w:rsidRDefault="00313116" w:rsidP="00313116">
            <w:pPr>
              <w:pStyle w:val="TableBullet"/>
              <w:tabs>
                <w:tab w:val="clear" w:pos="284"/>
                <w:tab w:val="num" w:pos="360"/>
              </w:tabs>
              <w:ind w:left="360" w:hanging="360"/>
            </w:pPr>
            <w:r w:rsidRPr="008D1F0D">
              <w:t xml:space="preserve">Make sure others understand that on-time and on-budget results are required and how overall success is defined </w:t>
            </w:r>
          </w:p>
          <w:p w:rsidR="00313116" w:rsidRPr="008D1F0D" w:rsidRDefault="00313116" w:rsidP="00313116">
            <w:pPr>
              <w:pStyle w:val="TableBullet"/>
              <w:tabs>
                <w:tab w:val="clear" w:pos="284"/>
                <w:tab w:val="num" w:pos="360"/>
              </w:tabs>
              <w:ind w:left="360" w:hanging="360"/>
            </w:pPr>
            <w:r w:rsidRPr="008D1F0D">
              <w:t xml:space="preserve">Control output of business unit to ensure government outcomes are achieved within budget </w:t>
            </w:r>
          </w:p>
          <w:p w:rsidR="00313116" w:rsidRPr="008D1F0D" w:rsidRDefault="00313116" w:rsidP="00313116">
            <w:pPr>
              <w:pStyle w:val="TableBullet"/>
              <w:tabs>
                <w:tab w:val="clear" w:pos="284"/>
                <w:tab w:val="num" w:pos="360"/>
              </w:tabs>
              <w:ind w:left="360" w:hanging="360"/>
            </w:pPr>
            <w:r w:rsidRPr="008D1F0D">
              <w:t xml:space="preserve">Progress organisational priorities and ensure effective acquisition and use of resources </w:t>
            </w:r>
          </w:p>
          <w:p w:rsidR="00313116" w:rsidRPr="00C978B9" w:rsidRDefault="00313116" w:rsidP="00313116">
            <w:pPr>
              <w:pStyle w:val="TableBullet"/>
              <w:tabs>
                <w:tab w:val="clear" w:pos="284"/>
                <w:tab w:val="num" w:pos="360"/>
              </w:tabs>
              <w:ind w:left="360" w:hanging="360"/>
            </w:pPr>
            <w:r w:rsidRPr="008D1F0D">
              <w:t>Seek and apply the expertise of key individuals to achieve organisational outcomes</w:t>
            </w:r>
          </w:p>
        </w:tc>
      </w:tr>
      <w:tr w:rsidR="00313116" w:rsidRPr="00C978B9" w:rsidTr="004A6E62">
        <w:tc>
          <w:tcPr>
            <w:tcW w:w="2714" w:type="dxa"/>
          </w:tcPr>
          <w:p w:rsidR="00313116" w:rsidRPr="00C978B9" w:rsidRDefault="00313116" w:rsidP="004A6E62">
            <w:pPr>
              <w:pStyle w:val="TableText"/>
              <w:rPr>
                <w:b/>
              </w:rPr>
            </w:pPr>
            <w:r>
              <w:rPr>
                <w:b/>
              </w:rPr>
              <w:t>Business Enablers</w:t>
            </w:r>
          </w:p>
          <w:p w:rsidR="00313116" w:rsidRPr="00C978B9" w:rsidRDefault="00313116" w:rsidP="004A6E62">
            <w:pPr>
              <w:pStyle w:val="TableText"/>
            </w:pPr>
            <w:r>
              <w:t>Project Management</w:t>
            </w:r>
          </w:p>
        </w:tc>
        <w:tc>
          <w:tcPr>
            <w:tcW w:w="2348" w:type="dxa"/>
          </w:tcPr>
          <w:p w:rsidR="00313116" w:rsidRPr="00C978B9" w:rsidRDefault="00313116" w:rsidP="004A6E62">
            <w:pPr>
              <w:pStyle w:val="TableText"/>
              <w:rPr>
                <w:rFonts w:cs="Arial"/>
                <w:color w:val="000000"/>
              </w:rPr>
            </w:pPr>
            <w:r>
              <w:rPr>
                <w:rFonts w:cs="Arial"/>
                <w:color w:val="000000"/>
              </w:rPr>
              <w:t>Adept</w:t>
            </w:r>
          </w:p>
        </w:tc>
        <w:tc>
          <w:tcPr>
            <w:tcW w:w="5795" w:type="dxa"/>
          </w:tcPr>
          <w:p w:rsidR="00313116" w:rsidRPr="00C978B9" w:rsidRDefault="00313116" w:rsidP="00313116">
            <w:pPr>
              <w:pStyle w:val="TableBullet"/>
              <w:tabs>
                <w:tab w:val="clear" w:pos="284"/>
                <w:tab w:val="num" w:pos="360"/>
              </w:tabs>
              <w:ind w:left="360" w:hanging="360"/>
            </w:pPr>
            <w:r>
              <w:t>Prepare clear project proposals and define scope and goals in measurable terms</w:t>
            </w:r>
          </w:p>
          <w:p w:rsidR="00313116" w:rsidRPr="00C978B9" w:rsidRDefault="00313116" w:rsidP="00313116">
            <w:pPr>
              <w:pStyle w:val="TableBullet"/>
              <w:tabs>
                <w:tab w:val="clear" w:pos="284"/>
                <w:tab w:val="num" w:pos="360"/>
              </w:tabs>
              <w:ind w:left="360" w:hanging="360"/>
            </w:pPr>
            <w:r>
              <w:lastRenderedPageBreak/>
              <w:t>Establish performance outcomes and measures for key project goals, and define monitoring, reporting and communication requirements</w:t>
            </w:r>
          </w:p>
          <w:p w:rsidR="00313116" w:rsidRPr="00C978B9" w:rsidRDefault="00313116" w:rsidP="00313116">
            <w:pPr>
              <w:pStyle w:val="TableBullet"/>
              <w:tabs>
                <w:tab w:val="clear" w:pos="284"/>
                <w:tab w:val="num" w:pos="360"/>
              </w:tabs>
              <w:ind w:left="360" w:hanging="360"/>
            </w:pPr>
            <w:r>
              <w:t>Prepare accurate estimates of costs and resources required for more complex projects</w:t>
            </w:r>
          </w:p>
          <w:p w:rsidR="00313116" w:rsidRPr="00C978B9" w:rsidRDefault="00313116" w:rsidP="00313116">
            <w:pPr>
              <w:pStyle w:val="TableBullet"/>
              <w:tabs>
                <w:tab w:val="clear" w:pos="284"/>
                <w:tab w:val="num" w:pos="360"/>
              </w:tabs>
              <w:ind w:left="360" w:hanging="360"/>
            </w:pPr>
            <w:r>
              <w:t>Communicate the project strategy and its expected benefits to others</w:t>
            </w:r>
          </w:p>
          <w:p w:rsidR="00313116" w:rsidRPr="00C978B9" w:rsidRDefault="00313116" w:rsidP="00313116">
            <w:pPr>
              <w:pStyle w:val="TableBullet"/>
              <w:tabs>
                <w:tab w:val="clear" w:pos="284"/>
                <w:tab w:val="num" w:pos="360"/>
              </w:tabs>
              <w:ind w:left="360" w:hanging="360"/>
            </w:pPr>
            <w:r>
              <w:t>Monitor the completion of project milestones against goals and initiate amendments where necessary</w:t>
            </w:r>
          </w:p>
          <w:p w:rsidR="00313116" w:rsidRPr="00C978B9" w:rsidRDefault="00313116" w:rsidP="00313116">
            <w:pPr>
              <w:pStyle w:val="TableBullet"/>
              <w:tabs>
                <w:tab w:val="clear" w:pos="284"/>
                <w:tab w:val="num" w:pos="360"/>
              </w:tabs>
              <w:ind w:left="360" w:hanging="360"/>
            </w:pPr>
            <w:r>
              <w:t>Evaluate progress and identify improvements to inform future projects</w:t>
            </w:r>
          </w:p>
        </w:tc>
      </w:tr>
    </w:tbl>
    <w:p w:rsidR="00313116" w:rsidRDefault="00313116"/>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bl>
    <w:p w:rsidR="002D36BB" w:rsidRDefault="002D36BB" w:rsidP="008E08E3"/>
    <w:p w:rsidR="002D36BB" w:rsidRDefault="002D36BB" w:rsidP="00325E9D"/>
    <w:p w:rsidR="00545AC6" w:rsidRDefault="00545AC6" w:rsidP="00325E9D">
      <w:pPr>
        <w:pStyle w:val="Heading2"/>
      </w:pPr>
    </w:p>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lastRenderedPageBreak/>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Represent the organisation in an honest, ethical and professional way and encourage others to do so</w:t>
            </w:r>
          </w:p>
          <w:p w:rsidR="001F2503" w:rsidRPr="00C978B9" w:rsidRDefault="0039395B" w:rsidP="0039395B">
            <w:pPr>
              <w:pStyle w:val="TableBullet"/>
            </w:pPr>
            <w:r>
              <w:t>Demonstrate professionalism to support a culture of integrity within the team/unit</w:t>
            </w:r>
          </w:p>
          <w:p w:rsidR="001F2503" w:rsidRPr="00C978B9" w:rsidRDefault="0039395B" w:rsidP="0039395B">
            <w:pPr>
              <w:pStyle w:val="TableBullet"/>
            </w:pPr>
            <w:r>
              <w:t>Set an example for others to follow and identify and explain ethical issues</w:t>
            </w:r>
          </w:p>
          <w:p w:rsidR="001F2503" w:rsidRPr="00C978B9" w:rsidRDefault="0039395B" w:rsidP="0039395B">
            <w:pPr>
              <w:pStyle w:val="TableBullet"/>
            </w:pPr>
            <w:r>
              <w:t>Ensure that others understand the legislation and policy framework within which they operate</w:t>
            </w:r>
          </w:p>
          <w:p w:rsidR="001F2503" w:rsidRPr="00C978B9" w:rsidRDefault="0039395B" w:rsidP="0039395B">
            <w:pPr>
              <w:pStyle w:val="TableBullet"/>
            </w:pPr>
            <w:r>
              <w:t>Act to prevent and report misconduct, illegal and inappropriate behaviour</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Commit to Customer Service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Take responsibility for delivering high quality customer-focused services</w:t>
            </w:r>
          </w:p>
          <w:p w:rsidR="001F2503" w:rsidRPr="00C978B9" w:rsidRDefault="0039395B" w:rsidP="0039395B">
            <w:pPr>
              <w:pStyle w:val="TableBullet"/>
            </w:pPr>
            <w:r>
              <w:t>Understand customer perspectives and ensure responsiveness to their needs</w:t>
            </w:r>
          </w:p>
          <w:p w:rsidR="001F2503" w:rsidRPr="00C978B9" w:rsidRDefault="0039395B" w:rsidP="0039395B">
            <w:pPr>
              <w:pStyle w:val="TableBullet"/>
            </w:pPr>
            <w:r>
              <w:t>Identify customer service needs and implement solutions</w:t>
            </w:r>
          </w:p>
          <w:p w:rsidR="001F2503" w:rsidRPr="00C978B9" w:rsidRDefault="0039395B" w:rsidP="0039395B">
            <w:pPr>
              <w:pStyle w:val="TableBullet"/>
            </w:pPr>
            <w:r>
              <w:t>Find opportunities to co-operate with internal and external parties to improve outcomes for customers</w:t>
            </w:r>
          </w:p>
          <w:p w:rsidR="001F2503" w:rsidRPr="00C978B9" w:rsidRDefault="0039395B" w:rsidP="0039395B">
            <w:pPr>
              <w:pStyle w:val="TableBullet"/>
            </w:pPr>
            <w:r>
              <w:t>Maintain relationships with key customers in area of expertise</w:t>
            </w:r>
          </w:p>
          <w:p w:rsidR="001F2503" w:rsidRPr="00C978B9" w:rsidRDefault="0039395B" w:rsidP="0039395B">
            <w:pPr>
              <w:pStyle w:val="TableBullet"/>
            </w:pPr>
            <w:r>
              <w:t>Connect and collaborate with relevant stakeholders within the community</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Complete work tasks to agreed budgets, timeframes and standards</w:t>
            </w:r>
          </w:p>
          <w:p w:rsidR="001F2503" w:rsidRPr="00C978B9" w:rsidRDefault="0039395B" w:rsidP="0039395B">
            <w:pPr>
              <w:pStyle w:val="TableBullet"/>
            </w:pPr>
            <w:r>
              <w:t>Take the initiative to progress and deliver own and team/unit work</w:t>
            </w:r>
          </w:p>
          <w:p w:rsidR="001F2503" w:rsidRPr="00C978B9" w:rsidRDefault="0039395B" w:rsidP="0039395B">
            <w:pPr>
              <w:pStyle w:val="TableBullet"/>
            </w:pPr>
            <w:r>
              <w:t>Contribute to allocation of responsibilities and resources to ensure achievement of team/unit goals</w:t>
            </w:r>
          </w:p>
          <w:p w:rsidR="001F2503" w:rsidRPr="00C978B9" w:rsidRDefault="0039395B" w:rsidP="0039395B">
            <w:pPr>
              <w:pStyle w:val="TableBullet"/>
            </w:pPr>
            <w:r>
              <w:t>Seek and apply specialist advice when required</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lastRenderedPageBreak/>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bl>
    <w:p w:rsidR="00B0574B" w:rsidRDefault="00B0574B" w:rsidP="002B1F76">
      <w:pPr>
        <w:pStyle w:val="ListBullet"/>
        <w:numPr>
          <w:ilvl w:val="0"/>
          <w:numId w:val="0"/>
        </w:numPr>
      </w:pPr>
    </w:p>
    <w:sectPr w:rsidR="00B0574B" w:rsidSect="009D747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805" w:rsidRDefault="00FA2805" w:rsidP="00BB532F">
      <w:pPr>
        <w:spacing w:after="0" w:line="240" w:lineRule="auto"/>
      </w:pPr>
      <w:r>
        <w:separator/>
      </w:r>
    </w:p>
  </w:endnote>
  <w:endnote w:type="continuationSeparator" w:id="0">
    <w:p w:rsidR="00FA2805" w:rsidRDefault="00FA280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7C" w:rsidRDefault="00DA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Heritage Assessments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B43CC">
            <w:rPr>
              <w:noProof/>
              <w:color w:val="928B81"/>
              <w:sz w:val="18"/>
              <w:lang w:eastAsia="en-AU"/>
            </w:rPr>
            <w:t>7</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B43CC">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508E02E9" wp14:editId="731295A2">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805" w:rsidRDefault="00FA2805" w:rsidP="00BB532F">
      <w:pPr>
        <w:spacing w:after="0" w:line="240" w:lineRule="auto"/>
      </w:pPr>
      <w:r>
        <w:separator/>
      </w:r>
    </w:p>
  </w:footnote>
  <w:footnote w:type="continuationSeparator" w:id="0">
    <w:p w:rsidR="00FA2805" w:rsidRDefault="00FA280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7C" w:rsidRDefault="00DA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7C" w:rsidRDefault="00DA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Heritage Assessments Officer</w:t>
          </w:r>
        </w:p>
      </w:tc>
      <w:tc>
        <w:tcPr>
          <w:tcW w:w="3665" w:type="dxa"/>
        </w:tcPr>
        <w:p w:rsidR="000477E1" w:rsidRPr="000477E1" w:rsidRDefault="00DA797C" w:rsidP="00030565">
          <w:pPr>
            <w:jc w:val="right"/>
          </w:pPr>
          <w:r>
            <w:rPr>
              <w:noProof/>
              <w:lang w:val="en-AU" w:eastAsia="en-AU"/>
            </w:rPr>
            <w:drawing>
              <wp:inline distT="0" distB="0" distL="0" distR="0" wp14:anchorId="5B76F5AC" wp14:editId="7DBB9FBF">
                <wp:extent cx="1714500" cy="533400"/>
                <wp:effectExtent l="0" t="0" r="0" b="0"/>
                <wp:docPr id="1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Logo.png"/>
                        <pic:cNvPicPr/>
                      </pic:nvPicPr>
                      <pic:blipFill>
                        <a:blip r:embed="rId1" cstate="print">
                          <a:extLst/>
                        </a:blip>
                        <a:stretch>
                          <a:fillRect/>
                        </a:stretch>
                      </pic:blipFill>
                      <pic:spPr>
                        <a:xfrm>
                          <a:off x="0" y="0"/>
                          <a:ext cx="1714500" cy="533400"/>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298A"/>
    <w:rsid w:val="000D799A"/>
    <w:rsid w:val="000F040D"/>
    <w:rsid w:val="000F231F"/>
    <w:rsid w:val="00104EC7"/>
    <w:rsid w:val="00120C34"/>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3843"/>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13116"/>
    <w:rsid w:val="00325E9D"/>
    <w:rsid w:val="00327F5C"/>
    <w:rsid w:val="00336527"/>
    <w:rsid w:val="00340ADC"/>
    <w:rsid w:val="00343491"/>
    <w:rsid w:val="00345199"/>
    <w:rsid w:val="00346D51"/>
    <w:rsid w:val="00351826"/>
    <w:rsid w:val="00372A99"/>
    <w:rsid w:val="00373737"/>
    <w:rsid w:val="00375289"/>
    <w:rsid w:val="00377118"/>
    <w:rsid w:val="0039395B"/>
    <w:rsid w:val="00393C55"/>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43CC"/>
    <w:rsid w:val="007B7C1F"/>
    <w:rsid w:val="007C21C8"/>
    <w:rsid w:val="007C332A"/>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F5344"/>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A0690"/>
    <w:rsid w:val="00CA21D2"/>
    <w:rsid w:val="00CC76F2"/>
    <w:rsid w:val="00CE105E"/>
    <w:rsid w:val="00CE1E5E"/>
    <w:rsid w:val="00D55E55"/>
    <w:rsid w:val="00D663ED"/>
    <w:rsid w:val="00D67A17"/>
    <w:rsid w:val="00D74882"/>
    <w:rsid w:val="00D759EE"/>
    <w:rsid w:val="00D956AA"/>
    <w:rsid w:val="00DA45C4"/>
    <w:rsid w:val="00DA543F"/>
    <w:rsid w:val="00DA7558"/>
    <w:rsid w:val="00DA797C"/>
    <w:rsid w:val="00DC0173"/>
    <w:rsid w:val="00DC11EA"/>
    <w:rsid w:val="00DC4056"/>
    <w:rsid w:val="00DE2472"/>
    <w:rsid w:val="00DE401F"/>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358B"/>
    <w:rsid w:val="00F47143"/>
    <w:rsid w:val="00F9569D"/>
    <w:rsid w:val="00FA280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5C1BAE-6503-41BA-B7CF-43B68D5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Mention">
    <w:name w:val="Mention"/>
    <w:basedOn w:val="DefaultParagraphFont"/>
    <w:uiPriority w:val="99"/>
    <w:semiHidden/>
    <w:unhideWhenUsed/>
    <w:rsid w:val="00DA797C"/>
    <w:rPr>
      <w:color w:val="2B579A"/>
      <w:shd w:val="clear" w:color="auto" w:fill="E6E6E6"/>
    </w:rPr>
  </w:style>
  <w:style w:type="character" w:styleId="UnresolvedMention">
    <w:name w:val="Unresolved Mention"/>
    <w:basedOn w:val="DefaultParagraphFont"/>
    <w:uiPriority w:val="99"/>
    <w:semiHidden/>
    <w:unhideWhenUsed/>
    <w:rsid w:val="007B43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347051698">
      <w:bodyDiv w:val="1"/>
      <w:marLeft w:val="0"/>
      <w:marRight w:val="0"/>
      <w:marTop w:val="0"/>
      <w:marBottom w:val="0"/>
      <w:divBdr>
        <w:top w:val="none" w:sz="0" w:space="0" w:color="auto"/>
        <w:left w:val="none" w:sz="0" w:space="0" w:color="auto"/>
        <w:bottom w:val="none" w:sz="0" w:space="0" w:color="auto"/>
        <w:right w:val="none" w:sz="0" w:space="0" w:color="auto"/>
      </w:divBdr>
    </w:div>
    <w:div w:id="1415668200">
      <w:bodyDiv w:val="1"/>
      <w:marLeft w:val="0"/>
      <w:marRight w:val="0"/>
      <w:marTop w:val="0"/>
      <w:marBottom w:val="0"/>
      <w:divBdr>
        <w:top w:val="none" w:sz="0" w:space="0" w:color="auto"/>
        <w:left w:val="none" w:sz="0" w:space="0" w:color="auto"/>
        <w:bottom w:val="none" w:sz="0" w:space="0" w:color="auto"/>
        <w:right w:val="none" w:sz="0" w:space="0" w:color="auto"/>
      </w:divBdr>
    </w:div>
    <w:div w:id="1528523578">
      <w:bodyDiv w:val="1"/>
      <w:marLeft w:val="0"/>
      <w:marRight w:val="0"/>
      <w:marTop w:val="0"/>
      <w:marBottom w:val="0"/>
      <w:divBdr>
        <w:top w:val="none" w:sz="0" w:space="0" w:color="auto"/>
        <w:left w:val="none" w:sz="0" w:space="0" w:color="auto"/>
        <w:bottom w:val="none" w:sz="0" w:space="0" w:color="auto"/>
        <w:right w:val="none" w:sz="0" w:space="0" w:color="auto"/>
      </w:divBdr>
    </w:div>
    <w:div w:id="1919825516">
      <w:bodyDiv w:val="1"/>
      <w:marLeft w:val="0"/>
      <w:marRight w:val="0"/>
      <w:marTop w:val="0"/>
      <w:marBottom w:val="0"/>
      <w:divBdr>
        <w:top w:val="none" w:sz="0" w:space="0" w:color="auto"/>
        <w:left w:val="none" w:sz="0" w:space="0" w:color="auto"/>
        <w:bottom w:val="none" w:sz="0" w:space="0" w:color="auto"/>
        <w:right w:val="none" w:sz="0" w:space="0" w:color="auto"/>
      </w:divBdr>
    </w:div>
    <w:div w:id="2032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sc.nsw.gov.au/capabilityframewor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E64A-DE38-479C-AB15-4B9C2A35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2019-04-12T05:54:00Z</dcterms:created>
  <dcterms:modified xsi:type="dcterms:W3CDTF">2019-04-12T05:54:00Z</dcterms:modified>
</cp:coreProperties>
</file>