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Science Division / Climate Change Fund Evaluation</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Lidcombe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9</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July 2018</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www.environment.nsw.gov.au</w:t>
            </w:r>
          </w:p>
        </w:tc>
        <w:bookmarkStart w:id="0" w:name="Cluster"/>
        <w:bookmarkEnd w:id="0"/>
      </w:tr>
    </w:tbl>
    <w:p w:rsidR="006A2280" w:rsidRDefault="006A2280" w:rsidP="006A2280">
      <w:pPr>
        <w:tabs>
          <w:tab w:val="left" w:pos="2925"/>
        </w:tabs>
      </w:pPr>
      <w:bookmarkStart w:id="1" w:name="_GoBack"/>
      <w:bookmarkEnd w:id="1"/>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NSW Office of Environment and Heritage (OEH) aims to enrich life in NSW by helping the community to conserve and enjoy our environment and heritage. For more information go to www.environment.nsw.gov.au.</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Senior Project Officer is responsible for providing advanced technical, scientific and analytical support for the design and delivery of evaluation projects under the NSW Climate Change Fund (CCF).</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Support the strategic direction of climate change fund evaluations.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Manage and deliver high quality, and cost-effective evaluations that meet organisational objectives and appropriate standards of scientific rigour.</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expert evaluation advice and support to the Science Division on the development, implementation, management and reporting of evaluation projects, ensuring that technical and scientific considerations are properly considered by the Division.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Maintain the highest standards of open communication with stakeholders, acts as a knowledge broker and delivers comprehensible data and knowledge management in evaluation and science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Contribute to the development of project management methodologies and processes that improve productivity, encourage innovation, develop teamwork and enhance the delivery of science across the OEH.</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 range of project related documents, including briefing papers, discussion papers, reports, research papers, submissions and responses to information requests, and present scientific and technical presentations that explain complex processes clearly and are suitable for a range of audiences.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Manage </w:t>
      </w:r>
      <w:proofErr w:type="gramStart"/>
      <w:r w:rsidRPr="00614552">
        <w:rPr>
          <w:rFonts w:cs="Arial"/>
        </w:rPr>
        <w:t>particular aspects</w:t>
      </w:r>
      <w:proofErr w:type="gramEnd"/>
      <w:r w:rsidRPr="00614552">
        <w:rPr>
          <w:rFonts w:cs="Arial"/>
        </w:rPr>
        <w:t xml:space="preserve"> of evaluation project implementation, including monitoring project plans, coordinating resources, managing budgets, maintaining an awareness of time and budget constraints and maintaining WHS procedures to ensure that science projects are delivered to agreed timelines and quality.</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Working within project teams and with collaborators to consistently deliver high quality evaluations to address priority needs identified through the CCF.</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and support, provide advice and exchange information.</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collaboratively to contribute to achieving business outcomes.</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Negotiate and liaise with a variety of stakeholders to enable the timely delivery of business initiatives.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CCF Evaluation Senior Team Leader.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AF74A4">
      <w:pPr>
        <w:tabs>
          <w:tab w:val="left" w:pos="2925"/>
        </w:tabs>
        <w:spacing w:after="0" w:line="240" w:lineRule="auto"/>
        <w:rPr>
          <w:rFonts w:ascii="Georgia" w:hAnsi="Georgia"/>
        </w:rPr>
      </w:pPr>
      <w:r w:rsidRPr="00614552">
        <w:rPr>
          <w:rFonts w:cs="Arial"/>
        </w:rPr>
        <w:t>Scientific qualifications, well-developed knowledge and demonstrated experience in a scientific field.</w:t>
      </w:r>
    </w:p>
    <w:p w:rsidR="00AF74A4" w:rsidRDefault="00AF74A4" w:rsidP="00AF74A4">
      <w:pPr>
        <w:tabs>
          <w:tab w:val="left" w:pos="2925"/>
        </w:tabs>
        <w:spacing w:after="0" w:line="240" w:lineRule="auto"/>
        <w:rPr>
          <w:rFonts w:cs="Arial"/>
        </w:rPr>
      </w:pPr>
    </w:p>
    <w:p w:rsidR="00205A8A" w:rsidRDefault="00205A8A" w:rsidP="00AF74A4">
      <w:pPr>
        <w:tabs>
          <w:tab w:val="left" w:pos="2925"/>
        </w:tabs>
        <w:spacing w:after="0" w:line="240" w:lineRule="auto"/>
        <w:rPr>
          <w:rFonts w:ascii="Georgia" w:hAnsi="Georgia"/>
        </w:rPr>
      </w:pPr>
      <w:r w:rsidRPr="00614552">
        <w:rPr>
          <w:rFonts w:cs="Arial"/>
        </w:rPr>
        <w:t>Experience in planning, implementing, monitoring or evaluating projects/programs to achieve priority</w:t>
      </w:r>
    </w:p>
    <w:p w:rsidR="00205A8A" w:rsidRDefault="00205A8A" w:rsidP="00AF74A4">
      <w:pPr>
        <w:tabs>
          <w:tab w:val="left" w:pos="2925"/>
        </w:tabs>
        <w:spacing w:after="0" w:line="240" w:lineRule="auto"/>
        <w:rPr>
          <w:rFonts w:ascii="Georgia" w:hAnsi="Georgia"/>
        </w:rPr>
      </w:pPr>
      <w:r w:rsidRPr="00614552">
        <w:rPr>
          <w:rFonts w:cs="Arial"/>
        </w:rPr>
        <w:t>objectives.</w:t>
      </w:r>
    </w:p>
    <w:p w:rsidR="00994DCE" w:rsidRPr="00C978B9" w:rsidRDefault="00994DCE" w:rsidP="00994DCE">
      <w:pPr>
        <w:pStyle w:val="Heading1"/>
      </w:pPr>
      <w:r w:rsidRPr="00C978B9">
        <w:lastRenderedPageBreak/>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bl>
    <w:p w:rsidR="002D36BB" w:rsidRDefault="002D36BB" w:rsidP="008E08E3"/>
    <w:p w:rsidR="002D36BB" w:rsidRDefault="002D36BB" w:rsidP="00325E9D"/>
    <w:p w:rsidR="00545AC6" w:rsidRDefault="00545AC6" w:rsidP="00325E9D">
      <w:pPr>
        <w:pStyle w:val="Heading2"/>
      </w:pPr>
    </w:p>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4"/>
        <w:gridCol w:w="5763"/>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Look for and take advantage of opportunities to learn new skills and develop strengths</w:t>
            </w:r>
          </w:p>
          <w:p w:rsidR="001F2503" w:rsidRPr="00C978B9" w:rsidRDefault="0039395B" w:rsidP="0039395B">
            <w:pPr>
              <w:pStyle w:val="TableBullet"/>
            </w:pPr>
            <w:r>
              <w:t>Show commitment to achieving challenging goals</w:t>
            </w:r>
          </w:p>
          <w:p w:rsidR="001F2503" w:rsidRPr="00C978B9" w:rsidRDefault="0039395B" w:rsidP="0039395B">
            <w:pPr>
              <w:pStyle w:val="TableBullet"/>
            </w:pPr>
            <w:r>
              <w:lastRenderedPageBreak/>
              <w:t>Examine and reflect on own performance</w:t>
            </w:r>
          </w:p>
          <w:p w:rsidR="001F2503" w:rsidRPr="00C978B9" w:rsidRDefault="0039395B" w:rsidP="0039395B">
            <w:pPr>
              <w:pStyle w:val="TableBullet"/>
            </w:pPr>
            <w:r>
              <w:t>Seek and respond positively to constructive feedback and guidance</w:t>
            </w:r>
          </w:p>
          <w:p w:rsidR="001F2503" w:rsidRPr="00C978B9" w:rsidRDefault="0039395B" w:rsidP="0039395B">
            <w:pPr>
              <w:pStyle w:val="TableBullet"/>
            </w:pPr>
            <w:r>
              <w:t>Demonstrate a high level of personal motivation</w:t>
            </w:r>
          </w:p>
        </w:tc>
      </w:tr>
      <w:tr w:rsidR="0039395B" w:rsidRPr="00C978B9" w:rsidTr="00742966">
        <w:tc>
          <w:tcPr>
            <w:tcW w:w="2714" w:type="dxa"/>
          </w:tcPr>
          <w:p w:rsidR="001F2503" w:rsidRPr="00C978B9" w:rsidRDefault="0039395B" w:rsidP="00CC7829">
            <w:pPr>
              <w:pStyle w:val="TableText"/>
              <w:rPr>
                <w:b/>
              </w:rPr>
            </w:pPr>
            <w:r>
              <w:rPr>
                <w:b/>
              </w:rPr>
              <w:lastRenderedPageBreak/>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Encourage a culture of recognising the value of collaboration</w:t>
            </w:r>
          </w:p>
          <w:p w:rsidR="001F2503" w:rsidRPr="00C978B9" w:rsidRDefault="0039395B" w:rsidP="0039395B">
            <w:pPr>
              <w:pStyle w:val="TableBullet"/>
            </w:pPr>
            <w:r>
              <w:t>Build co-operation and overcome barriers to information sharing and communication across teams/units</w:t>
            </w:r>
          </w:p>
          <w:p w:rsidR="001F2503" w:rsidRPr="00C978B9" w:rsidRDefault="0039395B" w:rsidP="0039395B">
            <w:pPr>
              <w:pStyle w:val="TableBullet"/>
            </w:pPr>
            <w:r>
              <w:t>Share lessons learned across teams/units</w:t>
            </w:r>
          </w:p>
          <w:p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Research and analyse information, identify interrelationships and make recommendations based on relevant evidence</w:t>
            </w:r>
          </w:p>
          <w:p w:rsidR="001F2503" w:rsidRPr="00C978B9" w:rsidRDefault="0039395B" w:rsidP="0039395B">
            <w:pPr>
              <w:pStyle w:val="TableBullet"/>
            </w:pPr>
            <w:r>
              <w:t>Anticipate, identify and address issues and potential problems and select the most effective solutions from a range of option</w:t>
            </w:r>
          </w:p>
          <w:p w:rsidR="001F2503" w:rsidRPr="00C978B9" w:rsidRDefault="0039395B" w:rsidP="0039395B">
            <w:pPr>
              <w:pStyle w:val="TableBullet"/>
            </w:pPr>
            <w:r>
              <w:t>Participate in and contribute to team/unit initiatives to resolve common issues or barriers to effectiveness</w:t>
            </w:r>
          </w:p>
          <w:p w:rsidR="001F2503" w:rsidRPr="00C978B9" w:rsidRDefault="0039395B" w:rsidP="0039395B">
            <w:pPr>
              <w:pStyle w:val="TableBullet"/>
            </w:pPr>
            <w:r>
              <w:t>Identify and share business process improvements to enhance effectiveness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Demonstrate a sound understanding of technology relevant to the work unit, and identify and select the most appropriate technology for assigned tasks</w:t>
            </w:r>
          </w:p>
          <w:p w:rsidR="001F2503" w:rsidRPr="00C978B9" w:rsidRDefault="0039395B" w:rsidP="0039395B">
            <w:pPr>
              <w:pStyle w:val="TableBullet"/>
            </w:pPr>
            <w:r>
              <w:t>Identify opportunities to use a broad range of communications technologies to deliver effective messages</w:t>
            </w:r>
          </w:p>
          <w:p w:rsidR="001F2503" w:rsidRPr="00C978B9" w:rsidRDefault="0039395B" w:rsidP="0039395B">
            <w:pPr>
              <w:pStyle w:val="TableBullet"/>
            </w:pPr>
            <w:r>
              <w:t>Understand, act on and monitor compliance with information and communications security and use policies</w:t>
            </w:r>
          </w:p>
          <w:p w:rsidR="001F2503" w:rsidRPr="00C978B9" w:rsidRDefault="0039395B" w:rsidP="0039395B">
            <w:pPr>
              <w:pStyle w:val="TableBullet"/>
            </w:pPr>
            <w:r>
              <w:t>Identify ways to leverage the value of technology to achieve team/unit outcomes, using the existing technology of the business</w:t>
            </w:r>
          </w:p>
          <w:p w:rsidR="001F2503" w:rsidRPr="00C978B9" w:rsidRDefault="0039395B" w:rsidP="0039395B">
            <w:pPr>
              <w:pStyle w:val="TableBullet"/>
            </w:pPr>
            <w:r>
              <w:t>Support compliance with the records, information and knowledge management requirements of the organisation</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lastRenderedPageBreak/>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bl>
    <w:p w:rsidR="00B0574B" w:rsidRDefault="00B0574B" w:rsidP="002B1F76">
      <w:pPr>
        <w:pStyle w:val="ListBullet"/>
        <w:numPr>
          <w:ilvl w:val="0"/>
          <w:numId w:val="0"/>
        </w:numPr>
      </w:pPr>
    </w:p>
    <w:sectPr w:rsidR="00B0574B"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DE" w:rsidRDefault="00337CDE" w:rsidP="00BB532F">
      <w:pPr>
        <w:spacing w:after="0" w:line="240" w:lineRule="auto"/>
      </w:pPr>
      <w:r>
        <w:separator/>
      </w:r>
    </w:p>
  </w:endnote>
  <w:endnote w:type="continuationSeparator" w:id="0">
    <w:p w:rsidR="00337CDE" w:rsidRDefault="00337CD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Project Officer – CCF Evaluations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74A4">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rPr>
            <w:drawing>
              <wp:inline distT="0" distB="0" distL="0" distR="0" wp14:anchorId="6702EC76" wp14:editId="7636687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74A4">
            <w:rPr>
              <w:noProof/>
              <w:lang w:eastAsia="en-AU"/>
            </w:rPr>
            <w:t>1</w:t>
          </w:r>
          <w:r>
            <w:rPr>
              <w:noProof/>
              <w:lang w:eastAsia="en-AU"/>
            </w:rPr>
            <w:fldChar w:fldCharType="end"/>
          </w:r>
        </w:p>
      </w:tc>
      <w:tc>
        <w:tcPr>
          <w:tcW w:w="875" w:type="dxa"/>
        </w:tcPr>
        <w:p w:rsidR="00BB532F" w:rsidRDefault="003A1185" w:rsidP="00BD7BA7">
          <w:pPr>
            <w:pStyle w:val="Footer"/>
            <w:jc w:val="right"/>
          </w:pPr>
          <w:r>
            <w:rPr>
              <w:noProof/>
            </w:rPr>
            <w:drawing>
              <wp:inline distT="0" distB="0" distL="0" distR="0" wp14:anchorId="508E02E9" wp14:editId="731295A2">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DE" w:rsidRDefault="00337CDE" w:rsidP="00BB532F">
      <w:pPr>
        <w:spacing w:after="0" w:line="240" w:lineRule="auto"/>
      </w:pPr>
      <w:r>
        <w:separator/>
      </w:r>
    </w:p>
  </w:footnote>
  <w:footnote w:type="continuationSeparator" w:id="0">
    <w:p w:rsidR="00337CDE" w:rsidRDefault="00337CD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Project Officer – CCF Evaluations</w:t>
          </w:r>
        </w:p>
      </w:tc>
      <w:tc>
        <w:tcPr>
          <w:tcW w:w="3665" w:type="dxa"/>
        </w:tcPr>
        <w:p w:rsidR="000477E1" w:rsidRPr="000477E1" w:rsidRDefault="00AF74A4" w:rsidP="00030565">
          <w:pPr>
            <w:jc w:val="right"/>
          </w:pPr>
          <w:r>
            <w:rPr>
              <w:noProof/>
            </w:rPr>
            <w:drawing>
              <wp:inline distT="0" distB="0" distL="0" distR="0">
                <wp:extent cx="1961905" cy="6761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EH Logo - December 2015.png"/>
                        <pic:cNvPicPr/>
                      </pic:nvPicPr>
                      <pic:blipFill>
                        <a:blip r:embed="rId1">
                          <a:extLst>
                            <a:ext uri="{28A0092B-C50C-407E-A947-70E740481C1C}">
                              <a14:useLocalDpi xmlns:a14="http://schemas.microsoft.com/office/drawing/2010/main" val="0"/>
                            </a:ext>
                          </a:extLst>
                        </a:blip>
                        <a:stretch>
                          <a:fillRect/>
                        </a:stretch>
                      </pic:blipFill>
                      <pic:spPr>
                        <a:xfrm>
                          <a:off x="0" y="0"/>
                          <a:ext cx="1961905" cy="676190"/>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4AC2"/>
    <w:rsid w:val="00325E9D"/>
    <w:rsid w:val="00327F5C"/>
    <w:rsid w:val="00337CDE"/>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A38C4"/>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4A4"/>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83F75"/>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E9EF62-1C0C-4544-94B7-4C0CCCC1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DFB9-F30E-4393-AF60-46084873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Mark Russell</cp:lastModifiedBy>
  <cp:revision>2</cp:revision>
  <dcterms:created xsi:type="dcterms:W3CDTF">2018-12-13T03:34:00Z</dcterms:created>
  <dcterms:modified xsi:type="dcterms:W3CDTF">2018-12-13T03:34:00Z</dcterms:modified>
</cp:coreProperties>
</file>