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1876"/>
        <w:tblW w:w="10556" w:type="dxa"/>
        <w:tblLook w:val="04A0" w:firstRow="1" w:lastRow="0" w:firstColumn="1" w:lastColumn="0" w:noHBand="0" w:noVBand="1"/>
        <w:tblCaption w:val="PSC_Role_InformationTable"/>
        <w:tblDescription w:val="PSC_Role_InformationTable"/>
      </w:tblPr>
      <w:tblGrid>
        <w:gridCol w:w="4026"/>
        <w:gridCol w:w="6530"/>
      </w:tblGrid>
      <w:tr w:rsidR="006F0F3E" w:rsidRPr="00C978B9" w:rsidTr="0003525A">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6F0F3E" w:rsidRPr="009E6312" w:rsidRDefault="006F0F3E" w:rsidP="0003525A">
            <w:pPr>
              <w:pStyle w:val="TableTextWhite"/>
              <w:rPr>
                <w:b/>
                <w:color w:val="000000"/>
                <w:sz w:val="24"/>
                <w:szCs w:val="24"/>
              </w:rPr>
            </w:pPr>
            <w:bookmarkStart w:id="0" w:name="_GoBack"/>
            <w:bookmarkEnd w:id="0"/>
            <w:r w:rsidRPr="009E6312">
              <w:rPr>
                <w:b/>
              </w:rPr>
              <w:t>Cluster</w:t>
            </w:r>
          </w:p>
        </w:tc>
        <w:tc>
          <w:tcPr>
            <w:tcW w:w="6530" w:type="dxa"/>
          </w:tcPr>
          <w:p w:rsidR="006F0F3E" w:rsidRPr="0033590A" w:rsidRDefault="006F0F3E" w:rsidP="0003525A">
            <w:pPr>
              <w:pStyle w:val="TableTextWhite"/>
            </w:pPr>
            <w:r>
              <w:t xml:space="preserve">Planning &amp; Environment </w:t>
            </w:r>
          </w:p>
        </w:tc>
      </w:tr>
      <w:tr w:rsidR="006F0F3E" w:rsidRPr="00C978B9" w:rsidTr="0003525A">
        <w:tc>
          <w:tcPr>
            <w:tcW w:w="4026" w:type="dxa"/>
            <w:vAlign w:val="center"/>
          </w:tcPr>
          <w:p w:rsidR="006F0F3E" w:rsidRPr="009E6312" w:rsidRDefault="00A50773" w:rsidP="0003525A">
            <w:pPr>
              <w:pStyle w:val="TableTextWhite"/>
              <w:rPr>
                <w:b/>
              </w:rPr>
            </w:pPr>
            <w:bookmarkStart w:id="1" w:name="DeptAgency"/>
            <w:bookmarkEnd w:id="1"/>
            <w:r>
              <w:rPr>
                <w:b/>
              </w:rPr>
              <w:t>Agency</w:t>
            </w:r>
          </w:p>
        </w:tc>
        <w:tc>
          <w:tcPr>
            <w:tcW w:w="6530" w:type="dxa"/>
          </w:tcPr>
          <w:p w:rsidR="006F0F3E" w:rsidRPr="0033590A" w:rsidRDefault="006F0F3E" w:rsidP="0003525A">
            <w:pPr>
              <w:pStyle w:val="TableTextWhite"/>
            </w:pPr>
            <w:bookmarkStart w:id="2" w:name="Dept"/>
            <w:bookmarkEnd w:id="2"/>
            <w:r>
              <w:t>Environment Protection Authority</w:t>
            </w:r>
          </w:p>
        </w:tc>
      </w:tr>
      <w:tr w:rsidR="006F0F3E" w:rsidRPr="00C978B9" w:rsidTr="0003525A">
        <w:tc>
          <w:tcPr>
            <w:tcW w:w="4026" w:type="dxa"/>
            <w:vAlign w:val="center"/>
          </w:tcPr>
          <w:p w:rsidR="006F0F3E" w:rsidRPr="009E6312" w:rsidRDefault="006F0F3E" w:rsidP="0003525A">
            <w:pPr>
              <w:pStyle w:val="TableTextWhite"/>
              <w:rPr>
                <w:b/>
                <w:color w:val="000000"/>
                <w:sz w:val="24"/>
                <w:szCs w:val="24"/>
              </w:rPr>
            </w:pPr>
            <w:r>
              <w:rPr>
                <w:b/>
              </w:rPr>
              <w:t>Division/</w:t>
            </w:r>
            <w:r w:rsidRPr="009E6312">
              <w:rPr>
                <w:b/>
              </w:rPr>
              <w:t>Branch/Unit</w:t>
            </w:r>
          </w:p>
        </w:tc>
        <w:tc>
          <w:tcPr>
            <w:tcW w:w="6530" w:type="dxa"/>
          </w:tcPr>
          <w:p w:rsidR="006F0F3E" w:rsidRPr="0033590A" w:rsidRDefault="006F0F3E" w:rsidP="0003525A">
            <w:pPr>
              <w:pStyle w:val="TableTextWhite"/>
            </w:pPr>
            <w:bookmarkStart w:id="3" w:name="Branch"/>
            <w:bookmarkEnd w:id="3"/>
            <w:r>
              <w:t>Various</w:t>
            </w:r>
          </w:p>
        </w:tc>
      </w:tr>
      <w:tr w:rsidR="006F0F3E" w:rsidRPr="00C978B9" w:rsidTr="0003525A">
        <w:tc>
          <w:tcPr>
            <w:tcW w:w="4026" w:type="dxa"/>
          </w:tcPr>
          <w:p w:rsidR="006F0F3E" w:rsidRPr="009E6312" w:rsidRDefault="006F0F3E" w:rsidP="0003525A">
            <w:pPr>
              <w:pStyle w:val="TableTextWhite"/>
              <w:rPr>
                <w:b/>
                <w:color w:val="000000"/>
                <w:sz w:val="24"/>
                <w:szCs w:val="24"/>
              </w:rPr>
            </w:pPr>
            <w:r w:rsidRPr="009E6312">
              <w:rPr>
                <w:b/>
              </w:rPr>
              <w:t>Location</w:t>
            </w:r>
          </w:p>
        </w:tc>
        <w:tc>
          <w:tcPr>
            <w:tcW w:w="6530" w:type="dxa"/>
          </w:tcPr>
          <w:p w:rsidR="006F0F3E" w:rsidRPr="0033590A" w:rsidRDefault="006F0F3E" w:rsidP="0003525A">
            <w:pPr>
              <w:pStyle w:val="TableTextWhite"/>
            </w:pPr>
            <w:bookmarkStart w:id="4" w:name="Location"/>
            <w:bookmarkEnd w:id="4"/>
            <w:r>
              <w:t>Various</w:t>
            </w:r>
          </w:p>
        </w:tc>
      </w:tr>
      <w:tr w:rsidR="006F0F3E" w:rsidRPr="00C978B9" w:rsidTr="0003525A">
        <w:tc>
          <w:tcPr>
            <w:tcW w:w="4026" w:type="dxa"/>
            <w:vAlign w:val="center"/>
          </w:tcPr>
          <w:p w:rsidR="006F0F3E" w:rsidRPr="009E6312" w:rsidRDefault="006F0F3E" w:rsidP="0003525A">
            <w:pPr>
              <w:pStyle w:val="TableTextWhite"/>
              <w:rPr>
                <w:b/>
                <w:color w:val="000000"/>
                <w:sz w:val="24"/>
                <w:szCs w:val="24"/>
              </w:rPr>
            </w:pPr>
            <w:r w:rsidRPr="009E6312">
              <w:rPr>
                <w:b/>
              </w:rPr>
              <w:t>Classification/Grade/Band</w:t>
            </w:r>
          </w:p>
        </w:tc>
        <w:tc>
          <w:tcPr>
            <w:tcW w:w="6530" w:type="dxa"/>
          </w:tcPr>
          <w:p w:rsidR="006F0F3E" w:rsidRPr="0033590A" w:rsidRDefault="0003525A" w:rsidP="0003525A">
            <w:pPr>
              <w:pStyle w:val="TableTextWhite"/>
            </w:pPr>
            <w:bookmarkStart w:id="5" w:name="Grade"/>
            <w:bookmarkEnd w:id="5"/>
            <w:r>
              <w:t>Environmental Officer Class 10</w:t>
            </w:r>
          </w:p>
        </w:tc>
      </w:tr>
      <w:tr w:rsidR="006F0F3E" w:rsidRPr="00C978B9" w:rsidTr="0003525A">
        <w:tc>
          <w:tcPr>
            <w:tcW w:w="4026" w:type="dxa"/>
            <w:vAlign w:val="center"/>
          </w:tcPr>
          <w:p w:rsidR="006F0F3E" w:rsidRPr="009E6312" w:rsidRDefault="002E57CD" w:rsidP="0003525A">
            <w:pPr>
              <w:pStyle w:val="TableTextWhite"/>
              <w:rPr>
                <w:b/>
                <w:color w:val="000000"/>
                <w:sz w:val="24"/>
                <w:szCs w:val="24"/>
              </w:rPr>
            </w:pPr>
            <w:r>
              <w:rPr>
                <w:b/>
              </w:rPr>
              <w:t>Role Number</w:t>
            </w:r>
          </w:p>
        </w:tc>
        <w:tc>
          <w:tcPr>
            <w:tcW w:w="6530" w:type="dxa"/>
          </w:tcPr>
          <w:p w:rsidR="006F0F3E" w:rsidRPr="0033590A" w:rsidRDefault="002E57CD" w:rsidP="0003525A">
            <w:pPr>
              <w:pStyle w:val="TableTextWhite"/>
            </w:pPr>
            <w:bookmarkStart w:id="6" w:name="ANZSCO"/>
            <w:bookmarkEnd w:id="6"/>
            <w:r>
              <w:t>Generic</w:t>
            </w:r>
          </w:p>
        </w:tc>
      </w:tr>
      <w:tr w:rsidR="002E57CD" w:rsidRPr="00C978B9" w:rsidTr="0003525A">
        <w:tc>
          <w:tcPr>
            <w:tcW w:w="4026" w:type="dxa"/>
            <w:vAlign w:val="center"/>
          </w:tcPr>
          <w:p w:rsidR="002E57CD" w:rsidRPr="009E6312" w:rsidRDefault="002E57CD" w:rsidP="002E57CD">
            <w:pPr>
              <w:pStyle w:val="TableTextWhite"/>
              <w:rPr>
                <w:b/>
                <w:color w:val="000000"/>
                <w:sz w:val="24"/>
                <w:szCs w:val="24"/>
              </w:rPr>
            </w:pPr>
            <w:r w:rsidRPr="009E6312">
              <w:rPr>
                <w:b/>
              </w:rPr>
              <w:t>ANZSCO Code</w:t>
            </w:r>
          </w:p>
        </w:tc>
        <w:tc>
          <w:tcPr>
            <w:tcW w:w="6530" w:type="dxa"/>
          </w:tcPr>
          <w:p w:rsidR="002E57CD" w:rsidRPr="0033590A" w:rsidRDefault="002E57CD" w:rsidP="002E57CD">
            <w:pPr>
              <w:pStyle w:val="TableTextWhite"/>
            </w:pPr>
            <w:r w:rsidRPr="002E57CD">
              <w:t>224412</w:t>
            </w:r>
          </w:p>
        </w:tc>
      </w:tr>
      <w:tr w:rsidR="006F0F3E" w:rsidRPr="00C978B9" w:rsidTr="0003525A">
        <w:tc>
          <w:tcPr>
            <w:tcW w:w="4026" w:type="dxa"/>
            <w:vAlign w:val="center"/>
          </w:tcPr>
          <w:p w:rsidR="006F0F3E" w:rsidRPr="009E6312" w:rsidRDefault="006F0F3E" w:rsidP="0003525A">
            <w:pPr>
              <w:pStyle w:val="TableTextWhite"/>
              <w:rPr>
                <w:b/>
                <w:color w:val="000000"/>
                <w:sz w:val="24"/>
                <w:szCs w:val="24"/>
              </w:rPr>
            </w:pPr>
            <w:r w:rsidRPr="009E6312">
              <w:rPr>
                <w:b/>
              </w:rPr>
              <w:t>PCAT Code</w:t>
            </w:r>
          </w:p>
        </w:tc>
        <w:tc>
          <w:tcPr>
            <w:tcW w:w="6530" w:type="dxa"/>
          </w:tcPr>
          <w:p w:rsidR="006F0F3E" w:rsidRPr="0033590A" w:rsidRDefault="002E57CD" w:rsidP="0003525A">
            <w:pPr>
              <w:pStyle w:val="TableTextWhite"/>
            </w:pPr>
            <w:bookmarkStart w:id="7" w:name="PCAT"/>
            <w:bookmarkEnd w:id="7"/>
            <w:r>
              <w:t>2</w:t>
            </w:r>
            <w:r w:rsidR="00E5698D">
              <w:t>119192</w:t>
            </w:r>
          </w:p>
        </w:tc>
      </w:tr>
      <w:tr w:rsidR="006F0F3E" w:rsidRPr="00C978B9" w:rsidTr="0003525A">
        <w:tc>
          <w:tcPr>
            <w:tcW w:w="4026" w:type="dxa"/>
            <w:vAlign w:val="center"/>
          </w:tcPr>
          <w:p w:rsidR="006F0F3E" w:rsidRPr="009E6312" w:rsidRDefault="006F0F3E" w:rsidP="0003525A">
            <w:pPr>
              <w:pStyle w:val="TableTextWhite"/>
              <w:rPr>
                <w:b/>
                <w:color w:val="000000"/>
                <w:sz w:val="24"/>
                <w:szCs w:val="24"/>
              </w:rPr>
            </w:pPr>
            <w:r w:rsidRPr="009E6312">
              <w:rPr>
                <w:b/>
              </w:rPr>
              <w:t>Date of Approval</w:t>
            </w:r>
          </w:p>
        </w:tc>
        <w:tc>
          <w:tcPr>
            <w:tcW w:w="6530" w:type="dxa"/>
          </w:tcPr>
          <w:p w:rsidR="006F0F3E" w:rsidRPr="0033590A" w:rsidRDefault="00807234" w:rsidP="0003525A">
            <w:pPr>
              <w:pStyle w:val="TableTextWhite"/>
            </w:pPr>
            <w:bookmarkStart w:id="8" w:name="Date"/>
            <w:bookmarkEnd w:id="8"/>
            <w:r>
              <w:t xml:space="preserve">April </w:t>
            </w:r>
            <w:r w:rsidR="006F0F3E">
              <w:t>2015</w:t>
            </w:r>
          </w:p>
        </w:tc>
      </w:tr>
      <w:tr w:rsidR="006F0F3E" w:rsidRPr="00C978B9" w:rsidTr="0003525A">
        <w:tc>
          <w:tcPr>
            <w:tcW w:w="4026" w:type="dxa"/>
            <w:vAlign w:val="center"/>
          </w:tcPr>
          <w:p w:rsidR="006F0F3E" w:rsidRPr="00B950A7" w:rsidRDefault="006F0F3E" w:rsidP="0003525A">
            <w:pPr>
              <w:pStyle w:val="TableTextWhite"/>
              <w:rPr>
                <w:b/>
                <w:color w:val="FFFFFF" w:themeColor="background1"/>
                <w:sz w:val="24"/>
                <w:szCs w:val="24"/>
              </w:rPr>
            </w:pPr>
            <w:r w:rsidRPr="00B950A7">
              <w:rPr>
                <w:b/>
                <w:color w:val="FFFFFF" w:themeColor="background1"/>
              </w:rPr>
              <w:t>Agency Website</w:t>
            </w:r>
          </w:p>
        </w:tc>
        <w:bookmarkStart w:id="9" w:name="AgencyURL"/>
        <w:bookmarkEnd w:id="9"/>
        <w:tc>
          <w:tcPr>
            <w:tcW w:w="6530" w:type="dxa"/>
          </w:tcPr>
          <w:p w:rsidR="006F0F3E" w:rsidRPr="00B950A7" w:rsidRDefault="0003525A" w:rsidP="0003525A">
            <w:pPr>
              <w:pStyle w:val="TableTextWhite"/>
              <w:rPr>
                <w:color w:val="FFFFFF" w:themeColor="background1"/>
              </w:rPr>
            </w:pPr>
            <w:r>
              <w:rPr>
                <w:color w:val="FFFFFF" w:themeColor="background1"/>
              </w:rPr>
              <w:fldChar w:fldCharType="begin"/>
            </w:r>
            <w:r>
              <w:rPr>
                <w:color w:val="FFFFFF" w:themeColor="background1"/>
              </w:rPr>
              <w:instrText xml:space="preserve"> HYPERLINK "http://www.epa.nsw.gov.au" </w:instrText>
            </w:r>
            <w:r>
              <w:rPr>
                <w:color w:val="FFFFFF" w:themeColor="background1"/>
              </w:rPr>
              <w:fldChar w:fldCharType="separate"/>
            </w:r>
            <w:r w:rsidRPr="00544C65">
              <w:rPr>
                <w:rStyle w:val="Hyperlink"/>
              </w:rPr>
              <w:t>www.epa.nsw.gov.au</w:t>
            </w:r>
            <w:r>
              <w:rPr>
                <w:color w:val="FFFFFF" w:themeColor="background1"/>
              </w:rPr>
              <w:fldChar w:fldCharType="end"/>
            </w:r>
            <w:r>
              <w:rPr>
                <w:color w:val="FFFFFF" w:themeColor="background1"/>
              </w:rPr>
              <w:t xml:space="preserve"> </w:t>
            </w:r>
          </w:p>
        </w:tc>
      </w:tr>
    </w:tbl>
    <w:p w:rsidR="00F47143" w:rsidRPr="00614552" w:rsidRDefault="00F47143" w:rsidP="006A2280">
      <w:pPr>
        <w:tabs>
          <w:tab w:val="left" w:pos="2925"/>
        </w:tabs>
        <w:rPr>
          <w:rStyle w:val="Heading1Char"/>
        </w:rPr>
      </w:pPr>
      <w:r w:rsidRPr="00614552">
        <w:rPr>
          <w:rStyle w:val="Heading1Char"/>
        </w:rPr>
        <w:t>Agency overview</w:t>
      </w:r>
    </w:p>
    <w:p w:rsidR="001F1701" w:rsidRDefault="001F1701" w:rsidP="001F1701">
      <w:pPr>
        <w:rPr>
          <w:color w:val="000000"/>
        </w:rPr>
      </w:pPr>
      <w:r>
        <w:rPr>
          <w:color w:val="000000"/>
        </w:rPr>
        <w:t xml:space="preserve">The NSW Environment Protection Authority (EPA) is the </w:t>
      </w:r>
      <w:proofErr w:type="gramStart"/>
      <w:r>
        <w:rPr>
          <w:color w:val="000000"/>
        </w:rPr>
        <w:t>state‘</w:t>
      </w:r>
      <w:proofErr w:type="gramEnd"/>
      <w:r>
        <w:rPr>
          <w:color w:val="000000"/>
        </w:rPr>
        <w:t xml:space="preserv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1F1701" w:rsidRDefault="001F1701" w:rsidP="001F1701">
      <w:pPr>
        <w:rPr>
          <w:color w:val="000000"/>
        </w:rPr>
      </w:pPr>
      <w:r>
        <w:rPr>
          <w:color w:val="000000"/>
        </w:rPr>
        <w:t>We lead in protecting our air, waterways, land and the health of the community for the future.</w:t>
      </w:r>
    </w:p>
    <w:p w:rsidR="001F1701" w:rsidRDefault="001F1701" w:rsidP="001F1701">
      <w:pPr>
        <w:rPr>
          <w:color w:val="000000"/>
        </w:rPr>
      </w:pPr>
      <w:r>
        <w:rPr>
          <w:color w:val="000000"/>
        </w:rPr>
        <w:t>We work with communities, government and business to reduce our impact on the environment.</w:t>
      </w:r>
    </w:p>
    <w:p w:rsidR="001F1701" w:rsidRDefault="001F1701" w:rsidP="001F1701">
      <w:pPr>
        <w:rPr>
          <w:color w:val="000000"/>
        </w:rPr>
      </w:pPr>
      <w:r>
        <w:rPr>
          <w:color w:val="000000"/>
        </w:rPr>
        <w:t xml:space="preserve">We hold people and </w:t>
      </w:r>
      <w:proofErr w:type="spellStart"/>
      <w:r>
        <w:rPr>
          <w:color w:val="000000"/>
        </w:rPr>
        <w:t>organisations</w:t>
      </w:r>
      <w:proofErr w:type="spellEnd"/>
      <w:r>
        <w:rPr>
          <w:color w:val="000000"/>
        </w:rPr>
        <w:t xml:space="preserve"> to account through licensing, monitoring, regulation and enforcement.</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2821EA" w:rsidP="006A2280">
      <w:pPr>
        <w:tabs>
          <w:tab w:val="left" w:pos="2925"/>
        </w:tabs>
        <w:rPr>
          <w:rFonts w:ascii="Georgia" w:hAnsi="Georgia"/>
        </w:rPr>
      </w:pPr>
      <w:r>
        <w:rPr>
          <w:rFonts w:cs="Arial"/>
        </w:rPr>
        <w:t>Undertake</w:t>
      </w:r>
      <w:r w:rsidR="006B4E9C">
        <w:rPr>
          <w:rFonts w:cs="Arial"/>
        </w:rPr>
        <w:t xml:space="preserve"> diverse</w:t>
      </w:r>
      <w:r w:rsidR="00037FD5" w:rsidRPr="00614552">
        <w:rPr>
          <w:rFonts w:cs="Arial"/>
        </w:rPr>
        <w:t xml:space="preserve"> activities </w:t>
      </w:r>
      <w:r w:rsidR="00292A70">
        <w:rPr>
          <w:rFonts w:cs="Arial"/>
        </w:rPr>
        <w:t xml:space="preserve">in accordance with the legislation administered by the </w:t>
      </w:r>
      <w:r w:rsidR="00037FD5" w:rsidRPr="00614552">
        <w:rPr>
          <w:rFonts w:cs="Arial"/>
        </w:rPr>
        <w:t xml:space="preserve">EPA in </w:t>
      </w:r>
      <w:r w:rsidR="00292A70">
        <w:rPr>
          <w:rFonts w:cs="Arial"/>
        </w:rPr>
        <w:t xml:space="preserve">assigned </w:t>
      </w:r>
      <w:r w:rsidR="00037FD5" w:rsidRPr="002821EA">
        <w:rPr>
          <w:rFonts w:cs="Arial"/>
        </w:rPr>
        <w:t xml:space="preserve">regulatory </w:t>
      </w:r>
      <w:r w:rsidRPr="002821EA">
        <w:rPr>
          <w:rFonts w:cs="Arial"/>
        </w:rPr>
        <w:t>area/s</w:t>
      </w:r>
      <w:r w:rsidR="00037FD5" w:rsidRPr="00614552">
        <w:rPr>
          <w:rFonts w:cs="Arial"/>
        </w:rPr>
        <w:t xml:space="preserve"> </w:t>
      </w:r>
      <w:r w:rsidR="00292A70">
        <w:rPr>
          <w:rFonts w:cs="Arial"/>
        </w:rPr>
        <w:t>or other</w:t>
      </w:r>
      <w:r w:rsidR="00037FD5" w:rsidRPr="00614552">
        <w:rPr>
          <w:rFonts w:cs="Arial"/>
        </w:rPr>
        <w:t xml:space="preserve"> EPA operational p</w:t>
      </w:r>
      <w:r>
        <w:rPr>
          <w:rFonts w:cs="Arial"/>
        </w:rPr>
        <w:t xml:space="preserve">riorities. </w:t>
      </w:r>
      <w:r w:rsidR="00F62D28">
        <w:rPr>
          <w:rFonts w:cs="Arial"/>
        </w:rPr>
        <w:t>The role may also be required to m</w:t>
      </w:r>
      <w:r>
        <w:rPr>
          <w:rFonts w:cs="Arial"/>
        </w:rPr>
        <w:t>anage</w:t>
      </w:r>
      <w:r w:rsidR="00037FD5" w:rsidRPr="00614552">
        <w:rPr>
          <w:rFonts w:cs="Arial"/>
        </w:rPr>
        <w:t xml:space="preserve"> major projects</w:t>
      </w:r>
      <w:r w:rsidR="00DE7503">
        <w:rPr>
          <w:rFonts w:cs="Arial"/>
        </w:rPr>
        <w:t xml:space="preserve"> </w:t>
      </w:r>
      <w:r w:rsidR="00DE7503" w:rsidRPr="00614552">
        <w:rPr>
          <w:rFonts w:cs="Arial"/>
        </w:rPr>
        <w:t>within EPA</w:t>
      </w:r>
      <w:r w:rsidR="00037FD5" w:rsidRPr="00614552">
        <w:rPr>
          <w:rFonts w:cs="Arial"/>
        </w:rPr>
        <w:t xml:space="preserve"> involving technically complex tasks and provide direction and expert advice to</w:t>
      </w:r>
      <w:r w:rsidR="00BC71F4">
        <w:rPr>
          <w:rFonts w:cs="Arial"/>
        </w:rPr>
        <w:t xml:space="preserve"> other</w:t>
      </w:r>
      <w:r w:rsidR="0005637E">
        <w:rPr>
          <w:rFonts w:cs="Arial"/>
        </w:rPr>
        <w:t xml:space="preserve"> </w:t>
      </w:r>
      <w:r w:rsidR="00037FD5" w:rsidRPr="00614552">
        <w:rPr>
          <w:rFonts w:cs="Arial"/>
        </w:rPr>
        <w:t>officers.</w:t>
      </w:r>
    </w:p>
    <w:p w:rsidR="00F339CD" w:rsidRDefault="00F339CD" w:rsidP="00614552">
      <w:pPr>
        <w:pStyle w:val="Heading1"/>
      </w:pPr>
      <w:r w:rsidRPr="00A14A03">
        <w:t>Key accountabilities</w:t>
      </w:r>
    </w:p>
    <w:p w:rsidR="0005637E" w:rsidRPr="003B2553" w:rsidRDefault="0005637E" w:rsidP="0005637E">
      <w:pPr>
        <w:pStyle w:val="ListParagraph"/>
        <w:numPr>
          <w:ilvl w:val="0"/>
          <w:numId w:val="3"/>
        </w:numPr>
        <w:tabs>
          <w:tab w:val="left" w:pos="2925"/>
        </w:tabs>
        <w:spacing w:line="240" w:lineRule="auto"/>
        <w:ind w:left="360"/>
        <w:rPr>
          <w:rFonts w:ascii="Georgia" w:hAnsi="Georgia"/>
        </w:rPr>
      </w:pPr>
      <w:r>
        <w:rPr>
          <w:rFonts w:cs="Arial"/>
        </w:rPr>
        <w:t>Contribute</w:t>
      </w:r>
      <w:r w:rsidRPr="00614552">
        <w:rPr>
          <w:rFonts w:cs="Arial"/>
        </w:rPr>
        <w:t xml:space="preserve"> to the</w:t>
      </w:r>
      <w:r w:rsidR="004001D8">
        <w:rPr>
          <w:rFonts w:cs="Arial"/>
        </w:rPr>
        <w:t xml:space="preserve"> development, review and </w:t>
      </w:r>
      <w:r w:rsidRPr="00614552">
        <w:rPr>
          <w:rFonts w:cs="Arial"/>
        </w:rPr>
        <w:t>implementation of</w:t>
      </w:r>
      <w:r w:rsidR="004001D8">
        <w:rPr>
          <w:rFonts w:cs="Arial"/>
        </w:rPr>
        <w:t xml:space="preserve"> relevant aspects of the Branch’s, </w:t>
      </w:r>
      <w:r w:rsidRPr="00614552">
        <w:rPr>
          <w:rFonts w:cs="Arial"/>
        </w:rPr>
        <w:t>Section</w:t>
      </w:r>
      <w:r w:rsidR="004001D8">
        <w:rPr>
          <w:rFonts w:cs="Arial"/>
        </w:rPr>
        <w:t xml:space="preserve">’s and </w:t>
      </w:r>
      <w:r w:rsidRPr="00614552">
        <w:rPr>
          <w:rFonts w:cs="Arial"/>
        </w:rPr>
        <w:t>Re</w:t>
      </w:r>
      <w:r>
        <w:rPr>
          <w:rFonts w:cs="Arial"/>
        </w:rPr>
        <w:t>gion</w:t>
      </w:r>
      <w:r w:rsidR="004001D8">
        <w:rPr>
          <w:rFonts w:cs="Arial"/>
        </w:rPr>
        <w:t>’s</w:t>
      </w:r>
      <w:r>
        <w:rPr>
          <w:rFonts w:cs="Arial"/>
        </w:rPr>
        <w:t xml:space="preserve"> Work Plan, contribute to </w:t>
      </w:r>
      <w:r w:rsidR="004001D8">
        <w:rPr>
          <w:rFonts w:cs="Arial"/>
        </w:rPr>
        <w:t xml:space="preserve">internal and external </w:t>
      </w:r>
      <w:r>
        <w:rPr>
          <w:rFonts w:cs="Arial"/>
        </w:rPr>
        <w:t>r</w:t>
      </w:r>
      <w:r w:rsidRPr="00614552">
        <w:rPr>
          <w:rFonts w:cs="Arial"/>
        </w:rPr>
        <w:t>eporting</w:t>
      </w:r>
      <w:r w:rsidR="004001D8">
        <w:rPr>
          <w:rFonts w:cs="Arial"/>
        </w:rPr>
        <w:t>,</w:t>
      </w:r>
      <w:r w:rsidRPr="00614552">
        <w:rPr>
          <w:rFonts w:cs="Arial"/>
        </w:rPr>
        <w:t xml:space="preserve"> and manage salient industries/issues as a senior team member responsible for the day-to-day protection of the environment. </w:t>
      </w:r>
    </w:p>
    <w:p w:rsidR="0005637E" w:rsidRPr="003B2553" w:rsidRDefault="0005637E" w:rsidP="003B2553">
      <w:pPr>
        <w:pStyle w:val="ListParagraph"/>
        <w:tabs>
          <w:tab w:val="left" w:pos="2925"/>
        </w:tabs>
        <w:spacing w:line="240" w:lineRule="auto"/>
        <w:ind w:left="360"/>
        <w:rPr>
          <w:rFonts w:ascii="Georgia" w:hAnsi="Georgia"/>
        </w:rPr>
      </w:pPr>
    </w:p>
    <w:p w:rsidR="0005637E" w:rsidRPr="0061486A" w:rsidRDefault="0005637E" w:rsidP="0005637E">
      <w:pPr>
        <w:pStyle w:val="ListParagraph"/>
        <w:numPr>
          <w:ilvl w:val="0"/>
          <w:numId w:val="3"/>
        </w:numPr>
        <w:tabs>
          <w:tab w:val="left" w:pos="2925"/>
        </w:tabs>
        <w:spacing w:line="240" w:lineRule="auto"/>
        <w:ind w:left="360"/>
        <w:rPr>
          <w:rFonts w:ascii="Georgia" w:hAnsi="Georgia"/>
        </w:rPr>
      </w:pPr>
      <w:r w:rsidRPr="00614552">
        <w:rPr>
          <w:rFonts w:cs="Arial"/>
        </w:rPr>
        <w:t>Assess the efficiency</w:t>
      </w:r>
      <w:r w:rsidR="00845761">
        <w:rPr>
          <w:rFonts w:cs="Arial"/>
        </w:rPr>
        <w:t xml:space="preserve"> and effectiveness</w:t>
      </w:r>
      <w:r w:rsidRPr="00614552">
        <w:rPr>
          <w:rFonts w:cs="Arial"/>
        </w:rPr>
        <w:t xml:space="preserve"> of standards and guidelines in protecting</w:t>
      </w:r>
      <w:r w:rsidR="0062407E" w:rsidRPr="0062407E">
        <w:rPr>
          <w:rFonts w:cs="Arial"/>
        </w:rPr>
        <w:t xml:space="preserve"> </w:t>
      </w:r>
      <w:r w:rsidR="0062407E">
        <w:rPr>
          <w:rFonts w:cs="Arial"/>
        </w:rPr>
        <w:t>human health and</w:t>
      </w:r>
      <w:r w:rsidRPr="00614552">
        <w:rPr>
          <w:rFonts w:cs="Arial"/>
        </w:rPr>
        <w:t xml:space="preserve"> the environment, identify and recommend appropriate solutions </w:t>
      </w:r>
      <w:r w:rsidR="004001D8">
        <w:rPr>
          <w:rFonts w:cs="Arial"/>
        </w:rPr>
        <w:t>that</w:t>
      </w:r>
      <w:r w:rsidRPr="00614552">
        <w:rPr>
          <w:rFonts w:cs="Arial"/>
        </w:rPr>
        <w:t xml:space="preserve"> address poor environmental performance of industry</w:t>
      </w:r>
      <w:r w:rsidR="004001D8">
        <w:rPr>
          <w:rFonts w:cs="Arial"/>
        </w:rPr>
        <w:t xml:space="preserve">, </w:t>
      </w:r>
      <w:r w:rsidRPr="00614552">
        <w:rPr>
          <w:rFonts w:cs="Arial"/>
        </w:rPr>
        <w:t>public sector</w:t>
      </w:r>
      <w:r w:rsidR="004001D8">
        <w:rPr>
          <w:rFonts w:cs="Arial"/>
        </w:rPr>
        <w:t xml:space="preserve">, landholders, and </w:t>
      </w:r>
      <w:r w:rsidRPr="00614552">
        <w:rPr>
          <w:rFonts w:cs="Arial"/>
        </w:rPr>
        <w:t xml:space="preserve">general community to </w:t>
      </w:r>
      <w:r w:rsidR="0062407E">
        <w:rPr>
          <w:rFonts w:cs="Arial"/>
        </w:rPr>
        <w:t xml:space="preserve">deliver appropriate levels of </w:t>
      </w:r>
      <w:r w:rsidR="00074F22" w:rsidRPr="00614552">
        <w:rPr>
          <w:rFonts w:cs="Arial"/>
        </w:rPr>
        <w:t>environment protection</w:t>
      </w:r>
      <w:r w:rsidRPr="00614552">
        <w:rPr>
          <w:rFonts w:cs="Arial"/>
        </w:rPr>
        <w:t>.</w:t>
      </w:r>
    </w:p>
    <w:p w:rsidR="0005637E" w:rsidRPr="0061486A" w:rsidRDefault="0005637E" w:rsidP="003B2553">
      <w:pPr>
        <w:pStyle w:val="ListParagraph"/>
        <w:tabs>
          <w:tab w:val="left" w:pos="2925"/>
        </w:tabs>
        <w:spacing w:line="240" w:lineRule="auto"/>
        <w:ind w:left="360"/>
        <w:rPr>
          <w:rFonts w:ascii="Georgia" w:hAnsi="Georgia"/>
        </w:rPr>
      </w:pPr>
    </w:p>
    <w:p w:rsidR="00F339CD" w:rsidRPr="0061486A" w:rsidRDefault="0062407E" w:rsidP="00A366FC">
      <w:pPr>
        <w:pStyle w:val="ListParagraph"/>
        <w:numPr>
          <w:ilvl w:val="0"/>
          <w:numId w:val="3"/>
        </w:numPr>
        <w:tabs>
          <w:tab w:val="left" w:pos="2925"/>
        </w:tabs>
        <w:spacing w:line="240" w:lineRule="auto"/>
        <w:ind w:left="360"/>
        <w:rPr>
          <w:rFonts w:ascii="Georgia" w:hAnsi="Georgia"/>
        </w:rPr>
      </w:pPr>
      <w:r>
        <w:rPr>
          <w:rFonts w:cs="Arial"/>
        </w:rPr>
        <w:t>Identify, recommend and implement relevant actions to address poor environmental performance of industry, the public sector, landholders and the general community to ensure the environm</w:t>
      </w:r>
      <w:r w:rsidR="00074F22">
        <w:rPr>
          <w:rFonts w:cs="Arial"/>
        </w:rPr>
        <w:t>ent and human health is protected.</w:t>
      </w:r>
    </w:p>
    <w:p w:rsidR="0061486A" w:rsidRPr="00F339CD" w:rsidRDefault="0061486A" w:rsidP="00A366FC">
      <w:pPr>
        <w:pStyle w:val="ListParagraph"/>
        <w:tabs>
          <w:tab w:val="left" w:pos="2925"/>
        </w:tabs>
        <w:spacing w:line="240" w:lineRule="auto"/>
        <w:ind w:left="360"/>
        <w:rPr>
          <w:rFonts w:ascii="Georgia" w:hAnsi="Georgia"/>
        </w:rPr>
      </w:pPr>
    </w:p>
    <w:p w:rsidR="001C2AA8" w:rsidRPr="003B2553" w:rsidRDefault="001C2AA8" w:rsidP="001C2AA8">
      <w:pPr>
        <w:pStyle w:val="ListParagraph"/>
        <w:numPr>
          <w:ilvl w:val="0"/>
          <w:numId w:val="3"/>
        </w:numPr>
        <w:tabs>
          <w:tab w:val="left" w:pos="2925"/>
        </w:tabs>
        <w:spacing w:line="240" w:lineRule="auto"/>
        <w:ind w:left="360"/>
        <w:rPr>
          <w:rFonts w:ascii="Georgia" w:hAnsi="Georgia"/>
        </w:rPr>
      </w:pPr>
      <w:r w:rsidRPr="00614552">
        <w:rPr>
          <w:rFonts w:cs="Arial"/>
        </w:rPr>
        <w:lastRenderedPageBreak/>
        <w:t xml:space="preserve">Contribute to full delivery of EPA statutory activities </w:t>
      </w:r>
      <w:r>
        <w:rPr>
          <w:rFonts w:cs="Arial"/>
        </w:rPr>
        <w:t>such as licensing and approvals and a diverse range of</w:t>
      </w:r>
      <w:r w:rsidRPr="00614552">
        <w:rPr>
          <w:rFonts w:cs="Arial"/>
        </w:rPr>
        <w:t xml:space="preserve"> environment protection activities and approaches</w:t>
      </w:r>
      <w:r>
        <w:rPr>
          <w:rFonts w:cs="Arial"/>
        </w:rPr>
        <w:t xml:space="preserve"> including response to environmental incidents and </w:t>
      </w:r>
      <w:r w:rsidRPr="00614552">
        <w:rPr>
          <w:rFonts w:cs="Arial"/>
        </w:rPr>
        <w:t xml:space="preserve">emergency situations, </w:t>
      </w:r>
      <w:r>
        <w:rPr>
          <w:rFonts w:cs="Arial"/>
        </w:rPr>
        <w:t>including</w:t>
      </w:r>
      <w:r w:rsidRPr="00614552">
        <w:rPr>
          <w:rFonts w:cs="Arial"/>
        </w:rPr>
        <w:t xml:space="preserve"> after</w:t>
      </w:r>
      <w:r>
        <w:rPr>
          <w:rFonts w:cs="Arial"/>
        </w:rPr>
        <w:t>-</w:t>
      </w:r>
      <w:r w:rsidRPr="00614552">
        <w:rPr>
          <w:rFonts w:cs="Arial"/>
        </w:rPr>
        <w:t>hours response</w:t>
      </w:r>
      <w:r>
        <w:rPr>
          <w:rFonts w:cs="Arial"/>
        </w:rPr>
        <w:t>,</w:t>
      </w:r>
      <w:r w:rsidRPr="00614552">
        <w:rPr>
          <w:rFonts w:cs="Arial"/>
        </w:rPr>
        <w:t xml:space="preserve"> </w:t>
      </w:r>
      <w:r>
        <w:rPr>
          <w:rFonts w:cs="Arial"/>
        </w:rPr>
        <w:t>and</w:t>
      </w:r>
      <w:r w:rsidRPr="00614552">
        <w:rPr>
          <w:rFonts w:cs="Arial"/>
        </w:rPr>
        <w:t xml:space="preserve"> handling day-to-day complaints.</w:t>
      </w:r>
    </w:p>
    <w:p w:rsidR="001C2AA8" w:rsidRPr="003B2553" w:rsidRDefault="001C2AA8" w:rsidP="003B2553">
      <w:pPr>
        <w:pStyle w:val="ListParagraph"/>
        <w:rPr>
          <w:rFonts w:ascii="Georgia" w:hAnsi="Georgia"/>
        </w:rPr>
      </w:pPr>
    </w:p>
    <w:p w:rsidR="001C2AA8" w:rsidRPr="0061486A" w:rsidRDefault="001C2AA8" w:rsidP="003B2553">
      <w:pPr>
        <w:pStyle w:val="ListParagraph"/>
        <w:tabs>
          <w:tab w:val="left" w:pos="2925"/>
        </w:tabs>
        <w:spacing w:line="240" w:lineRule="auto"/>
        <w:ind w:left="360"/>
        <w:rPr>
          <w:rFonts w:ascii="Georgia" w:hAnsi="Georgia"/>
        </w:rPr>
      </w:pPr>
    </w:p>
    <w:p w:rsidR="0061486A" w:rsidRPr="0061486A" w:rsidRDefault="0061486A" w:rsidP="00A366FC">
      <w:pPr>
        <w:pStyle w:val="ListParagraph"/>
        <w:spacing w:line="240" w:lineRule="auto"/>
        <w:ind w:left="360"/>
        <w:rPr>
          <w:rFonts w:ascii="Georgia" w:hAnsi="Georgia"/>
        </w:rPr>
      </w:pPr>
    </w:p>
    <w:p w:rsidR="00074F22" w:rsidRPr="0061486A" w:rsidRDefault="00074F22" w:rsidP="00A366FC">
      <w:pPr>
        <w:pStyle w:val="ListParagraph"/>
        <w:numPr>
          <w:ilvl w:val="0"/>
          <w:numId w:val="3"/>
        </w:numPr>
        <w:tabs>
          <w:tab w:val="left" w:pos="2925"/>
        </w:tabs>
        <w:spacing w:line="240" w:lineRule="auto"/>
        <w:ind w:left="360"/>
        <w:rPr>
          <w:rFonts w:ascii="Georgia" w:hAnsi="Georgia"/>
        </w:rPr>
      </w:pPr>
      <w:r>
        <w:rPr>
          <w:rFonts w:cs="Arial"/>
        </w:rPr>
        <w:t>Lead and u</w:t>
      </w:r>
      <w:r w:rsidR="00F339CD" w:rsidRPr="00614552">
        <w:rPr>
          <w:rFonts w:cs="Arial"/>
        </w:rPr>
        <w:t>ndertake investigations and recommend future actions including potential prosecution or other regulatory or non-regulatory actions to deliver effective compliance with EPA’s legislative responsibilities, appearing in court as an EPA witness when required.</w:t>
      </w:r>
    </w:p>
    <w:p w:rsidR="0061486A" w:rsidRPr="0061486A" w:rsidRDefault="0061486A" w:rsidP="003B2553">
      <w:pPr>
        <w:pStyle w:val="ListParagraph"/>
        <w:tabs>
          <w:tab w:val="left" w:pos="2925"/>
        </w:tabs>
        <w:spacing w:line="240" w:lineRule="auto"/>
        <w:ind w:left="360"/>
        <w:rPr>
          <w:rFonts w:ascii="Georgia" w:hAnsi="Georgia"/>
        </w:rPr>
      </w:pPr>
    </w:p>
    <w:p w:rsidR="00F339CD" w:rsidRPr="003B2553" w:rsidRDefault="00AC6592" w:rsidP="00A366FC">
      <w:pPr>
        <w:pStyle w:val="ListParagraph"/>
        <w:numPr>
          <w:ilvl w:val="0"/>
          <w:numId w:val="3"/>
        </w:numPr>
        <w:tabs>
          <w:tab w:val="left" w:pos="2925"/>
        </w:tabs>
        <w:spacing w:line="240" w:lineRule="auto"/>
        <w:ind w:left="360"/>
        <w:rPr>
          <w:rFonts w:ascii="Georgia" w:hAnsi="Georgia"/>
        </w:rPr>
      </w:pPr>
      <w:r>
        <w:rPr>
          <w:rFonts w:cs="Arial"/>
        </w:rPr>
        <w:t>R</w:t>
      </w:r>
      <w:r w:rsidR="00F339CD" w:rsidRPr="00614552">
        <w:rPr>
          <w:rFonts w:cs="Arial"/>
        </w:rPr>
        <w:t>eview</w:t>
      </w:r>
      <w:r>
        <w:rPr>
          <w:rFonts w:cs="Arial"/>
        </w:rPr>
        <w:t xml:space="preserve"> and assess</w:t>
      </w:r>
      <w:r w:rsidR="00F339CD" w:rsidRPr="00614552">
        <w:rPr>
          <w:rFonts w:cs="Arial"/>
        </w:rPr>
        <w:t xml:space="preserve"> Environmental Assessments which are significant, complex or contentious for local government areas, major projects, sites and premises in relation to relevant environment requirements and ensure appropriate regulatory functions are in place.</w:t>
      </w:r>
    </w:p>
    <w:p w:rsidR="00AC6592" w:rsidRPr="003B2553" w:rsidRDefault="00AC6592" w:rsidP="003B2553">
      <w:pPr>
        <w:pStyle w:val="ListParagraph"/>
        <w:tabs>
          <w:tab w:val="left" w:pos="2925"/>
        </w:tabs>
        <w:spacing w:line="240" w:lineRule="auto"/>
        <w:ind w:left="360"/>
        <w:rPr>
          <w:rFonts w:ascii="Georgia" w:hAnsi="Georgia"/>
        </w:rPr>
      </w:pPr>
    </w:p>
    <w:p w:rsidR="00AC6592" w:rsidRPr="003B2553" w:rsidRDefault="00AC6592" w:rsidP="00A270FC">
      <w:pPr>
        <w:pStyle w:val="ListParagraph"/>
        <w:numPr>
          <w:ilvl w:val="0"/>
          <w:numId w:val="3"/>
        </w:numPr>
        <w:tabs>
          <w:tab w:val="left" w:pos="2925"/>
        </w:tabs>
        <w:spacing w:line="240" w:lineRule="auto"/>
        <w:ind w:left="360"/>
        <w:rPr>
          <w:rFonts w:ascii="Georgia" w:hAnsi="Georgia"/>
        </w:rPr>
      </w:pPr>
      <w:r w:rsidRPr="00A270FC">
        <w:rPr>
          <w:rFonts w:cs="Arial"/>
        </w:rPr>
        <w:t xml:space="preserve">Provide expert </w:t>
      </w:r>
      <w:r w:rsidRPr="004001D8">
        <w:rPr>
          <w:rFonts w:cs="Arial"/>
        </w:rPr>
        <w:t xml:space="preserve">advice to senior officers both internally and externally and maintain a network with industry, </w:t>
      </w:r>
      <w:r>
        <w:rPr>
          <w:rFonts w:cs="Arial"/>
        </w:rPr>
        <w:t xml:space="preserve">the public sector, </w:t>
      </w:r>
      <w:r w:rsidRPr="00A270FC">
        <w:rPr>
          <w:rFonts w:cs="Arial"/>
        </w:rPr>
        <w:t xml:space="preserve">landholders, the community </w:t>
      </w:r>
      <w:r>
        <w:rPr>
          <w:rFonts w:cs="Arial"/>
        </w:rPr>
        <w:t xml:space="preserve">and </w:t>
      </w:r>
      <w:r w:rsidRPr="00813B29">
        <w:rPr>
          <w:rFonts w:cs="Arial"/>
        </w:rPr>
        <w:t xml:space="preserve">other groups </w:t>
      </w:r>
      <w:r w:rsidRPr="00A270FC">
        <w:rPr>
          <w:rFonts w:cs="Arial"/>
        </w:rPr>
        <w:t>on</w:t>
      </w:r>
      <w:r>
        <w:rPr>
          <w:rFonts w:cs="Arial"/>
        </w:rPr>
        <w:t xml:space="preserve"> the EPA’s regulatory framework and</w:t>
      </w:r>
      <w:r w:rsidRPr="00A270FC">
        <w:rPr>
          <w:rFonts w:cs="Arial"/>
        </w:rPr>
        <w:t xml:space="preserve"> regional planning and development issues</w:t>
      </w:r>
      <w:r>
        <w:rPr>
          <w:rFonts w:cs="Arial"/>
        </w:rPr>
        <w:t xml:space="preserve"> within the EPA’s regulatory responsibility</w:t>
      </w:r>
      <w:r w:rsidRPr="00A270FC">
        <w:rPr>
          <w:rFonts w:cs="Arial"/>
        </w:rPr>
        <w:t>; advi</w:t>
      </w:r>
      <w:r w:rsidRPr="004001D8">
        <w:rPr>
          <w:rFonts w:cs="Arial"/>
        </w:rPr>
        <w:t>se and negotiate</w:t>
      </w:r>
      <w:r w:rsidRPr="001C2AA8">
        <w:rPr>
          <w:rFonts w:cs="Arial"/>
        </w:rPr>
        <w:t xml:space="preserve"> on environ</w:t>
      </w:r>
      <w:r w:rsidRPr="00AC6592">
        <w:rPr>
          <w:rFonts w:cs="Arial"/>
        </w:rPr>
        <w:t xml:space="preserve">ment improvement </w:t>
      </w:r>
      <w:r>
        <w:rPr>
          <w:rFonts w:cs="Arial"/>
        </w:rPr>
        <w:t>programs and initiatives and</w:t>
      </w:r>
      <w:r w:rsidRPr="00A270FC">
        <w:rPr>
          <w:rFonts w:cs="Arial"/>
        </w:rPr>
        <w:t xml:space="preserve"> the application of</w:t>
      </w:r>
      <w:r>
        <w:rPr>
          <w:rFonts w:cs="Arial"/>
        </w:rPr>
        <w:t xml:space="preserve"> regulatory tools such as</w:t>
      </w:r>
      <w:r w:rsidRPr="00A270FC">
        <w:rPr>
          <w:rFonts w:cs="Arial"/>
        </w:rPr>
        <w:t xml:space="preserve"> economic mechanisms and compliance audit requirements.</w:t>
      </w:r>
    </w:p>
    <w:p w:rsidR="00074F22" w:rsidRPr="003B2553" w:rsidRDefault="00074F22" w:rsidP="003B2553">
      <w:pPr>
        <w:pStyle w:val="ListParagraph"/>
        <w:tabs>
          <w:tab w:val="left" w:pos="2925"/>
        </w:tabs>
        <w:spacing w:line="240" w:lineRule="auto"/>
        <w:ind w:left="360"/>
        <w:rPr>
          <w:rFonts w:ascii="Georgia" w:hAnsi="Georgia"/>
        </w:rPr>
      </w:pPr>
    </w:p>
    <w:p w:rsidR="00074F22" w:rsidRPr="0061486A" w:rsidRDefault="00074F22" w:rsidP="00074F22">
      <w:pPr>
        <w:pStyle w:val="ListParagraph"/>
        <w:numPr>
          <w:ilvl w:val="0"/>
          <w:numId w:val="3"/>
        </w:numPr>
        <w:tabs>
          <w:tab w:val="left" w:pos="2925"/>
        </w:tabs>
        <w:spacing w:line="240" w:lineRule="auto"/>
        <w:ind w:left="360"/>
        <w:rPr>
          <w:rFonts w:ascii="Georgia" w:hAnsi="Georgia"/>
        </w:rPr>
      </w:pPr>
      <w:r w:rsidRPr="00614552">
        <w:rPr>
          <w:rFonts w:cs="Arial"/>
        </w:rPr>
        <w:t xml:space="preserve">Lead and participate in project teams for the consideration, development and implementation of specific policies and strategies, providing direction and expert advice to </w:t>
      </w:r>
      <w:r>
        <w:rPr>
          <w:rFonts w:cs="Arial"/>
        </w:rPr>
        <w:t>team members</w:t>
      </w:r>
      <w:r w:rsidRPr="00614552">
        <w:rPr>
          <w:rFonts w:cs="Arial"/>
        </w:rPr>
        <w:t>.</w:t>
      </w:r>
    </w:p>
    <w:p w:rsidR="00074F22" w:rsidRPr="003B2553" w:rsidRDefault="00074F22" w:rsidP="003B2553">
      <w:pPr>
        <w:pStyle w:val="ListParagraph"/>
        <w:tabs>
          <w:tab w:val="left" w:pos="2925"/>
        </w:tabs>
        <w:spacing w:line="240" w:lineRule="auto"/>
        <w:ind w:left="360"/>
        <w:rPr>
          <w:rFonts w:ascii="Georgia" w:hAnsi="Georgia"/>
        </w:rPr>
      </w:pPr>
    </w:p>
    <w:p w:rsidR="001D097C" w:rsidRPr="00614552" w:rsidRDefault="001D097C" w:rsidP="006A2280">
      <w:pPr>
        <w:tabs>
          <w:tab w:val="left" w:pos="2925"/>
        </w:tabs>
        <w:rPr>
          <w:rStyle w:val="Heading1Char"/>
        </w:rPr>
      </w:pPr>
      <w:r w:rsidRPr="00614552">
        <w:rPr>
          <w:rStyle w:val="Heading1Char"/>
        </w:rPr>
        <w:t>Key challenges</w:t>
      </w:r>
    </w:p>
    <w:p w:rsidR="00676741" w:rsidRPr="00676741" w:rsidRDefault="00676741" w:rsidP="00A366FC">
      <w:pPr>
        <w:pStyle w:val="ListParagraph"/>
        <w:numPr>
          <w:ilvl w:val="0"/>
          <w:numId w:val="9"/>
        </w:numPr>
        <w:tabs>
          <w:tab w:val="left" w:pos="2925"/>
        </w:tabs>
        <w:rPr>
          <w:rFonts w:cs="Arial"/>
        </w:rPr>
      </w:pPr>
      <w:r w:rsidRPr="003B2553">
        <w:rPr>
          <w:rFonts w:cs="Arial"/>
        </w:rPr>
        <w:t>Influencing attitudes and priorities of community, industry, landholders and public sector, establishing and maintaining community confidence in EPA operations, strategies, procedures and policies on protecting the environment.</w:t>
      </w:r>
    </w:p>
    <w:p w:rsidR="00676741" w:rsidRPr="003B2553" w:rsidRDefault="00676741" w:rsidP="003B2553">
      <w:pPr>
        <w:pStyle w:val="ListParagraph"/>
        <w:tabs>
          <w:tab w:val="left" w:pos="2925"/>
        </w:tabs>
        <w:ind w:left="360"/>
        <w:rPr>
          <w:rFonts w:ascii="Georgia" w:hAnsi="Georgia"/>
        </w:rPr>
      </w:pPr>
    </w:p>
    <w:p w:rsidR="0061486A" w:rsidRPr="000D1E72" w:rsidRDefault="0061486A" w:rsidP="00A366FC">
      <w:pPr>
        <w:pStyle w:val="ListParagraph"/>
        <w:numPr>
          <w:ilvl w:val="0"/>
          <w:numId w:val="9"/>
        </w:numPr>
        <w:tabs>
          <w:tab w:val="left" w:pos="2925"/>
        </w:tabs>
        <w:rPr>
          <w:rFonts w:ascii="Georgia" w:hAnsi="Georgia"/>
        </w:rPr>
      </w:pPr>
      <w:r w:rsidRPr="00A366FC">
        <w:rPr>
          <w:rFonts w:cs="Arial"/>
        </w:rPr>
        <w:t>Maintain</w:t>
      </w:r>
      <w:r w:rsidR="008A51F4" w:rsidRPr="00A366FC">
        <w:rPr>
          <w:rFonts w:cs="Arial"/>
        </w:rPr>
        <w:t>ing</w:t>
      </w:r>
      <w:r w:rsidRPr="00A366FC">
        <w:rPr>
          <w:rFonts w:cs="Arial"/>
        </w:rPr>
        <w:t xml:space="preserve"> specialist knowledge within area of expertise and contemporary knowledge of Government environmental policy and issues</w:t>
      </w:r>
      <w:r w:rsidR="00676741">
        <w:rPr>
          <w:rFonts w:cs="Arial"/>
        </w:rPr>
        <w:t>.</w:t>
      </w:r>
      <w:r w:rsidRPr="00A366FC">
        <w:rPr>
          <w:rFonts w:cs="Arial"/>
        </w:rPr>
        <w:t xml:space="preserve"> </w:t>
      </w:r>
    </w:p>
    <w:p w:rsidR="000D1E72" w:rsidRPr="00A366FC" w:rsidRDefault="000D1E72" w:rsidP="000D1E72">
      <w:pPr>
        <w:pStyle w:val="ListParagraph"/>
        <w:tabs>
          <w:tab w:val="left" w:pos="2925"/>
        </w:tabs>
        <w:ind w:left="360"/>
        <w:rPr>
          <w:rFonts w:ascii="Georgia" w:hAnsi="Georgia"/>
        </w:rPr>
      </w:pPr>
    </w:p>
    <w:p w:rsidR="009B547F" w:rsidRPr="00A366FC" w:rsidRDefault="002821EA" w:rsidP="00A366FC">
      <w:pPr>
        <w:pStyle w:val="ListParagraph"/>
        <w:numPr>
          <w:ilvl w:val="0"/>
          <w:numId w:val="9"/>
        </w:numPr>
        <w:tabs>
          <w:tab w:val="left" w:pos="2925"/>
        </w:tabs>
        <w:rPr>
          <w:rFonts w:ascii="Georgia" w:hAnsi="Georgia"/>
        </w:rPr>
      </w:pPr>
      <w:r w:rsidRPr="00A366FC">
        <w:rPr>
          <w:rFonts w:cs="Arial"/>
        </w:rPr>
        <w:t xml:space="preserve">Adopting a flexible approach </w:t>
      </w:r>
      <w:r w:rsidR="0061486A" w:rsidRPr="00A366FC">
        <w:rPr>
          <w:rFonts w:cs="Arial"/>
        </w:rPr>
        <w:t>to ad</w:t>
      </w:r>
      <w:r w:rsidRPr="00A366FC">
        <w:rPr>
          <w:rFonts w:cs="Arial"/>
        </w:rPr>
        <w:t xml:space="preserve">dress changing priorities and </w:t>
      </w:r>
      <w:proofErr w:type="gramStart"/>
      <w:r w:rsidRPr="00A366FC">
        <w:rPr>
          <w:rFonts w:cs="Arial"/>
        </w:rPr>
        <w:t>issues, and</w:t>
      </w:r>
      <w:proofErr w:type="gramEnd"/>
      <w:r w:rsidRPr="00A366FC">
        <w:rPr>
          <w:rFonts w:cs="Arial"/>
        </w:rPr>
        <w:t xml:space="preserve"> </w:t>
      </w:r>
      <w:r w:rsidR="00B8326D">
        <w:rPr>
          <w:rFonts w:cs="Arial"/>
        </w:rPr>
        <w:t xml:space="preserve">reviewing or </w:t>
      </w:r>
      <w:r w:rsidRPr="00A366FC">
        <w:rPr>
          <w:rFonts w:cs="Arial"/>
        </w:rPr>
        <w:t>developing</w:t>
      </w:r>
      <w:r w:rsidR="00B8326D">
        <w:rPr>
          <w:rFonts w:cs="Arial"/>
        </w:rPr>
        <w:t xml:space="preserve"> practical and</w:t>
      </w:r>
      <w:r w:rsidRPr="00A366FC">
        <w:rPr>
          <w:rFonts w:cs="Arial"/>
        </w:rPr>
        <w:t xml:space="preserve"> innovative solutions</w:t>
      </w:r>
      <w:r w:rsidR="007956AD" w:rsidRPr="00A366FC">
        <w:rPr>
          <w:rFonts w:cs="Arial"/>
        </w:rPr>
        <w:t xml:space="preserve"> consistent with EPA policies and guidelines</w:t>
      </w:r>
      <w:r w:rsidR="009B547F" w:rsidRPr="00A366FC">
        <w:rPr>
          <w:rFonts w:cs="Arial"/>
        </w:rPr>
        <w:t xml:space="preserve">. </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FD3FFF">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FD3FFF">
            <w:pPr>
              <w:pStyle w:val="TableText"/>
              <w:ind w:left="360"/>
            </w:pPr>
            <w:r>
              <w:t xml:space="preserve">Escalate issues, keep informed, advise and receive </w:t>
            </w:r>
            <w:r w:rsidR="002821EA">
              <w:t>guidance</w:t>
            </w:r>
          </w:p>
          <w:p w:rsidR="00BB532F" w:rsidRPr="00A15CDB" w:rsidRDefault="007956AD" w:rsidP="00FD3FFF">
            <w:pPr>
              <w:pStyle w:val="TableText"/>
              <w:ind w:left="360"/>
            </w:pPr>
            <w:r>
              <w:t xml:space="preserve">Review </w:t>
            </w:r>
            <w:r w:rsidR="001336E8">
              <w:t xml:space="preserve">and makes recommendations on relevant issues and problems </w:t>
            </w:r>
          </w:p>
        </w:tc>
      </w:tr>
      <w:tr w:rsidR="007956AD" w:rsidRPr="00C978B9" w:rsidTr="00FD3FFF">
        <w:tc>
          <w:tcPr>
            <w:tcW w:w="3601" w:type="dxa"/>
            <w:tcBorders>
              <w:top w:val="single" w:sz="8" w:space="0" w:color="auto"/>
              <w:bottom w:val="single" w:sz="8" w:space="0" w:color="BCBEC0"/>
            </w:tcBorders>
          </w:tcPr>
          <w:p w:rsidR="007956AD" w:rsidRPr="00A15CDB" w:rsidRDefault="007956AD" w:rsidP="0046655E">
            <w:pPr>
              <w:pStyle w:val="TableText"/>
            </w:pPr>
            <w:r>
              <w:t>Senior officers</w:t>
            </w:r>
          </w:p>
        </w:tc>
        <w:tc>
          <w:tcPr>
            <w:tcW w:w="6986" w:type="dxa"/>
            <w:tcBorders>
              <w:top w:val="single" w:sz="8" w:space="0" w:color="auto"/>
              <w:bottom w:val="single" w:sz="8" w:space="0" w:color="BCBEC0"/>
            </w:tcBorders>
          </w:tcPr>
          <w:p w:rsidR="007956AD" w:rsidRPr="00A15CDB" w:rsidRDefault="007956AD" w:rsidP="00FD3FFF">
            <w:pPr>
              <w:pStyle w:val="TableText"/>
              <w:ind w:left="360"/>
            </w:pPr>
            <w:r>
              <w:t xml:space="preserve">Provide expert advice to senior officers </w:t>
            </w:r>
          </w:p>
        </w:tc>
      </w:tr>
      <w:tr w:rsidR="007956AD" w:rsidRPr="00C978B9" w:rsidTr="00FD3FFF">
        <w:tc>
          <w:tcPr>
            <w:tcW w:w="3601" w:type="dxa"/>
            <w:tcBorders>
              <w:top w:val="single" w:sz="8" w:space="0" w:color="auto"/>
              <w:bottom w:val="single" w:sz="8" w:space="0" w:color="BCBEC0"/>
            </w:tcBorders>
          </w:tcPr>
          <w:p w:rsidR="007956AD" w:rsidRPr="00A15CDB" w:rsidRDefault="007956AD" w:rsidP="0049111D">
            <w:pPr>
              <w:pStyle w:val="TableText"/>
            </w:pPr>
            <w:r>
              <w:t>Project teams and other staff</w:t>
            </w:r>
          </w:p>
        </w:tc>
        <w:tc>
          <w:tcPr>
            <w:tcW w:w="6986" w:type="dxa"/>
            <w:tcBorders>
              <w:top w:val="single" w:sz="8" w:space="0" w:color="auto"/>
              <w:bottom w:val="single" w:sz="8" w:space="0" w:color="BCBEC0"/>
            </w:tcBorders>
          </w:tcPr>
          <w:p w:rsidR="007956AD" w:rsidRDefault="007956AD" w:rsidP="00FD3FFF">
            <w:pPr>
              <w:pStyle w:val="TableText"/>
              <w:ind w:left="360"/>
            </w:pPr>
            <w:r>
              <w:t>Lead and participate in project teams</w:t>
            </w:r>
          </w:p>
          <w:p w:rsidR="007956AD" w:rsidRDefault="007956AD" w:rsidP="00FD3FFF">
            <w:pPr>
              <w:pStyle w:val="TableText"/>
              <w:ind w:left="360"/>
            </w:pPr>
            <w:r>
              <w:t xml:space="preserve">Provide expert advice </w:t>
            </w:r>
          </w:p>
          <w:p w:rsidR="007956AD" w:rsidRPr="00A15CDB" w:rsidRDefault="007956AD" w:rsidP="00FD3FFF">
            <w:pPr>
              <w:pStyle w:val="TableText"/>
              <w:ind w:left="360"/>
            </w:pPr>
            <w:r>
              <w:t>Collaborate and keep informed</w:t>
            </w:r>
          </w:p>
        </w:tc>
      </w:tr>
      <w:tr w:rsidR="00BB532F" w:rsidRPr="00A8245E" w:rsidTr="00FD3FFF">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FD3FFF">
            <w:pPr>
              <w:pStyle w:val="TableText"/>
              <w:keepNext/>
              <w:rPr>
                <w:b/>
              </w:rPr>
            </w:pPr>
          </w:p>
        </w:tc>
      </w:tr>
      <w:tr w:rsidR="00BB532F" w:rsidRPr="00C978B9" w:rsidTr="00FD3FFF">
        <w:tc>
          <w:tcPr>
            <w:tcW w:w="3601" w:type="dxa"/>
            <w:tcBorders>
              <w:top w:val="single" w:sz="8" w:space="0" w:color="auto"/>
              <w:bottom w:val="single" w:sz="8" w:space="0" w:color="BCBEC0"/>
            </w:tcBorders>
          </w:tcPr>
          <w:p w:rsidR="00BB532F" w:rsidRPr="00A15CDB" w:rsidRDefault="007956AD" w:rsidP="002B1F76">
            <w:pPr>
              <w:pStyle w:val="TableText"/>
            </w:pPr>
            <w:r>
              <w:t>C</w:t>
            </w:r>
            <w:r w:rsidR="001336E8">
              <w:t>ommunity, industry and public sector</w:t>
            </w:r>
          </w:p>
        </w:tc>
        <w:tc>
          <w:tcPr>
            <w:tcW w:w="6986" w:type="dxa"/>
            <w:tcBorders>
              <w:top w:val="single" w:sz="8" w:space="0" w:color="auto"/>
              <w:bottom w:val="single" w:sz="8" w:space="0" w:color="BCBEC0"/>
            </w:tcBorders>
          </w:tcPr>
          <w:p w:rsidR="007956AD" w:rsidRDefault="007956AD" w:rsidP="00FD3FFF">
            <w:pPr>
              <w:pStyle w:val="TableText"/>
              <w:ind w:left="360"/>
            </w:pPr>
            <w:r>
              <w:t xml:space="preserve">Maintain a network with </w:t>
            </w:r>
            <w:r w:rsidR="004001D8">
              <w:t>the public sector</w:t>
            </w:r>
            <w:r>
              <w:t>, industry, the community</w:t>
            </w:r>
            <w:r w:rsidR="004001D8">
              <w:t xml:space="preserve"> and other groups</w:t>
            </w:r>
            <w:r>
              <w:t xml:space="preserve"> on regional planning and development issues</w:t>
            </w:r>
          </w:p>
          <w:p w:rsidR="007956AD" w:rsidRDefault="007956AD" w:rsidP="00FD3FFF">
            <w:pPr>
              <w:pStyle w:val="TableText"/>
              <w:ind w:left="360"/>
            </w:pPr>
            <w:r>
              <w:lastRenderedPageBreak/>
              <w:t xml:space="preserve">Deliver and explain </w:t>
            </w:r>
            <w:r w:rsidR="001336E8">
              <w:t>current EPA practices, standards and guidelines and the requirements under legislation</w:t>
            </w:r>
          </w:p>
          <w:p w:rsidR="0061486A" w:rsidRPr="00A15CDB" w:rsidRDefault="00A270FC" w:rsidP="00A270FC">
            <w:pPr>
              <w:pStyle w:val="TableText"/>
              <w:ind w:left="360"/>
            </w:pPr>
            <w:r>
              <w:t>Provide advice and negotiate on environmental improvement programs and initiatives, n</w:t>
            </w:r>
            <w:r w:rsidR="007956AD">
              <w:t xml:space="preserve">egotiate with specific industries on the application of economic mechanisms and compliance audit requirements </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Default="00603D53">
      <w:pPr>
        <w:rPr>
          <w:rFonts w:cs="Arial"/>
          <w:szCs w:val="26"/>
        </w:rPr>
      </w:pPr>
      <w:r w:rsidRPr="00603D53">
        <w:rPr>
          <w:rFonts w:cs="Arial"/>
          <w:szCs w:val="26"/>
        </w:rPr>
        <w:t>Works with minimal supervision and sets own priorities as well as those of staff under direct supervision in a project team capacity, identifying appropriate issues which are of primarily local or regional importance, as well as issues with broader implications that require liaison with other work areas of the Branch, EPA or other authorities</w:t>
      </w:r>
      <w:r w:rsidR="00A270FC">
        <w:rPr>
          <w:rFonts w:cs="Arial"/>
          <w:szCs w:val="26"/>
        </w:rPr>
        <w:t>.</w:t>
      </w:r>
    </w:p>
    <w:p w:rsidR="00A366FC" w:rsidRDefault="00A366FC" w:rsidP="00A366FC">
      <w:pPr>
        <w:pStyle w:val="Heading2"/>
      </w:pPr>
      <w:r>
        <w:t>Reporting Line</w:t>
      </w:r>
    </w:p>
    <w:p w:rsidR="00A366FC" w:rsidRPr="00A366FC" w:rsidRDefault="000060A3" w:rsidP="00A366FC">
      <w:pPr>
        <w:rPr>
          <w:lang w:val="en-AU"/>
        </w:rPr>
      </w:pPr>
      <w:r>
        <w:rPr>
          <w:lang w:val="en-AU"/>
        </w:rPr>
        <w:t xml:space="preserve">Reports to </w:t>
      </w:r>
      <w:r w:rsidR="00A270FC">
        <w:rPr>
          <w:lang w:val="en-AU"/>
        </w:rPr>
        <w:t>Unit Head</w:t>
      </w:r>
      <w:r w:rsidR="0003525A">
        <w:rPr>
          <w:lang w:val="en-AU"/>
        </w:rPr>
        <w:t>.</w:t>
      </w:r>
    </w:p>
    <w:p w:rsidR="00A366FC" w:rsidRDefault="00A366FC" w:rsidP="00A366FC">
      <w:pPr>
        <w:pStyle w:val="Heading2"/>
      </w:pPr>
      <w:r>
        <w:t>Direct Reports</w:t>
      </w:r>
    </w:p>
    <w:p w:rsidR="00A366FC" w:rsidRPr="00A366FC" w:rsidRDefault="005124AB" w:rsidP="00A366FC">
      <w:pPr>
        <w:rPr>
          <w:lang w:val="en-AU"/>
        </w:rPr>
      </w:pPr>
      <w:r>
        <w:rPr>
          <w:lang w:val="en-AU"/>
        </w:rPr>
        <w:t>Projects teams as allocated</w:t>
      </w:r>
    </w:p>
    <w:p w:rsidR="00C30A40" w:rsidRDefault="00A366FC" w:rsidP="00C30A40">
      <w:pPr>
        <w:pStyle w:val="Heading2"/>
      </w:pPr>
      <w:r>
        <w:t>Budget/Expenditure</w:t>
      </w:r>
    </w:p>
    <w:p w:rsidR="00A366FC" w:rsidRPr="00C30A40" w:rsidRDefault="005124AB" w:rsidP="00C30A40">
      <w:pPr>
        <w:pStyle w:val="Heading2"/>
        <w:rPr>
          <w:color w:val="auto"/>
        </w:rPr>
      </w:pPr>
      <w:r w:rsidRPr="00C30A40">
        <w:rPr>
          <w:b w:val="0"/>
          <w:color w:val="auto"/>
        </w:rPr>
        <w:t>As per allocated project</w:t>
      </w:r>
    </w:p>
    <w:p w:rsidR="00205A8A" w:rsidRPr="00614552" w:rsidRDefault="00205A8A" w:rsidP="00205A8A">
      <w:pPr>
        <w:tabs>
          <w:tab w:val="left" w:pos="2925"/>
        </w:tabs>
        <w:rPr>
          <w:rStyle w:val="Heading1Char"/>
        </w:rPr>
      </w:pPr>
      <w:r w:rsidRPr="00614552">
        <w:rPr>
          <w:rStyle w:val="Heading1Char"/>
        </w:rPr>
        <w:t>Essential requirements</w:t>
      </w:r>
    </w:p>
    <w:p w:rsidR="009B547F" w:rsidRPr="0003525A" w:rsidRDefault="002821EA" w:rsidP="0003525A">
      <w:pPr>
        <w:tabs>
          <w:tab w:val="left" w:pos="2925"/>
        </w:tabs>
        <w:rPr>
          <w:rFonts w:cs="Arial"/>
        </w:rPr>
      </w:pPr>
      <w:r w:rsidRPr="0003525A">
        <w:rPr>
          <w:rFonts w:cs="Arial"/>
        </w:rPr>
        <w:t>Experience and</w:t>
      </w:r>
      <w:r w:rsidR="009B547F" w:rsidRPr="0003525A">
        <w:rPr>
          <w:rFonts w:cs="Arial"/>
        </w:rPr>
        <w:t xml:space="preserve"> capability in one or more environment protection areas, including: air, water, noise, waste, chemicals, hazardous materials, radiation &amp; environmental planning.</w:t>
      </w:r>
    </w:p>
    <w:p w:rsidR="00205A8A" w:rsidRPr="0003525A" w:rsidRDefault="009B547F" w:rsidP="0003525A">
      <w:pPr>
        <w:tabs>
          <w:tab w:val="left" w:pos="2925"/>
        </w:tabs>
        <w:rPr>
          <w:rFonts w:ascii="Georgia" w:hAnsi="Georgia"/>
        </w:rPr>
      </w:pPr>
      <w:r w:rsidRPr="0003525A">
        <w:rPr>
          <w:rFonts w:cs="Arial"/>
        </w:rPr>
        <w:t>K</w:t>
      </w:r>
      <w:r w:rsidR="00205A8A" w:rsidRPr="0003525A">
        <w:rPr>
          <w:rFonts w:cs="Arial"/>
        </w:rPr>
        <w:t>nowledge of current relevant environmental legislation, with demonstrated ability to interpret other environmental legislation.</w:t>
      </w:r>
    </w:p>
    <w:p w:rsidR="00205A8A" w:rsidRPr="0003525A" w:rsidRDefault="002821EA" w:rsidP="0003525A">
      <w:pPr>
        <w:tabs>
          <w:tab w:val="left" w:pos="2925"/>
        </w:tabs>
        <w:rPr>
          <w:rFonts w:ascii="Georgia" w:hAnsi="Georgia"/>
        </w:rPr>
      </w:pPr>
      <w:r w:rsidRPr="0003525A">
        <w:rPr>
          <w:rFonts w:cs="Arial"/>
        </w:rPr>
        <w:t>E</w:t>
      </w:r>
      <w:r w:rsidR="00205A8A" w:rsidRPr="0003525A">
        <w:rPr>
          <w:rFonts w:cs="Arial"/>
        </w:rPr>
        <w:t>xperience in implementing legislation, policy and procedures in relation to protecting the environment with an understanding of the workings of government at a state and local level.</w:t>
      </w:r>
    </w:p>
    <w:p w:rsidR="00A366FC" w:rsidRPr="0003525A" w:rsidRDefault="00205A8A" w:rsidP="0003525A">
      <w:pPr>
        <w:tabs>
          <w:tab w:val="left" w:pos="2925"/>
        </w:tabs>
        <w:rPr>
          <w:rFonts w:ascii="Georgia" w:hAnsi="Georgia"/>
        </w:rPr>
      </w:pPr>
      <w:r w:rsidRPr="0003525A">
        <w:rPr>
          <w:rFonts w:cs="Arial"/>
        </w:rPr>
        <w:t>Experience in managing issues in relation to protecting the environment with capacity to undertake complex investigations</w:t>
      </w:r>
    </w:p>
    <w:p w:rsidR="00205A8A" w:rsidRPr="0003525A" w:rsidRDefault="005124AB" w:rsidP="0003525A">
      <w:pPr>
        <w:tabs>
          <w:tab w:val="left" w:pos="2925"/>
        </w:tabs>
        <w:rPr>
          <w:rFonts w:ascii="Georgia" w:hAnsi="Georgia"/>
        </w:rPr>
      </w:pPr>
      <w:r w:rsidRPr="0003525A">
        <w:rPr>
          <w:rFonts w:cs="Arial"/>
        </w:rPr>
        <w:t>C</w:t>
      </w:r>
      <w:r w:rsidR="00205A8A" w:rsidRPr="0003525A">
        <w:rPr>
          <w:rFonts w:cs="Arial"/>
        </w:rPr>
        <w:t xml:space="preserve">urrent driver’s </w:t>
      </w:r>
      <w:proofErr w:type="spellStart"/>
      <w:r w:rsidR="00205A8A" w:rsidRPr="0003525A">
        <w:rPr>
          <w:rFonts w:cs="Arial"/>
        </w:rPr>
        <w:t>licence</w:t>
      </w:r>
      <w:proofErr w:type="spellEnd"/>
      <w:r w:rsidR="00205A8A" w:rsidRPr="0003525A">
        <w:rPr>
          <w:rFonts w:cs="Arial"/>
        </w:rPr>
        <w:t>.</w:t>
      </w:r>
    </w:p>
    <w:p w:rsidR="00A366FC" w:rsidRDefault="00A366FC">
      <w:pPr>
        <w:rPr>
          <w:rFonts w:eastAsiaTheme="minorHAnsi" w:cs="Arial"/>
          <w:b/>
          <w:bCs/>
          <w:kern w:val="32"/>
          <w:sz w:val="26"/>
          <w:szCs w:val="32"/>
          <w:lang w:val="en-AU"/>
        </w:rPr>
      </w:pPr>
      <w:r>
        <w:br w:type="page"/>
      </w:r>
    </w:p>
    <w:p w:rsidR="00994DCE" w:rsidRPr="00C978B9" w:rsidRDefault="00994DCE" w:rsidP="00994DCE">
      <w:pPr>
        <w:pStyle w:val="Heading1"/>
      </w:pPr>
      <w:r w:rsidRPr="00C978B9">
        <w:lastRenderedPageBreak/>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r w:rsidR="0003525A">
        <w:rPr>
          <w:rStyle w:val="Hyperlink"/>
          <w:rFonts w:cs="Arial"/>
          <w:sz w:val="22"/>
        </w:rPr>
        <w:t>.</w:t>
      </w:r>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C30A40" w:rsidRPr="00C978B9" w:rsidTr="00A41E4E">
        <w:tc>
          <w:tcPr>
            <w:tcW w:w="2042" w:type="dxa"/>
            <w:vMerge w:val="restart"/>
            <w:tcBorders>
              <w:top w:val="gems" w:sz="8" w:space="0" w:color="BCBEC0"/>
              <w:bottom w:val="single" w:sz="8" w:space="0" w:color="BCBEC0"/>
            </w:tcBorders>
            <w:vAlign w:val="center"/>
          </w:tcPr>
          <w:p w:rsidR="00C30A40" w:rsidRPr="00C978B9" w:rsidRDefault="00C30A40" w:rsidP="00131907">
            <w:pPr>
              <w:keepNext/>
            </w:pPr>
            <w:r w:rsidRPr="00C978B9">
              <w:rPr>
                <w:noProof/>
                <w:lang w:eastAsia="en-AU"/>
              </w:rPr>
              <w:drawing>
                <wp:inline distT="0" distB="0" distL="0" distR="0" wp14:anchorId="6823D48B" wp14:editId="419DBB54">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C30A40" w:rsidRPr="00BF396F" w:rsidRDefault="00C30A40" w:rsidP="005829DC">
            <w:pPr>
              <w:pStyle w:val="TableText"/>
              <w:keepNext/>
              <w:rPr>
                <w:sz w:val="24"/>
                <w:szCs w:val="24"/>
              </w:rPr>
            </w:pPr>
            <w:r w:rsidRPr="00BF396F">
              <w:t>Display Resilience and Courage</w:t>
            </w:r>
          </w:p>
        </w:tc>
        <w:tc>
          <w:tcPr>
            <w:tcW w:w="3357" w:type="dxa"/>
            <w:tcBorders>
              <w:top w:val="gems" w:sz="8" w:space="0" w:color="BCBEC0"/>
              <w:bottom w:val="single" w:sz="8" w:space="0" w:color="BCBEC0"/>
            </w:tcBorders>
          </w:tcPr>
          <w:p w:rsidR="00C30A40" w:rsidRPr="00BF396F" w:rsidRDefault="00C30A40" w:rsidP="005829DC">
            <w:pPr>
              <w:pStyle w:val="TableText"/>
              <w:keepNext/>
            </w:pPr>
            <w:bookmarkStart w:id="10" w:name="Resilience_Level"/>
            <w:bookmarkEnd w:id="10"/>
            <w:r w:rsidRPr="00BF396F">
              <w:t>Adept</w:t>
            </w:r>
          </w:p>
        </w:tc>
      </w:tr>
      <w:tr w:rsidR="00C30A40" w:rsidRPr="00C978B9" w:rsidTr="00A8686E">
        <w:tc>
          <w:tcPr>
            <w:tcW w:w="2042" w:type="dxa"/>
            <w:vMerge/>
            <w:tcBorders>
              <w:bottom w:val="single" w:sz="4" w:space="0" w:color="BCBEC0"/>
            </w:tcBorders>
          </w:tcPr>
          <w:p w:rsidR="00C30A40" w:rsidRPr="00C978B9" w:rsidRDefault="00C30A40" w:rsidP="00131907">
            <w:pPr>
              <w:keepNext/>
            </w:pPr>
          </w:p>
        </w:tc>
        <w:tc>
          <w:tcPr>
            <w:tcW w:w="5458" w:type="dxa"/>
            <w:tcBorders>
              <w:bottom w:val="single" w:sz="4" w:space="0" w:color="BCBEC0"/>
            </w:tcBorders>
          </w:tcPr>
          <w:p w:rsidR="00C30A40" w:rsidRPr="00BF396F" w:rsidRDefault="00C30A40" w:rsidP="005829DC">
            <w:pPr>
              <w:pStyle w:val="TableText"/>
              <w:keepNext/>
              <w:rPr>
                <w:b/>
                <w:sz w:val="24"/>
                <w:szCs w:val="24"/>
              </w:rPr>
            </w:pPr>
            <w:r w:rsidRPr="00BF396F">
              <w:rPr>
                <w:b/>
              </w:rPr>
              <w:t>Act with Integrity</w:t>
            </w:r>
          </w:p>
        </w:tc>
        <w:tc>
          <w:tcPr>
            <w:tcW w:w="3357" w:type="dxa"/>
            <w:tcBorders>
              <w:bottom w:val="single" w:sz="4" w:space="0" w:color="BCBEC0"/>
            </w:tcBorders>
          </w:tcPr>
          <w:p w:rsidR="00C30A40" w:rsidRPr="00BF396F" w:rsidRDefault="00C30A40" w:rsidP="005829DC">
            <w:pPr>
              <w:pStyle w:val="TableText"/>
              <w:keepNext/>
              <w:rPr>
                <w:b/>
              </w:rPr>
            </w:pPr>
            <w:bookmarkStart w:id="11" w:name="Integrity_Level"/>
            <w:bookmarkEnd w:id="11"/>
            <w:r w:rsidRPr="00BF396F">
              <w:rPr>
                <w:b/>
              </w:rPr>
              <w:t>Adept</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t>Manage Self</w:t>
            </w:r>
          </w:p>
        </w:tc>
        <w:tc>
          <w:tcPr>
            <w:tcW w:w="3357" w:type="dxa"/>
            <w:tcBorders>
              <w:top w:val="single" w:sz="8" w:space="0" w:color="BCBEC0"/>
            </w:tcBorders>
          </w:tcPr>
          <w:p w:rsidR="00C30A40" w:rsidRPr="00BF396F" w:rsidRDefault="00C30A40" w:rsidP="005829DC">
            <w:pPr>
              <w:pStyle w:val="TableText"/>
              <w:keepNext/>
            </w:pPr>
            <w:bookmarkStart w:id="12" w:name="Self_Level"/>
            <w:bookmarkEnd w:id="12"/>
            <w:r w:rsidRPr="00BF396F">
              <w:t>Intermediate</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rPr>
                <w:sz w:val="24"/>
                <w:szCs w:val="24"/>
              </w:rPr>
            </w:pPr>
            <w:r w:rsidRPr="00BF396F">
              <w:t>Value Diversity</w:t>
            </w:r>
          </w:p>
        </w:tc>
        <w:tc>
          <w:tcPr>
            <w:tcW w:w="3357" w:type="dxa"/>
            <w:tcBorders>
              <w:top w:val="single" w:sz="8" w:space="0" w:color="BCBEC0"/>
            </w:tcBorders>
          </w:tcPr>
          <w:p w:rsidR="00C30A40" w:rsidRPr="00BF396F" w:rsidRDefault="00C30A40" w:rsidP="005829DC">
            <w:pPr>
              <w:pStyle w:val="TableText"/>
            </w:pPr>
            <w:bookmarkStart w:id="13" w:name="Value_Level"/>
            <w:bookmarkEnd w:id="13"/>
            <w:r w:rsidRPr="00BF396F">
              <w:t xml:space="preserve">Intermediate </w:t>
            </w:r>
          </w:p>
        </w:tc>
      </w:tr>
      <w:tr w:rsidR="00C30A40" w:rsidRPr="00C978B9" w:rsidTr="00A41E4E">
        <w:tc>
          <w:tcPr>
            <w:tcW w:w="2042" w:type="dxa"/>
            <w:vMerge w:val="restart"/>
            <w:tcBorders>
              <w:top w:val="single" w:sz="12" w:space="0" w:color="auto"/>
              <w:bottom w:val="single" w:sz="8" w:space="0" w:color="BCBEC0"/>
            </w:tcBorders>
            <w:vAlign w:val="center"/>
          </w:tcPr>
          <w:p w:rsidR="00C30A40" w:rsidRPr="00C978B9" w:rsidRDefault="00C30A40" w:rsidP="00131907">
            <w:pPr>
              <w:keepNext/>
            </w:pPr>
            <w:r w:rsidRPr="00C978B9">
              <w:rPr>
                <w:noProof/>
                <w:lang w:eastAsia="en-AU"/>
              </w:rPr>
              <w:drawing>
                <wp:inline distT="0" distB="0" distL="0" distR="0" wp14:anchorId="5B284F65" wp14:editId="347AB34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C30A40" w:rsidRPr="00170E39" w:rsidRDefault="00C30A40" w:rsidP="005829DC">
            <w:pPr>
              <w:pStyle w:val="TableText"/>
              <w:keepNext/>
              <w:rPr>
                <w:b/>
                <w:sz w:val="24"/>
                <w:szCs w:val="24"/>
              </w:rPr>
            </w:pPr>
            <w:r w:rsidRPr="00170E39">
              <w:rPr>
                <w:b/>
              </w:rPr>
              <w:t>Communicate Effectively</w:t>
            </w:r>
          </w:p>
        </w:tc>
        <w:tc>
          <w:tcPr>
            <w:tcW w:w="3357" w:type="dxa"/>
            <w:tcBorders>
              <w:top w:val="single" w:sz="12" w:space="0" w:color="auto"/>
              <w:bottom w:val="single" w:sz="8" w:space="0" w:color="BCBEC0"/>
            </w:tcBorders>
          </w:tcPr>
          <w:p w:rsidR="00C30A40" w:rsidRPr="00BF396F" w:rsidRDefault="00C30A40" w:rsidP="005829DC">
            <w:pPr>
              <w:pStyle w:val="TableText"/>
              <w:keepNext/>
              <w:rPr>
                <w:b/>
              </w:rPr>
            </w:pPr>
            <w:bookmarkStart w:id="14" w:name="Comm_Level"/>
            <w:bookmarkEnd w:id="14"/>
            <w:r w:rsidRPr="00BF396F">
              <w:rPr>
                <w:b/>
              </w:rPr>
              <w:t>Advanced</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t>Commit to Customer Service</w:t>
            </w:r>
          </w:p>
        </w:tc>
        <w:tc>
          <w:tcPr>
            <w:tcW w:w="3357" w:type="dxa"/>
            <w:tcBorders>
              <w:top w:val="single" w:sz="8" w:space="0" w:color="BCBEC0"/>
            </w:tcBorders>
          </w:tcPr>
          <w:p w:rsidR="00C30A40" w:rsidRPr="00BF396F" w:rsidRDefault="00C30A40" w:rsidP="005829DC">
            <w:pPr>
              <w:pStyle w:val="TableText"/>
              <w:keepNext/>
            </w:pPr>
            <w:bookmarkStart w:id="15" w:name="CustServ_Level"/>
            <w:bookmarkEnd w:id="15"/>
            <w:r w:rsidRPr="00BF396F">
              <w:t>Intermediate</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t>Work Collaboratively</w:t>
            </w:r>
          </w:p>
        </w:tc>
        <w:tc>
          <w:tcPr>
            <w:tcW w:w="3357" w:type="dxa"/>
            <w:tcBorders>
              <w:top w:val="single" w:sz="8" w:space="0" w:color="BCBEC0"/>
            </w:tcBorders>
          </w:tcPr>
          <w:p w:rsidR="00C30A40" w:rsidRPr="00BF396F" w:rsidRDefault="00C30A40" w:rsidP="005829DC">
            <w:pPr>
              <w:pStyle w:val="TableText"/>
              <w:keepNext/>
            </w:pPr>
            <w:bookmarkStart w:id="16" w:name="Work_Col_Level"/>
            <w:bookmarkEnd w:id="16"/>
            <w:r w:rsidRPr="00BF396F">
              <w:t>Adept</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rPr>
                <w:b/>
                <w:sz w:val="24"/>
                <w:szCs w:val="24"/>
              </w:rPr>
            </w:pPr>
            <w:r w:rsidRPr="00BF396F">
              <w:rPr>
                <w:b/>
                <w:bCs/>
              </w:rPr>
              <w:t>Influence and Negotiate</w:t>
            </w:r>
          </w:p>
        </w:tc>
        <w:tc>
          <w:tcPr>
            <w:tcW w:w="3357" w:type="dxa"/>
            <w:tcBorders>
              <w:top w:val="single" w:sz="8" w:space="0" w:color="BCBEC0"/>
            </w:tcBorders>
          </w:tcPr>
          <w:p w:rsidR="00C30A40" w:rsidRPr="00BF396F" w:rsidRDefault="00C30A40" w:rsidP="005829DC">
            <w:pPr>
              <w:pStyle w:val="TableText"/>
              <w:rPr>
                <w:b/>
              </w:rPr>
            </w:pPr>
            <w:bookmarkStart w:id="17" w:name="Negotiate_Level"/>
            <w:bookmarkEnd w:id="17"/>
            <w:r w:rsidRPr="00BF396F">
              <w:rPr>
                <w:b/>
              </w:rPr>
              <w:t>Adept</w:t>
            </w:r>
          </w:p>
        </w:tc>
      </w:tr>
      <w:tr w:rsidR="00C30A40" w:rsidRPr="00C978B9" w:rsidTr="00A41E4E">
        <w:tc>
          <w:tcPr>
            <w:tcW w:w="2042" w:type="dxa"/>
            <w:vMerge w:val="restart"/>
            <w:tcBorders>
              <w:top w:val="single" w:sz="12" w:space="0" w:color="auto"/>
              <w:bottom w:val="single" w:sz="8" w:space="0" w:color="BCBEC0"/>
            </w:tcBorders>
            <w:vAlign w:val="center"/>
          </w:tcPr>
          <w:p w:rsidR="00C30A40" w:rsidRPr="00C978B9" w:rsidRDefault="00C30A40" w:rsidP="00131907">
            <w:pPr>
              <w:keepNext/>
            </w:pPr>
            <w:r w:rsidRPr="00C978B9">
              <w:rPr>
                <w:noProof/>
                <w:lang w:eastAsia="en-AU"/>
              </w:rPr>
              <w:drawing>
                <wp:inline distT="0" distB="0" distL="0" distR="0" wp14:anchorId="623C7F9C" wp14:editId="45F87530">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C30A40" w:rsidRPr="00BF396F" w:rsidRDefault="00C30A40" w:rsidP="005829DC">
            <w:pPr>
              <w:pStyle w:val="TableText"/>
              <w:keepNext/>
              <w:rPr>
                <w:b/>
                <w:sz w:val="24"/>
                <w:szCs w:val="24"/>
              </w:rPr>
            </w:pPr>
            <w:r w:rsidRPr="00BF396F">
              <w:rPr>
                <w:b/>
              </w:rPr>
              <w:t>Deliver Results</w:t>
            </w:r>
          </w:p>
        </w:tc>
        <w:tc>
          <w:tcPr>
            <w:tcW w:w="3357" w:type="dxa"/>
            <w:tcBorders>
              <w:top w:val="single" w:sz="12" w:space="0" w:color="auto"/>
              <w:bottom w:val="single" w:sz="8" w:space="0" w:color="BCBEC0"/>
            </w:tcBorders>
          </w:tcPr>
          <w:p w:rsidR="00C30A40" w:rsidRPr="00BF396F" w:rsidRDefault="00C30A40" w:rsidP="005829DC">
            <w:pPr>
              <w:pStyle w:val="TableText"/>
              <w:keepNext/>
              <w:rPr>
                <w:b/>
              </w:rPr>
            </w:pPr>
            <w:bookmarkStart w:id="18" w:name="Deliver_Level"/>
            <w:bookmarkEnd w:id="18"/>
            <w:r w:rsidRPr="00BF396F">
              <w:rPr>
                <w:b/>
              </w:rPr>
              <w:t>Adept</w:t>
            </w:r>
          </w:p>
        </w:tc>
      </w:tr>
      <w:tr w:rsidR="00C30A40" w:rsidRPr="00C978B9" w:rsidTr="00A41E4E">
        <w:tc>
          <w:tcPr>
            <w:tcW w:w="2042" w:type="dxa"/>
            <w:vMerge/>
            <w:tcBorders>
              <w:top w:val="single" w:sz="8" w:space="0" w:color="BCBEC0"/>
            </w:tcBorders>
          </w:tcPr>
          <w:p w:rsidR="00C30A40" w:rsidRPr="00C978B9" w:rsidRDefault="00C30A40" w:rsidP="00131907">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rPr>
                <w:bCs/>
              </w:rPr>
              <w:t>Plan and Prioritise</w:t>
            </w:r>
          </w:p>
        </w:tc>
        <w:tc>
          <w:tcPr>
            <w:tcW w:w="3357" w:type="dxa"/>
            <w:tcBorders>
              <w:top w:val="single" w:sz="8" w:space="0" w:color="BCBEC0"/>
            </w:tcBorders>
          </w:tcPr>
          <w:p w:rsidR="00C30A40" w:rsidRPr="00BF396F" w:rsidRDefault="00C30A40" w:rsidP="005829DC">
            <w:pPr>
              <w:pStyle w:val="TableText"/>
              <w:keepNext/>
            </w:pPr>
            <w:bookmarkStart w:id="19" w:name="Plan_Level"/>
            <w:bookmarkEnd w:id="19"/>
            <w:r w:rsidRPr="00BF396F">
              <w:t>Intermediate</w:t>
            </w:r>
          </w:p>
        </w:tc>
      </w:tr>
      <w:tr w:rsidR="00C30A40" w:rsidRPr="00C978B9" w:rsidTr="00A8686E">
        <w:tc>
          <w:tcPr>
            <w:tcW w:w="2042" w:type="dxa"/>
            <w:vMerge/>
            <w:tcBorders>
              <w:bottom w:val="single" w:sz="4" w:space="0" w:color="BCBEC0"/>
            </w:tcBorders>
          </w:tcPr>
          <w:p w:rsidR="00C30A40" w:rsidRPr="00C978B9" w:rsidRDefault="00C30A40" w:rsidP="00131907">
            <w:pPr>
              <w:keepNext/>
            </w:pPr>
          </w:p>
        </w:tc>
        <w:tc>
          <w:tcPr>
            <w:tcW w:w="5458" w:type="dxa"/>
            <w:tcBorders>
              <w:bottom w:val="single" w:sz="4" w:space="0" w:color="BCBEC0"/>
            </w:tcBorders>
          </w:tcPr>
          <w:p w:rsidR="00C30A40" w:rsidRPr="00BF396F" w:rsidRDefault="00C30A40" w:rsidP="005829DC">
            <w:pPr>
              <w:pStyle w:val="TableText"/>
              <w:keepNext/>
              <w:rPr>
                <w:b/>
                <w:sz w:val="24"/>
                <w:szCs w:val="24"/>
              </w:rPr>
            </w:pPr>
            <w:r w:rsidRPr="00BF396F">
              <w:rPr>
                <w:b/>
                <w:bCs/>
              </w:rPr>
              <w:t>Think and Solve Problems</w:t>
            </w:r>
          </w:p>
        </w:tc>
        <w:tc>
          <w:tcPr>
            <w:tcW w:w="3357" w:type="dxa"/>
            <w:tcBorders>
              <w:bottom w:val="single" w:sz="4" w:space="0" w:color="BCBEC0"/>
            </w:tcBorders>
          </w:tcPr>
          <w:p w:rsidR="00C30A40" w:rsidRPr="00BF396F" w:rsidRDefault="00C30A40" w:rsidP="005829DC">
            <w:pPr>
              <w:pStyle w:val="TableText"/>
              <w:keepNext/>
              <w:rPr>
                <w:b/>
              </w:rPr>
            </w:pPr>
            <w:bookmarkStart w:id="20" w:name="Think_Level"/>
            <w:bookmarkEnd w:id="20"/>
            <w:r w:rsidRPr="00BF396F">
              <w:rPr>
                <w:b/>
              </w:rPr>
              <w:t>Adept</w:t>
            </w:r>
          </w:p>
        </w:tc>
      </w:tr>
      <w:tr w:rsidR="00C30A40" w:rsidRPr="00C978B9" w:rsidTr="00616901">
        <w:tc>
          <w:tcPr>
            <w:tcW w:w="2042" w:type="dxa"/>
            <w:vMerge/>
            <w:tcBorders>
              <w:top w:val="single" w:sz="8" w:space="0" w:color="BCBEC0"/>
              <w:bottom w:val="single" w:sz="12" w:space="0" w:color="auto"/>
            </w:tcBorders>
          </w:tcPr>
          <w:p w:rsidR="00C30A40" w:rsidRPr="00C978B9" w:rsidRDefault="00C30A40" w:rsidP="00131907">
            <w:pPr>
              <w:keepNext/>
            </w:pPr>
          </w:p>
        </w:tc>
        <w:tc>
          <w:tcPr>
            <w:tcW w:w="5458" w:type="dxa"/>
            <w:tcBorders>
              <w:top w:val="single" w:sz="8" w:space="0" w:color="BCBEC0"/>
              <w:bottom w:val="single" w:sz="12" w:space="0" w:color="auto"/>
            </w:tcBorders>
          </w:tcPr>
          <w:p w:rsidR="00C30A40" w:rsidRPr="00BF396F" w:rsidRDefault="00C30A40" w:rsidP="005829DC">
            <w:pPr>
              <w:pStyle w:val="TableText"/>
              <w:rPr>
                <w:sz w:val="24"/>
                <w:szCs w:val="24"/>
              </w:rPr>
            </w:pPr>
            <w:r w:rsidRPr="00BF396F">
              <w:t>Demonstrate Accountability</w:t>
            </w:r>
          </w:p>
        </w:tc>
        <w:tc>
          <w:tcPr>
            <w:tcW w:w="3357" w:type="dxa"/>
            <w:tcBorders>
              <w:top w:val="single" w:sz="8" w:space="0" w:color="BCBEC0"/>
              <w:bottom w:val="single" w:sz="12" w:space="0" w:color="auto"/>
            </w:tcBorders>
          </w:tcPr>
          <w:p w:rsidR="00C30A40" w:rsidRPr="00BF396F" w:rsidRDefault="00C30A40" w:rsidP="005829DC">
            <w:pPr>
              <w:pStyle w:val="TableText"/>
            </w:pPr>
            <w:bookmarkStart w:id="21" w:name="Account_Level"/>
            <w:bookmarkEnd w:id="21"/>
            <w:r w:rsidRPr="00BF396F">
              <w:t>Intermediate</w:t>
            </w:r>
          </w:p>
        </w:tc>
      </w:tr>
      <w:tr w:rsidR="00C30A40" w:rsidRPr="00C978B9" w:rsidTr="00A41E4E">
        <w:tc>
          <w:tcPr>
            <w:tcW w:w="2042" w:type="dxa"/>
            <w:vMerge w:val="restart"/>
            <w:tcBorders>
              <w:top w:val="single" w:sz="12" w:space="0" w:color="auto"/>
              <w:bottom w:val="single" w:sz="8" w:space="0" w:color="BCBEC0"/>
            </w:tcBorders>
            <w:vAlign w:val="center"/>
          </w:tcPr>
          <w:p w:rsidR="00C30A40" w:rsidRPr="00C978B9" w:rsidRDefault="00C30A40" w:rsidP="00131907">
            <w:pPr>
              <w:keepNext/>
            </w:pPr>
            <w:r w:rsidRPr="00C978B9">
              <w:rPr>
                <w:noProof/>
                <w:lang w:eastAsia="en-AU"/>
              </w:rPr>
              <w:drawing>
                <wp:inline distT="0" distB="0" distL="0" distR="0" wp14:anchorId="67B49365" wp14:editId="1587652F">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C30A40" w:rsidRPr="00BF396F" w:rsidRDefault="00C30A40" w:rsidP="005829DC">
            <w:pPr>
              <w:pStyle w:val="TableText"/>
              <w:keepNext/>
              <w:rPr>
                <w:sz w:val="24"/>
                <w:szCs w:val="24"/>
              </w:rPr>
            </w:pPr>
            <w:r w:rsidRPr="00BF396F">
              <w:t>Finance</w:t>
            </w:r>
          </w:p>
        </w:tc>
        <w:tc>
          <w:tcPr>
            <w:tcW w:w="3357" w:type="dxa"/>
            <w:tcBorders>
              <w:top w:val="single" w:sz="12" w:space="0" w:color="auto"/>
              <w:bottom w:val="single" w:sz="8" w:space="0" w:color="BCBEC0"/>
            </w:tcBorders>
          </w:tcPr>
          <w:p w:rsidR="00C30A40" w:rsidRPr="00BF396F" w:rsidRDefault="00C30A40" w:rsidP="005829DC">
            <w:pPr>
              <w:pStyle w:val="TableText"/>
              <w:keepNext/>
            </w:pPr>
            <w:bookmarkStart w:id="22" w:name="Fin_Level"/>
            <w:bookmarkEnd w:id="22"/>
            <w:r w:rsidRPr="00BF396F">
              <w:t>Intermediate</w:t>
            </w:r>
          </w:p>
        </w:tc>
      </w:tr>
      <w:tr w:rsidR="00C30A40" w:rsidRPr="00C978B9" w:rsidTr="00616901">
        <w:tc>
          <w:tcPr>
            <w:tcW w:w="2042" w:type="dxa"/>
            <w:vMerge/>
            <w:tcBorders>
              <w:bottom w:val="single" w:sz="8" w:space="0" w:color="BCBEC0"/>
            </w:tcBorders>
          </w:tcPr>
          <w:p w:rsidR="00C30A40" w:rsidRPr="00C978B9" w:rsidRDefault="00C30A40" w:rsidP="00131907">
            <w:pPr>
              <w:keepNext/>
            </w:pPr>
          </w:p>
        </w:tc>
        <w:tc>
          <w:tcPr>
            <w:tcW w:w="5458" w:type="dxa"/>
            <w:tcBorders>
              <w:bottom w:val="single" w:sz="8" w:space="0" w:color="BCBEC0"/>
            </w:tcBorders>
          </w:tcPr>
          <w:p w:rsidR="00C30A40" w:rsidRPr="00BF396F" w:rsidRDefault="00C30A40" w:rsidP="005829DC">
            <w:pPr>
              <w:pStyle w:val="TableText"/>
              <w:keepNext/>
              <w:rPr>
                <w:sz w:val="24"/>
                <w:szCs w:val="24"/>
              </w:rPr>
            </w:pPr>
            <w:r w:rsidRPr="00BF396F">
              <w:rPr>
                <w:bCs/>
              </w:rPr>
              <w:t>Technology</w:t>
            </w:r>
          </w:p>
        </w:tc>
        <w:tc>
          <w:tcPr>
            <w:tcW w:w="3357" w:type="dxa"/>
            <w:tcBorders>
              <w:bottom w:val="single" w:sz="8" w:space="0" w:color="BCBEC0"/>
            </w:tcBorders>
          </w:tcPr>
          <w:p w:rsidR="00C30A40" w:rsidRPr="00BF396F" w:rsidRDefault="00C30A40" w:rsidP="005829DC">
            <w:pPr>
              <w:pStyle w:val="TableText"/>
              <w:keepNext/>
            </w:pPr>
            <w:bookmarkStart w:id="23" w:name="Tech_Level"/>
            <w:bookmarkEnd w:id="23"/>
            <w:r w:rsidRPr="00BF396F">
              <w:t>Intermediate</w:t>
            </w:r>
          </w:p>
        </w:tc>
      </w:tr>
      <w:tr w:rsidR="00C30A40" w:rsidRPr="00C978B9" w:rsidTr="00616901">
        <w:tc>
          <w:tcPr>
            <w:tcW w:w="2042" w:type="dxa"/>
            <w:vMerge/>
            <w:tcBorders>
              <w:top w:val="single" w:sz="8" w:space="0" w:color="BCBEC0"/>
              <w:bottom w:val="single" w:sz="8" w:space="0" w:color="BCBEC0"/>
            </w:tcBorders>
          </w:tcPr>
          <w:p w:rsidR="00C30A40" w:rsidRPr="00C978B9" w:rsidRDefault="00C30A40" w:rsidP="00131907">
            <w:pPr>
              <w:keepNext/>
            </w:pPr>
          </w:p>
        </w:tc>
        <w:tc>
          <w:tcPr>
            <w:tcW w:w="5458" w:type="dxa"/>
            <w:tcBorders>
              <w:top w:val="single" w:sz="8" w:space="0" w:color="BCBEC0"/>
              <w:bottom w:val="single" w:sz="8" w:space="0" w:color="BCBEC0"/>
            </w:tcBorders>
          </w:tcPr>
          <w:p w:rsidR="00C30A40" w:rsidRPr="00BF396F" w:rsidRDefault="00C30A40" w:rsidP="005829DC">
            <w:pPr>
              <w:pStyle w:val="TableText"/>
              <w:keepNext/>
              <w:rPr>
                <w:sz w:val="24"/>
                <w:szCs w:val="24"/>
              </w:rPr>
            </w:pPr>
            <w:r w:rsidRPr="00BF396F">
              <w:t>Procurement and Contract Management</w:t>
            </w:r>
          </w:p>
        </w:tc>
        <w:tc>
          <w:tcPr>
            <w:tcW w:w="3357" w:type="dxa"/>
            <w:tcBorders>
              <w:top w:val="single" w:sz="8" w:space="0" w:color="BCBEC0"/>
              <w:bottom w:val="single" w:sz="8" w:space="0" w:color="BCBEC0"/>
            </w:tcBorders>
          </w:tcPr>
          <w:p w:rsidR="00C30A40" w:rsidRPr="00BF396F" w:rsidRDefault="00C30A40" w:rsidP="005829DC">
            <w:pPr>
              <w:pStyle w:val="TableText"/>
              <w:keepNext/>
            </w:pPr>
            <w:bookmarkStart w:id="24" w:name="Procure_Level"/>
            <w:bookmarkEnd w:id="24"/>
            <w:r w:rsidRPr="00BF396F">
              <w:t>Intermediate</w:t>
            </w:r>
          </w:p>
        </w:tc>
      </w:tr>
      <w:tr w:rsidR="00C30A40" w:rsidRPr="00C978B9" w:rsidTr="00616901">
        <w:tc>
          <w:tcPr>
            <w:tcW w:w="2042" w:type="dxa"/>
            <w:vMerge/>
            <w:tcBorders>
              <w:bottom w:val="single" w:sz="4" w:space="0" w:color="auto"/>
            </w:tcBorders>
          </w:tcPr>
          <w:p w:rsidR="00C30A40" w:rsidRPr="00C978B9" w:rsidRDefault="00C30A40" w:rsidP="00131907">
            <w:pPr>
              <w:keepNext/>
            </w:pPr>
          </w:p>
        </w:tc>
        <w:tc>
          <w:tcPr>
            <w:tcW w:w="5458" w:type="dxa"/>
            <w:tcBorders>
              <w:bottom w:val="single" w:sz="4" w:space="0" w:color="auto"/>
            </w:tcBorders>
          </w:tcPr>
          <w:p w:rsidR="00C30A40" w:rsidRPr="00BF396F" w:rsidRDefault="00C30A40" w:rsidP="005829DC">
            <w:pPr>
              <w:pStyle w:val="TableText"/>
              <w:rPr>
                <w:b/>
                <w:sz w:val="24"/>
                <w:szCs w:val="24"/>
              </w:rPr>
            </w:pPr>
            <w:r w:rsidRPr="00BF396F">
              <w:rPr>
                <w:b/>
              </w:rPr>
              <w:t>Project Management</w:t>
            </w:r>
          </w:p>
        </w:tc>
        <w:tc>
          <w:tcPr>
            <w:tcW w:w="3357" w:type="dxa"/>
            <w:tcBorders>
              <w:bottom w:val="single" w:sz="4" w:space="0" w:color="auto"/>
            </w:tcBorders>
          </w:tcPr>
          <w:p w:rsidR="00C30A40" w:rsidRPr="00BF396F" w:rsidRDefault="00C30A40" w:rsidP="005829DC">
            <w:pPr>
              <w:pStyle w:val="TableText"/>
              <w:rPr>
                <w:b/>
              </w:rPr>
            </w:pPr>
            <w:bookmarkStart w:id="25" w:name="Project_Level"/>
            <w:bookmarkEnd w:id="25"/>
            <w:r w:rsidRPr="00BF396F">
              <w:rPr>
                <w:b/>
              </w:rPr>
              <w:t>Adept</w:t>
            </w:r>
          </w:p>
        </w:tc>
      </w:tr>
      <w:tr w:rsidR="00C30A40" w:rsidRPr="00610758" w:rsidTr="00616901">
        <w:tblPrEx>
          <w:tblBorders>
            <w:top w:val="single" w:sz="8" w:space="0" w:color="auto"/>
            <w:bottom w:val="single" w:sz="8" w:space="0" w:color="BCBEC0"/>
          </w:tblBorders>
        </w:tblPrEx>
        <w:tc>
          <w:tcPr>
            <w:tcW w:w="2042" w:type="dxa"/>
            <w:vMerge w:val="restart"/>
            <w:tcBorders>
              <w:top w:val="single" w:sz="4" w:space="0" w:color="auto"/>
            </w:tcBorders>
          </w:tcPr>
          <w:p w:rsidR="00C30A40" w:rsidRPr="00C978B9" w:rsidRDefault="00C30A40" w:rsidP="00F70234">
            <w:pPr>
              <w:keepNext/>
            </w:pPr>
            <w:r w:rsidRPr="00C978B9">
              <w:rPr>
                <w:noProof/>
                <w:lang w:eastAsia="en-AU"/>
              </w:rPr>
              <w:drawing>
                <wp:inline distT="0" distB="0" distL="0" distR="0" wp14:anchorId="0641673D" wp14:editId="16223441">
                  <wp:extent cx="881037" cy="881037"/>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4" w:space="0" w:color="auto"/>
            </w:tcBorders>
          </w:tcPr>
          <w:p w:rsidR="00C30A40" w:rsidRPr="00BF396F" w:rsidRDefault="00C30A40" w:rsidP="005829DC">
            <w:pPr>
              <w:pStyle w:val="TableText"/>
              <w:keepNext/>
              <w:rPr>
                <w:b/>
                <w:sz w:val="24"/>
                <w:szCs w:val="24"/>
              </w:rPr>
            </w:pPr>
            <w:r w:rsidRPr="00BF396F">
              <w:rPr>
                <w:b/>
              </w:rPr>
              <w:t>Manage and Develop People</w:t>
            </w:r>
          </w:p>
        </w:tc>
        <w:tc>
          <w:tcPr>
            <w:tcW w:w="3357" w:type="dxa"/>
            <w:tcBorders>
              <w:top w:val="single" w:sz="4" w:space="0" w:color="auto"/>
            </w:tcBorders>
          </w:tcPr>
          <w:p w:rsidR="00C30A40" w:rsidRPr="00BF396F" w:rsidRDefault="00C30A40" w:rsidP="005829DC">
            <w:pPr>
              <w:pStyle w:val="TableText"/>
              <w:keepNext/>
              <w:rPr>
                <w:b/>
              </w:rPr>
            </w:pPr>
            <w:bookmarkStart w:id="26" w:name="Develop_Level"/>
            <w:bookmarkEnd w:id="26"/>
            <w:r w:rsidRPr="00BF396F">
              <w:rPr>
                <w:b/>
              </w:rPr>
              <w:t>Adept</w:t>
            </w:r>
          </w:p>
        </w:tc>
      </w:tr>
      <w:tr w:rsidR="00C30A40" w:rsidRPr="00A15CDB" w:rsidTr="00616901">
        <w:tblPrEx>
          <w:tblBorders>
            <w:top w:val="single" w:sz="8" w:space="0" w:color="auto"/>
            <w:bottom w:val="single" w:sz="8" w:space="0" w:color="BCBEC0"/>
          </w:tblBorders>
        </w:tblPrEx>
        <w:tc>
          <w:tcPr>
            <w:tcW w:w="2042" w:type="dxa"/>
            <w:vMerge/>
            <w:tcBorders>
              <w:top w:val="single" w:sz="8" w:space="0" w:color="BCBEC0"/>
            </w:tcBorders>
          </w:tcPr>
          <w:p w:rsidR="00C30A40" w:rsidRPr="00C978B9" w:rsidRDefault="00C30A40" w:rsidP="00F70234">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t>Inspire Direction and Purpose</w:t>
            </w:r>
          </w:p>
        </w:tc>
        <w:tc>
          <w:tcPr>
            <w:tcW w:w="3357" w:type="dxa"/>
            <w:tcBorders>
              <w:top w:val="single" w:sz="8" w:space="0" w:color="BCBEC0"/>
            </w:tcBorders>
          </w:tcPr>
          <w:p w:rsidR="00C30A40" w:rsidRPr="00BF396F" w:rsidRDefault="00C30A40" w:rsidP="005829DC">
            <w:pPr>
              <w:pStyle w:val="TableText"/>
              <w:keepNext/>
            </w:pPr>
            <w:bookmarkStart w:id="27" w:name="Direct_Level"/>
            <w:bookmarkEnd w:id="27"/>
            <w:r w:rsidRPr="00BF396F">
              <w:t>Intermediate</w:t>
            </w:r>
          </w:p>
        </w:tc>
      </w:tr>
      <w:tr w:rsidR="00C30A40" w:rsidRPr="00A15CDB" w:rsidTr="00616901">
        <w:tblPrEx>
          <w:tblBorders>
            <w:top w:val="single" w:sz="8" w:space="0" w:color="auto"/>
            <w:bottom w:val="single" w:sz="8" w:space="0" w:color="BCBEC0"/>
          </w:tblBorders>
        </w:tblPrEx>
        <w:tc>
          <w:tcPr>
            <w:tcW w:w="2042" w:type="dxa"/>
            <w:vMerge/>
            <w:tcBorders>
              <w:top w:val="single" w:sz="8" w:space="0" w:color="BCBEC0"/>
            </w:tcBorders>
          </w:tcPr>
          <w:p w:rsidR="00C30A40" w:rsidRPr="00C978B9" w:rsidRDefault="00C30A40" w:rsidP="00F70234">
            <w:pPr>
              <w:keepNext/>
            </w:pPr>
          </w:p>
        </w:tc>
        <w:tc>
          <w:tcPr>
            <w:tcW w:w="5458" w:type="dxa"/>
            <w:tcBorders>
              <w:top w:val="single" w:sz="8" w:space="0" w:color="BCBEC0"/>
            </w:tcBorders>
          </w:tcPr>
          <w:p w:rsidR="00C30A40" w:rsidRPr="00BF396F" w:rsidRDefault="00C30A40" w:rsidP="005829DC">
            <w:pPr>
              <w:pStyle w:val="TableText"/>
              <w:keepNext/>
              <w:rPr>
                <w:sz w:val="24"/>
                <w:szCs w:val="24"/>
              </w:rPr>
            </w:pPr>
            <w:r w:rsidRPr="00BF396F">
              <w:rPr>
                <w:bCs/>
              </w:rPr>
              <w:t>Optimise Business Outcomes</w:t>
            </w:r>
          </w:p>
        </w:tc>
        <w:tc>
          <w:tcPr>
            <w:tcW w:w="3357" w:type="dxa"/>
            <w:tcBorders>
              <w:top w:val="single" w:sz="8" w:space="0" w:color="BCBEC0"/>
            </w:tcBorders>
          </w:tcPr>
          <w:p w:rsidR="00C30A40" w:rsidRPr="00BF396F" w:rsidRDefault="00C30A40" w:rsidP="005829DC">
            <w:pPr>
              <w:pStyle w:val="TableText"/>
              <w:keepNext/>
            </w:pPr>
            <w:bookmarkStart w:id="28" w:name="Outcomes_Level"/>
            <w:bookmarkEnd w:id="28"/>
            <w:r w:rsidRPr="00BF396F">
              <w:t>Intermediate</w:t>
            </w:r>
          </w:p>
        </w:tc>
      </w:tr>
      <w:tr w:rsidR="00C30A40" w:rsidRPr="00A15CDB" w:rsidTr="00616901">
        <w:tblPrEx>
          <w:tblBorders>
            <w:top w:val="single" w:sz="8" w:space="0" w:color="auto"/>
            <w:bottom w:val="single" w:sz="8" w:space="0" w:color="BCBEC0"/>
          </w:tblBorders>
        </w:tblPrEx>
        <w:tc>
          <w:tcPr>
            <w:tcW w:w="2042" w:type="dxa"/>
            <w:vMerge/>
            <w:tcBorders>
              <w:top w:val="single" w:sz="8" w:space="0" w:color="BCBEC0"/>
              <w:bottom w:val="single" w:sz="4" w:space="0" w:color="auto"/>
            </w:tcBorders>
          </w:tcPr>
          <w:p w:rsidR="00C30A40" w:rsidRPr="00C978B9" w:rsidRDefault="00C30A40" w:rsidP="00F70234">
            <w:pPr>
              <w:keepNext/>
            </w:pPr>
          </w:p>
        </w:tc>
        <w:tc>
          <w:tcPr>
            <w:tcW w:w="5458" w:type="dxa"/>
            <w:tcBorders>
              <w:top w:val="single" w:sz="8" w:space="0" w:color="BCBEC0"/>
              <w:bottom w:val="single" w:sz="4" w:space="0" w:color="auto"/>
            </w:tcBorders>
          </w:tcPr>
          <w:p w:rsidR="00C30A40" w:rsidRPr="00BF396F" w:rsidRDefault="00C30A40" w:rsidP="005829DC">
            <w:pPr>
              <w:pStyle w:val="TableText"/>
              <w:rPr>
                <w:sz w:val="24"/>
                <w:szCs w:val="24"/>
              </w:rPr>
            </w:pPr>
            <w:r w:rsidRPr="00BF396F">
              <w:t>Manage Reform and Change</w:t>
            </w:r>
          </w:p>
        </w:tc>
        <w:tc>
          <w:tcPr>
            <w:tcW w:w="3357" w:type="dxa"/>
            <w:tcBorders>
              <w:top w:val="single" w:sz="8" w:space="0" w:color="BCBEC0"/>
              <w:bottom w:val="single" w:sz="4" w:space="0" w:color="auto"/>
            </w:tcBorders>
          </w:tcPr>
          <w:p w:rsidR="00C30A40" w:rsidRPr="00BF396F" w:rsidRDefault="00C30A40" w:rsidP="005829DC">
            <w:pPr>
              <w:pStyle w:val="TableText"/>
            </w:pPr>
            <w:bookmarkStart w:id="29" w:name="Reform_Level"/>
            <w:bookmarkEnd w:id="29"/>
            <w:r w:rsidRPr="00BF396F">
              <w:t>Intermediate</w:t>
            </w:r>
          </w:p>
        </w:tc>
      </w:tr>
    </w:tbl>
    <w:p w:rsidR="002D36BB" w:rsidRDefault="002D36BB" w:rsidP="008E08E3"/>
    <w:p w:rsidR="0059651A" w:rsidRDefault="0059651A">
      <w:pPr>
        <w:rPr>
          <w:rFonts w:eastAsiaTheme="minorHAnsi" w:cs="Arial"/>
          <w:b/>
          <w:bCs/>
          <w:iCs/>
          <w:color w:val="6D6E71"/>
          <w:sz w:val="24"/>
          <w:szCs w:val="28"/>
          <w:lang w:val="en-AU"/>
        </w:rPr>
      </w:pPr>
      <w:r>
        <w:br w:type="page"/>
      </w:r>
    </w:p>
    <w:p w:rsidR="0059651A" w:rsidRPr="00BF396F" w:rsidRDefault="0059651A" w:rsidP="0059651A">
      <w:pPr>
        <w:pStyle w:val="Heading2"/>
      </w:pPr>
      <w:r w:rsidRPr="00BF396F">
        <w:lastRenderedPageBreak/>
        <w:t>Focus capabilities</w:t>
      </w:r>
    </w:p>
    <w:p w:rsidR="0059651A" w:rsidRPr="00BF396F" w:rsidRDefault="0059651A" w:rsidP="0059651A">
      <w:r w:rsidRPr="00BF396F">
        <w:t xml:space="preserve">The focus capabilities for the role are the capabilities in which occupants must demonstrate immediate competence. The </w:t>
      </w:r>
      <w:proofErr w:type="spellStart"/>
      <w:r w:rsidRPr="00BF396F">
        <w:t>behavioural</w:t>
      </w:r>
      <w:proofErr w:type="spellEnd"/>
      <w:r w:rsidRPr="00BF396F">
        <w:t xml:space="preserve"> indicators provide examples of the types of </w:t>
      </w:r>
      <w:proofErr w:type="spellStart"/>
      <w:r w:rsidRPr="00BF396F">
        <w:t>behaviours</w:t>
      </w:r>
      <w:proofErr w:type="spellEnd"/>
      <w:r w:rsidRPr="00BF396F">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59651A" w:rsidRPr="00BF396F" w:rsidTr="005829DC">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59651A" w:rsidRPr="00BF396F" w:rsidRDefault="0059651A" w:rsidP="005829DC">
            <w:pPr>
              <w:pStyle w:val="TableTextWhite0"/>
              <w:keepNext/>
            </w:pPr>
            <w:r w:rsidRPr="00BF396F">
              <w:t>NSW Public Sector Capability Framework</w:t>
            </w:r>
          </w:p>
        </w:tc>
      </w:tr>
      <w:tr w:rsidR="0059651A" w:rsidRPr="00BF396F" w:rsidTr="005829DC">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59651A" w:rsidRPr="00BF396F" w:rsidRDefault="0059651A" w:rsidP="005829DC">
            <w:pPr>
              <w:pStyle w:val="TableText"/>
              <w:rPr>
                <w:b/>
              </w:rPr>
            </w:pPr>
            <w:r w:rsidRPr="00BF396F">
              <w:rPr>
                <w:b/>
              </w:rPr>
              <w:t>Group and Capability</w:t>
            </w:r>
          </w:p>
        </w:tc>
        <w:tc>
          <w:tcPr>
            <w:tcW w:w="1843" w:type="dxa"/>
            <w:tcBorders>
              <w:top w:val="single" w:sz="8" w:space="0" w:color="BCBEC0"/>
              <w:bottom w:val="single" w:sz="8" w:space="0" w:color="BCBEC0"/>
            </w:tcBorders>
            <w:shd w:val="clear" w:color="auto" w:fill="BCBEC0"/>
          </w:tcPr>
          <w:p w:rsidR="0059651A" w:rsidRPr="00BF396F" w:rsidRDefault="0059651A" w:rsidP="005829DC">
            <w:pPr>
              <w:pStyle w:val="TableText"/>
              <w:rPr>
                <w:b/>
              </w:rPr>
            </w:pPr>
            <w:r w:rsidRPr="00BF396F">
              <w:rPr>
                <w:b/>
              </w:rPr>
              <w:t>Level</w:t>
            </w:r>
          </w:p>
        </w:tc>
        <w:tc>
          <w:tcPr>
            <w:tcW w:w="6378" w:type="dxa"/>
            <w:tcBorders>
              <w:top w:val="single" w:sz="8" w:space="0" w:color="BCBEC0"/>
              <w:bottom w:val="single" w:sz="8" w:space="0" w:color="BCBEC0"/>
            </w:tcBorders>
            <w:shd w:val="clear" w:color="auto" w:fill="BCBEC0"/>
          </w:tcPr>
          <w:p w:rsidR="0059651A" w:rsidRPr="00BF396F" w:rsidRDefault="0059651A" w:rsidP="005829DC">
            <w:pPr>
              <w:pStyle w:val="TableText"/>
              <w:rPr>
                <w:b/>
              </w:rPr>
            </w:pPr>
            <w:r w:rsidRPr="00BF396F">
              <w:rPr>
                <w:b/>
              </w:rPr>
              <w:t>Behavioural Indicators</w:t>
            </w:r>
          </w:p>
        </w:tc>
      </w:tr>
      <w:tr w:rsidR="0059651A" w:rsidRPr="00BF396F" w:rsidTr="005829DC">
        <w:tc>
          <w:tcPr>
            <w:tcW w:w="2324" w:type="dxa"/>
            <w:tcBorders>
              <w:top w:val="single" w:sz="8" w:space="0" w:color="BCBEC0"/>
            </w:tcBorders>
          </w:tcPr>
          <w:p w:rsidR="0059651A" w:rsidRPr="00BF396F" w:rsidRDefault="0059651A" w:rsidP="005829DC">
            <w:pPr>
              <w:pStyle w:val="TableText"/>
              <w:rPr>
                <w:b/>
              </w:rPr>
            </w:pPr>
            <w:bookmarkStart w:id="30" w:name="Personal_Resilence_Found"/>
            <w:r w:rsidRPr="00BF396F">
              <w:rPr>
                <w:b/>
              </w:rPr>
              <w:t>Personal Attributes</w:t>
            </w:r>
          </w:p>
          <w:p w:rsidR="0059651A" w:rsidRPr="00BF396F" w:rsidRDefault="0059651A" w:rsidP="005829DC">
            <w:pPr>
              <w:pStyle w:val="TableText"/>
              <w:rPr>
                <w:i/>
              </w:rPr>
            </w:pPr>
            <w:r w:rsidRPr="00BF396F">
              <w:rPr>
                <w:i/>
              </w:rPr>
              <w:t>Act with Integrity</w:t>
            </w:r>
          </w:p>
        </w:tc>
        <w:tc>
          <w:tcPr>
            <w:tcW w:w="1843" w:type="dxa"/>
            <w:tcBorders>
              <w:top w:val="single" w:sz="8" w:space="0" w:color="BCBEC0"/>
            </w:tcBorders>
          </w:tcPr>
          <w:p w:rsidR="0059651A" w:rsidRPr="00BF396F" w:rsidRDefault="0059651A" w:rsidP="005829DC">
            <w:pPr>
              <w:pStyle w:val="TableText"/>
              <w:rPr>
                <w:rFonts w:cs="Arial"/>
                <w:color w:val="000000"/>
              </w:rPr>
            </w:pPr>
          </w:p>
          <w:p w:rsidR="0059651A" w:rsidRPr="00BF396F" w:rsidRDefault="0059651A" w:rsidP="005829DC">
            <w:pPr>
              <w:pStyle w:val="TableText"/>
              <w:rPr>
                <w:rFonts w:cs="Arial"/>
                <w:color w:val="000000"/>
              </w:rPr>
            </w:pPr>
            <w:r w:rsidRPr="00BF396F">
              <w:rPr>
                <w:rFonts w:cs="Arial"/>
                <w:color w:val="000000"/>
              </w:rPr>
              <w:t>Adept</w:t>
            </w:r>
          </w:p>
        </w:tc>
        <w:tc>
          <w:tcPr>
            <w:tcW w:w="6378" w:type="dxa"/>
            <w:tcBorders>
              <w:top w:val="single" w:sz="8" w:space="0" w:color="BCBEC0"/>
            </w:tcBorders>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Represent the organisation in an honest, ethical and professional way and encourage others to do so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Demonstrate professionalism to support a culture of integrity within the team/unit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Set an example for others to follow and identify and explain ethical issues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Ensure that others understand the legislation and policy framework within which they operate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Act to prevent and report misconduct, illegal and inappropriate behaviour</w:t>
            </w:r>
          </w:p>
        </w:tc>
      </w:tr>
      <w:tr w:rsidR="0059651A" w:rsidRPr="00BF396F" w:rsidTr="005829DC">
        <w:tc>
          <w:tcPr>
            <w:tcW w:w="2324" w:type="dxa"/>
          </w:tcPr>
          <w:p w:rsidR="0059651A" w:rsidRPr="00BF396F" w:rsidRDefault="0059651A" w:rsidP="005829DC">
            <w:pPr>
              <w:pStyle w:val="TableText"/>
              <w:rPr>
                <w:b/>
              </w:rPr>
            </w:pPr>
            <w:bookmarkStart w:id="31" w:name="Personal_Resilence_Inter"/>
            <w:bookmarkEnd w:id="30"/>
            <w:r w:rsidRPr="00BF396F">
              <w:rPr>
                <w:b/>
              </w:rPr>
              <w:t>Relationships</w:t>
            </w:r>
          </w:p>
          <w:p w:rsidR="0059651A" w:rsidRPr="00BF396F" w:rsidRDefault="0059651A" w:rsidP="005829DC">
            <w:pPr>
              <w:pStyle w:val="TableText"/>
              <w:rPr>
                <w:i/>
              </w:rPr>
            </w:pPr>
            <w:r w:rsidRPr="00BF396F">
              <w:rPr>
                <w:i/>
              </w:rPr>
              <w:t>Communicate Effectively</w:t>
            </w:r>
          </w:p>
        </w:tc>
        <w:tc>
          <w:tcPr>
            <w:tcW w:w="1843" w:type="dxa"/>
          </w:tcPr>
          <w:p w:rsidR="0059651A" w:rsidRPr="00BF396F" w:rsidRDefault="0059651A" w:rsidP="005829DC">
            <w:pPr>
              <w:pStyle w:val="TableText"/>
              <w:rPr>
                <w:rFonts w:cs="Arial"/>
                <w:color w:val="000000"/>
              </w:rPr>
            </w:pPr>
            <w:r w:rsidRPr="00BF396F">
              <w:rPr>
                <w:rFonts w:cs="Arial"/>
                <w:color w:val="000000"/>
              </w:rPr>
              <w:t>Advanced</w:t>
            </w: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Present with credibility, engage varied audiences and test levels of understanding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Translate technical and complex information concisely for diverse audiences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Create opportunities for others to contribute to discussion and debate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Actively listen and encourage others to contribute inputs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Adjust style and approach to optimise outcomes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Write fluently and persuasively in a range of styles and formats</w:t>
            </w:r>
          </w:p>
        </w:tc>
      </w:tr>
      <w:tr w:rsidR="0059651A" w:rsidRPr="00BF396F" w:rsidTr="005829DC">
        <w:tc>
          <w:tcPr>
            <w:tcW w:w="2324" w:type="dxa"/>
          </w:tcPr>
          <w:p w:rsidR="0059651A" w:rsidRPr="00BF396F" w:rsidRDefault="0059651A" w:rsidP="0059651A">
            <w:pPr>
              <w:pStyle w:val="TableText"/>
              <w:rPr>
                <w:b/>
              </w:rPr>
            </w:pPr>
            <w:r w:rsidRPr="00BF396F">
              <w:rPr>
                <w:b/>
              </w:rPr>
              <w:t>Relationships</w:t>
            </w:r>
          </w:p>
          <w:p w:rsidR="0059651A" w:rsidRPr="00BF396F" w:rsidRDefault="0059651A" w:rsidP="005829DC">
            <w:pPr>
              <w:pStyle w:val="TableText"/>
              <w:rPr>
                <w:i/>
              </w:rPr>
            </w:pPr>
            <w:r w:rsidRPr="00BF396F">
              <w:rPr>
                <w:i/>
              </w:rPr>
              <w:t>Influence &amp; Negotiate</w:t>
            </w:r>
          </w:p>
        </w:tc>
        <w:tc>
          <w:tcPr>
            <w:tcW w:w="1843" w:type="dxa"/>
          </w:tcPr>
          <w:p w:rsidR="0059651A" w:rsidRPr="00BF396F" w:rsidRDefault="0059651A" w:rsidP="005829DC">
            <w:pPr>
              <w:pStyle w:val="TableText"/>
              <w:rPr>
                <w:rFonts w:cs="Arial"/>
                <w:color w:val="000000"/>
              </w:rPr>
            </w:pPr>
            <w:r w:rsidRPr="00BF396F">
              <w:rPr>
                <w:rFonts w:cs="Arial"/>
                <w:color w:val="000000"/>
              </w:rPr>
              <w:t>Adept</w:t>
            </w: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Negotiate from an informed and credible position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Lead and facilitate productive discussions with staff and stakeholders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Encourage others to talk, share and debate ideas to achieve a consensus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Recognise and explain the need for compromise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Influence others with a fair and considered approach and sound arguments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Show sensitivity and understanding in resolving conflicts and differences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Manage challenging relations with internal and external stakeholders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Pre-empt and minimise conflict</w:t>
            </w:r>
          </w:p>
        </w:tc>
      </w:tr>
      <w:tr w:rsidR="0059651A" w:rsidRPr="00BF396F" w:rsidTr="005829DC">
        <w:tc>
          <w:tcPr>
            <w:tcW w:w="2324" w:type="dxa"/>
          </w:tcPr>
          <w:p w:rsidR="0059651A" w:rsidRPr="00BF396F" w:rsidRDefault="0059651A" w:rsidP="005829DC">
            <w:pPr>
              <w:pStyle w:val="TableText"/>
              <w:rPr>
                <w:b/>
              </w:rPr>
            </w:pPr>
            <w:bookmarkStart w:id="32" w:name="Personal_Resilence_Adept"/>
            <w:bookmarkEnd w:id="31"/>
            <w:r w:rsidRPr="00BF396F">
              <w:rPr>
                <w:b/>
              </w:rPr>
              <w:t>Results</w:t>
            </w:r>
          </w:p>
          <w:p w:rsidR="0059651A" w:rsidRPr="00BF396F" w:rsidRDefault="0059651A" w:rsidP="005829DC">
            <w:pPr>
              <w:pStyle w:val="TableText"/>
              <w:rPr>
                <w:i/>
              </w:rPr>
            </w:pPr>
            <w:r w:rsidRPr="00BF396F">
              <w:rPr>
                <w:i/>
              </w:rPr>
              <w:t>Deliver Results</w:t>
            </w:r>
          </w:p>
        </w:tc>
        <w:tc>
          <w:tcPr>
            <w:tcW w:w="1843" w:type="dxa"/>
          </w:tcPr>
          <w:p w:rsidR="0059651A" w:rsidRPr="00BF396F" w:rsidRDefault="0059651A" w:rsidP="005829DC">
            <w:pPr>
              <w:pStyle w:val="TableText"/>
              <w:rPr>
                <w:rFonts w:cs="Arial"/>
                <w:color w:val="000000"/>
              </w:rPr>
            </w:pPr>
          </w:p>
          <w:p w:rsidR="0059651A" w:rsidRPr="00BF396F" w:rsidRDefault="0059651A" w:rsidP="005829DC">
            <w:pPr>
              <w:pStyle w:val="TableText"/>
              <w:rPr>
                <w:rFonts w:cs="Arial"/>
                <w:color w:val="000000"/>
              </w:rPr>
            </w:pPr>
            <w:r w:rsidRPr="00BF396F">
              <w:rPr>
                <w:rFonts w:cs="Arial"/>
                <w:color w:val="000000"/>
              </w:rPr>
              <w:t>Adept</w:t>
            </w: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Take responsibility for delivering on intended outcomes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Make sure team/unit staff understand expected goals and acknowledge success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Identify resource needs and ensure goals are achieved within budget and deadlines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Identify changed priorities and ensure allocation of resources meets new business needs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Ensure financial implications of changed priorities are explicit and budgeted for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Use own expertise and seek others’ expertise to achieve work outcomes</w:t>
            </w:r>
          </w:p>
        </w:tc>
      </w:tr>
      <w:tr w:rsidR="0059651A" w:rsidRPr="00BF396F" w:rsidTr="005829DC">
        <w:tc>
          <w:tcPr>
            <w:tcW w:w="2324" w:type="dxa"/>
          </w:tcPr>
          <w:p w:rsidR="0059651A" w:rsidRPr="00BF396F" w:rsidRDefault="0059651A" w:rsidP="0059651A">
            <w:pPr>
              <w:pStyle w:val="TableText"/>
              <w:rPr>
                <w:b/>
              </w:rPr>
            </w:pPr>
            <w:r w:rsidRPr="00BF396F">
              <w:rPr>
                <w:b/>
              </w:rPr>
              <w:t>Results</w:t>
            </w:r>
          </w:p>
          <w:p w:rsidR="0059651A" w:rsidRPr="00BF396F" w:rsidRDefault="0059651A" w:rsidP="005829DC">
            <w:pPr>
              <w:pStyle w:val="TableText"/>
              <w:rPr>
                <w:i/>
              </w:rPr>
            </w:pPr>
            <w:r w:rsidRPr="00BF396F">
              <w:rPr>
                <w:i/>
              </w:rPr>
              <w:t>Think &amp; Solve Problems</w:t>
            </w:r>
          </w:p>
        </w:tc>
        <w:tc>
          <w:tcPr>
            <w:tcW w:w="1843" w:type="dxa"/>
          </w:tcPr>
          <w:p w:rsidR="0059651A" w:rsidRPr="00BF396F" w:rsidRDefault="0059651A" w:rsidP="005829DC">
            <w:pPr>
              <w:pStyle w:val="TableText"/>
              <w:rPr>
                <w:rFonts w:cs="Arial"/>
                <w:color w:val="000000"/>
              </w:rPr>
            </w:pPr>
            <w:r w:rsidRPr="00BF396F">
              <w:rPr>
                <w:rFonts w:cs="Arial"/>
                <w:color w:val="000000"/>
              </w:rPr>
              <w:t>Adept</w:t>
            </w: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Research and analyse information, identify interrelationships and make recommendations based on relevant evidence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lastRenderedPageBreak/>
              <w:t xml:space="preserve">Anticipate, identify and address issues and potential problems and select the most effective solutions from a range of options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Participate in and contribute to team/unit initiatives to resolve common issues or barriers to effectiveness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Identify and share business process improvements to enhance effectiveness</w:t>
            </w:r>
          </w:p>
        </w:tc>
      </w:tr>
      <w:tr w:rsidR="0059651A" w:rsidRPr="00BF396F" w:rsidTr="005829DC">
        <w:tc>
          <w:tcPr>
            <w:tcW w:w="2324" w:type="dxa"/>
          </w:tcPr>
          <w:p w:rsidR="0059651A" w:rsidRPr="00BF396F" w:rsidRDefault="0059651A" w:rsidP="005829DC">
            <w:pPr>
              <w:pStyle w:val="TableText"/>
              <w:rPr>
                <w:b/>
              </w:rPr>
            </w:pPr>
            <w:bookmarkStart w:id="33" w:name="Personal_Resilence_Adv"/>
            <w:bookmarkEnd w:id="32"/>
            <w:r w:rsidRPr="00BF396F">
              <w:rPr>
                <w:b/>
              </w:rPr>
              <w:lastRenderedPageBreak/>
              <w:t>Business Enablers</w:t>
            </w:r>
          </w:p>
          <w:p w:rsidR="0059651A" w:rsidRPr="00BF396F" w:rsidRDefault="0059651A" w:rsidP="005829DC">
            <w:pPr>
              <w:pStyle w:val="TableText"/>
              <w:rPr>
                <w:i/>
              </w:rPr>
            </w:pPr>
            <w:r w:rsidRPr="00BF396F">
              <w:rPr>
                <w:i/>
              </w:rPr>
              <w:t>Project Management</w:t>
            </w:r>
          </w:p>
        </w:tc>
        <w:tc>
          <w:tcPr>
            <w:tcW w:w="1843" w:type="dxa"/>
          </w:tcPr>
          <w:p w:rsidR="0059651A" w:rsidRPr="00BF396F" w:rsidRDefault="0059651A" w:rsidP="005829DC">
            <w:pPr>
              <w:pStyle w:val="TableText"/>
              <w:rPr>
                <w:rFonts w:cs="Arial"/>
                <w:color w:val="000000"/>
              </w:rPr>
            </w:pPr>
          </w:p>
          <w:p w:rsidR="0059651A" w:rsidRPr="00BF396F" w:rsidRDefault="0059651A" w:rsidP="005829DC">
            <w:pPr>
              <w:pStyle w:val="TableText"/>
              <w:rPr>
                <w:rFonts w:cs="Arial"/>
                <w:color w:val="000000"/>
              </w:rPr>
            </w:pPr>
            <w:r w:rsidRPr="00BF396F">
              <w:rPr>
                <w:rFonts w:cs="Arial"/>
                <w:color w:val="000000"/>
              </w:rPr>
              <w:t>Adept</w:t>
            </w: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Prepare clear project proposals and define scope and goals in measurable terms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Establish performance outcomes and measures for key project goals, and define monitoring, reporting and communication requirements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Prepare accurate estimates of costs and resources required for more complex projects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Communicate the project strategy and its expected benefits to others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Monitor the completion of project milestones against goals and initiate amendments where necessary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Evaluate progress and identify improvements to inform future projects</w:t>
            </w:r>
          </w:p>
        </w:tc>
      </w:tr>
      <w:tr w:rsidR="0059651A" w:rsidRPr="00C978B9" w:rsidTr="005829DC">
        <w:tc>
          <w:tcPr>
            <w:tcW w:w="2324" w:type="dxa"/>
          </w:tcPr>
          <w:p w:rsidR="0059651A" w:rsidRPr="00BF396F" w:rsidRDefault="0059651A" w:rsidP="005829DC">
            <w:pPr>
              <w:pStyle w:val="TableText"/>
              <w:rPr>
                <w:b/>
              </w:rPr>
            </w:pPr>
            <w:bookmarkStart w:id="34" w:name="Personal_Resilence_H_Adv"/>
            <w:bookmarkEnd w:id="33"/>
            <w:r w:rsidRPr="00BF396F">
              <w:rPr>
                <w:b/>
              </w:rPr>
              <w:t>People Management</w:t>
            </w:r>
          </w:p>
          <w:p w:rsidR="0059651A" w:rsidRPr="00BF396F" w:rsidRDefault="0059651A" w:rsidP="005829DC">
            <w:pPr>
              <w:pStyle w:val="TableText"/>
              <w:rPr>
                <w:i/>
              </w:rPr>
            </w:pPr>
            <w:r w:rsidRPr="00BF396F">
              <w:rPr>
                <w:i/>
              </w:rPr>
              <w:t>Manage &amp; Develop People</w:t>
            </w:r>
          </w:p>
        </w:tc>
        <w:tc>
          <w:tcPr>
            <w:tcW w:w="1843" w:type="dxa"/>
          </w:tcPr>
          <w:p w:rsidR="0059651A" w:rsidRPr="00BF396F" w:rsidRDefault="0059651A" w:rsidP="005829DC">
            <w:pPr>
              <w:pStyle w:val="TableText"/>
              <w:rPr>
                <w:rFonts w:cs="Arial"/>
                <w:color w:val="000000"/>
              </w:rPr>
            </w:pPr>
            <w:r w:rsidRPr="00BF396F">
              <w:rPr>
                <w:rFonts w:cs="Arial"/>
                <w:color w:val="000000"/>
              </w:rPr>
              <w:t>Adept</w:t>
            </w:r>
          </w:p>
          <w:p w:rsidR="0059651A" w:rsidRPr="00BF396F" w:rsidRDefault="0059651A" w:rsidP="005829DC">
            <w:pPr>
              <w:pStyle w:val="TableText"/>
              <w:rPr>
                <w:rFonts w:cs="Arial"/>
                <w:color w:val="000000"/>
              </w:rPr>
            </w:pPr>
          </w:p>
        </w:tc>
        <w:tc>
          <w:tcPr>
            <w:tcW w:w="6378" w:type="dxa"/>
          </w:tcPr>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Define and clearly communicate roles and responsibilities to achieve team/unit outcomes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Negotiate clear performance standards and monitor progress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Develop team/unit plans that </w:t>
            </w:r>
            <w:proofErr w:type="gramStart"/>
            <w:r w:rsidRPr="00BF396F">
              <w:rPr>
                <w:rFonts w:asciiTheme="minorHAnsi" w:hAnsiTheme="minorHAnsi" w:cstheme="minorHAnsi"/>
                <w:color w:val="000000"/>
                <w:sz w:val="20"/>
                <w:szCs w:val="20"/>
              </w:rPr>
              <w:t>take into account</w:t>
            </w:r>
            <w:proofErr w:type="gramEnd"/>
            <w:r w:rsidRPr="00BF396F">
              <w:rPr>
                <w:rFonts w:asciiTheme="minorHAnsi" w:hAnsiTheme="minorHAnsi" w:cstheme="minorHAnsi"/>
                <w:color w:val="000000"/>
                <w:sz w:val="20"/>
                <w:szCs w:val="20"/>
              </w:rPr>
              <w:t xml:space="preserve"> team capability, strengths and opportunities for development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Provide regular constructive feedback to build on strengths and achieve results </w:t>
            </w:r>
          </w:p>
          <w:p w:rsidR="0059651A" w:rsidRPr="00BF396F" w:rsidRDefault="0059651A" w:rsidP="0059651A">
            <w:pPr>
              <w:pStyle w:val="Pa18"/>
              <w:numPr>
                <w:ilvl w:val="0"/>
                <w:numId w:val="11"/>
              </w:numPr>
              <w:spacing w:line="240" w:lineRule="auto"/>
              <w:ind w:left="714" w:hanging="357"/>
              <w:rPr>
                <w:rFonts w:asciiTheme="minorHAnsi" w:hAnsiTheme="minorHAnsi" w:cstheme="minorHAnsi"/>
                <w:color w:val="000000"/>
                <w:sz w:val="20"/>
                <w:szCs w:val="20"/>
              </w:rPr>
            </w:pPr>
            <w:r w:rsidRPr="00BF396F">
              <w:rPr>
                <w:rFonts w:asciiTheme="minorHAnsi" w:hAnsiTheme="minorHAnsi" w:cstheme="minorHAnsi"/>
                <w:color w:val="000000"/>
                <w:sz w:val="20"/>
                <w:szCs w:val="20"/>
              </w:rPr>
              <w:t xml:space="preserve">Address and resolve team and individual performance issues, including unsatisfactory performance in a timely and effective way </w:t>
            </w:r>
          </w:p>
          <w:p w:rsidR="0059651A" w:rsidRPr="00BF396F" w:rsidRDefault="0059651A" w:rsidP="0059651A">
            <w:pPr>
              <w:pStyle w:val="TableBullet"/>
              <w:numPr>
                <w:ilvl w:val="0"/>
                <w:numId w:val="11"/>
              </w:numPr>
              <w:spacing w:line="240" w:lineRule="auto"/>
              <w:ind w:left="714" w:hanging="357"/>
              <w:rPr>
                <w:rFonts w:asciiTheme="minorHAnsi" w:hAnsiTheme="minorHAnsi" w:cstheme="minorHAnsi"/>
              </w:rPr>
            </w:pPr>
            <w:r w:rsidRPr="00BF396F">
              <w:rPr>
                <w:rFonts w:asciiTheme="minorHAnsi" w:hAnsiTheme="minorHAnsi" w:cstheme="minorHAnsi"/>
                <w:color w:val="000000"/>
              </w:rPr>
              <w:t>Monitor and report on performance of team in line with established performance development frameworks</w:t>
            </w:r>
          </w:p>
        </w:tc>
      </w:tr>
      <w:bookmarkEnd w:id="34"/>
    </w:tbl>
    <w:p w:rsidR="00DF36CD" w:rsidRDefault="00DF36CD"/>
    <w:sectPr w:rsidR="00DF36CD" w:rsidSect="009D74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FE" w:rsidRDefault="002609FE" w:rsidP="00BB532F">
      <w:pPr>
        <w:spacing w:after="0" w:line="240" w:lineRule="auto"/>
      </w:pPr>
      <w:r>
        <w:separator/>
      </w:r>
    </w:p>
  </w:endnote>
  <w:endnote w:type="continuationSeparator" w:id="0">
    <w:p w:rsidR="002609FE" w:rsidRDefault="002609F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Light">
    <w:altName w:val="Rooney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5A" w:rsidRDefault="0003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A366FC">
          <w:pPr>
            <w:pStyle w:val="Footer"/>
          </w:pPr>
          <w:r w:rsidRPr="00C03AFD">
            <w:rPr>
              <w:color w:val="928B81"/>
              <w:sz w:val="18"/>
            </w:rPr>
            <w:t>Role Description</w:t>
          </w:r>
          <w:r w:rsidRPr="00C03AFD">
            <w:rPr>
              <w:color w:val="595959" w:themeColor="text1" w:themeTint="A6"/>
              <w:sz w:val="18"/>
            </w:rPr>
            <w:t xml:space="preserve">  </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16901">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441E458A" wp14:editId="585E86C3">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16901">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FE" w:rsidRDefault="002609FE" w:rsidP="00BB532F">
      <w:pPr>
        <w:spacing w:after="0" w:line="240" w:lineRule="auto"/>
      </w:pPr>
      <w:r>
        <w:separator/>
      </w:r>
    </w:p>
  </w:footnote>
  <w:footnote w:type="continuationSeparator" w:id="0">
    <w:p w:rsidR="002609FE" w:rsidRDefault="002609F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5A" w:rsidRDefault="0003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5A" w:rsidRDefault="0003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6F0F3E" w:rsidTr="009D747B">
      <w:trPr>
        <w:trHeight w:val="1337"/>
      </w:trPr>
      <w:tc>
        <w:tcPr>
          <w:tcW w:w="7038" w:type="dxa"/>
        </w:tcPr>
        <w:p w:rsidR="006F0F3E" w:rsidRPr="006F0F3E" w:rsidRDefault="006F0F3E" w:rsidP="008A1921">
          <w:pPr>
            <w:pStyle w:val="TitleSub"/>
            <w:spacing w:after="0"/>
            <w:ind w:right="-2325"/>
            <w:rPr>
              <w:rFonts w:ascii="Arial" w:hAnsi="Arial" w:cs="Arial"/>
              <w:sz w:val="40"/>
              <w:szCs w:val="40"/>
            </w:rPr>
          </w:pPr>
          <w:r w:rsidRPr="006F0F3E">
            <w:rPr>
              <w:rFonts w:ascii="Arial" w:hAnsi="Arial" w:cs="Arial"/>
              <w:sz w:val="40"/>
              <w:szCs w:val="40"/>
            </w:rPr>
            <w:t>Role Description</w:t>
          </w:r>
        </w:p>
        <w:p w:rsidR="006F0F3E" w:rsidRPr="00C87574" w:rsidRDefault="006F0F3E" w:rsidP="000D1E72">
          <w:pPr>
            <w:pStyle w:val="TitleSub"/>
            <w:spacing w:after="0"/>
            <w:ind w:right="-2325"/>
            <w:rPr>
              <w:b/>
              <w:sz w:val="40"/>
              <w:szCs w:val="40"/>
            </w:rPr>
          </w:pPr>
          <w:r w:rsidRPr="006F0F3E">
            <w:rPr>
              <w:rFonts w:ascii="Arial" w:hAnsi="Arial" w:cs="Arial"/>
              <w:b/>
              <w:sz w:val="40"/>
              <w:szCs w:val="40"/>
            </w:rPr>
            <w:t xml:space="preserve">Senior </w:t>
          </w:r>
          <w:r w:rsidR="000D1E72">
            <w:rPr>
              <w:rFonts w:ascii="Arial" w:hAnsi="Arial" w:cs="Arial"/>
              <w:b/>
              <w:sz w:val="40"/>
              <w:szCs w:val="40"/>
            </w:rPr>
            <w:t>Operations Officer</w:t>
          </w:r>
          <w:r w:rsidR="001F1701">
            <w:rPr>
              <w:rFonts w:ascii="Arial" w:hAnsi="Arial" w:cs="Arial"/>
              <w:b/>
              <w:sz w:val="40"/>
              <w:szCs w:val="40"/>
            </w:rPr>
            <w:t xml:space="preserve">                          </w:t>
          </w:r>
        </w:p>
      </w:tc>
      <w:tc>
        <w:tcPr>
          <w:tcW w:w="3665" w:type="dxa"/>
        </w:tcPr>
        <w:p w:rsidR="001F1701" w:rsidRDefault="001F1701" w:rsidP="008A1921">
          <w:pPr>
            <w:pStyle w:val="TitleSub"/>
            <w:spacing w:after="0"/>
            <w:ind w:right="-2325"/>
          </w:pPr>
          <w:r>
            <w:t xml:space="preserve">      </w:t>
          </w:r>
          <w:r>
            <w:rPr>
              <w:noProof/>
            </w:rPr>
            <w:t xml:space="preserve">             </w:t>
          </w:r>
          <w:r w:rsidRPr="001F1701">
            <w:rPr>
              <w:noProof/>
            </w:rPr>
            <w:drawing>
              <wp:inline distT="0" distB="0" distL="0" distR="0">
                <wp:extent cx="876300" cy="581025"/>
                <wp:effectExtent l="0" t="0" r="0" b="9525"/>
                <wp:docPr id="9" name="Picture 9"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rsidR="006F0F3E" w:rsidRPr="001F1701" w:rsidRDefault="001F1701" w:rsidP="001F1701">
          <w:pPr>
            <w:tabs>
              <w:tab w:val="left" w:pos="2490"/>
            </w:tabs>
          </w:pPr>
          <w:r>
            <w:tab/>
          </w:r>
        </w:p>
      </w:tc>
    </w:tr>
    <w:tr w:rsidR="001F1701" w:rsidTr="009D747B">
      <w:trPr>
        <w:trHeight w:val="1337"/>
      </w:trPr>
      <w:tc>
        <w:tcPr>
          <w:tcW w:w="7038" w:type="dxa"/>
        </w:tcPr>
        <w:p w:rsidR="001F1701" w:rsidRPr="006F0F3E" w:rsidRDefault="001F1701" w:rsidP="008A1921">
          <w:pPr>
            <w:pStyle w:val="TitleSub"/>
            <w:spacing w:after="0"/>
            <w:ind w:right="-2325"/>
            <w:rPr>
              <w:rFonts w:ascii="Arial" w:hAnsi="Arial" w:cs="Arial"/>
              <w:sz w:val="40"/>
              <w:szCs w:val="40"/>
            </w:rPr>
          </w:pPr>
        </w:p>
      </w:tc>
      <w:tc>
        <w:tcPr>
          <w:tcW w:w="3665" w:type="dxa"/>
        </w:tcPr>
        <w:p w:rsidR="001F1701" w:rsidRDefault="001F1701" w:rsidP="008A1921">
          <w:pPr>
            <w:pStyle w:val="TitleSub"/>
            <w:spacing w:after="0"/>
            <w:ind w:right="-2325"/>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571340"/>
    <w:multiLevelType w:val="hybridMultilevel"/>
    <w:tmpl w:val="68527C9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80E6A"/>
    <w:multiLevelType w:val="hybridMultilevel"/>
    <w:tmpl w:val="26BA081A"/>
    <w:lvl w:ilvl="0" w:tplc="9ADA35C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3C217C"/>
    <w:multiLevelType w:val="hybridMultilevel"/>
    <w:tmpl w:val="7C10CE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A77E88"/>
    <w:multiLevelType w:val="hybridMultilevel"/>
    <w:tmpl w:val="09185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4A2C46"/>
    <w:multiLevelType w:val="hybridMultilevel"/>
    <w:tmpl w:val="4AE6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25363"/>
    <w:multiLevelType w:val="hybridMultilevel"/>
    <w:tmpl w:val="7B0CD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000460"/>
    <w:multiLevelType w:val="hybridMultilevel"/>
    <w:tmpl w:val="0D26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C924BA"/>
    <w:multiLevelType w:val="hybridMultilevel"/>
    <w:tmpl w:val="52BC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060A3"/>
    <w:rsid w:val="0001016C"/>
    <w:rsid w:val="0001706E"/>
    <w:rsid w:val="00020023"/>
    <w:rsid w:val="00022223"/>
    <w:rsid w:val="00026543"/>
    <w:rsid w:val="00027E23"/>
    <w:rsid w:val="00030565"/>
    <w:rsid w:val="0003263C"/>
    <w:rsid w:val="0003525A"/>
    <w:rsid w:val="00035639"/>
    <w:rsid w:val="0003564E"/>
    <w:rsid w:val="00037FD5"/>
    <w:rsid w:val="000477E1"/>
    <w:rsid w:val="0005637E"/>
    <w:rsid w:val="00060B58"/>
    <w:rsid w:val="000645C8"/>
    <w:rsid w:val="00067161"/>
    <w:rsid w:val="00074F22"/>
    <w:rsid w:val="000A2621"/>
    <w:rsid w:val="000C3CC8"/>
    <w:rsid w:val="000D12B3"/>
    <w:rsid w:val="000D1E72"/>
    <w:rsid w:val="000D799A"/>
    <w:rsid w:val="000F231F"/>
    <w:rsid w:val="00104EC7"/>
    <w:rsid w:val="001336E8"/>
    <w:rsid w:val="0013413E"/>
    <w:rsid w:val="00134F5E"/>
    <w:rsid w:val="00153F10"/>
    <w:rsid w:val="00165754"/>
    <w:rsid w:val="001671DC"/>
    <w:rsid w:val="00170E39"/>
    <w:rsid w:val="0018091E"/>
    <w:rsid w:val="001815E8"/>
    <w:rsid w:val="00185ABC"/>
    <w:rsid w:val="001878C1"/>
    <w:rsid w:val="00194A32"/>
    <w:rsid w:val="001A00F1"/>
    <w:rsid w:val="001A1AA1"/>
    <w:rsid w:val="001A1EC8"/>
    <w:rsid w:val="001A4F0B"/>
    <w:rsid w:val="001B1F0F"/>
    <w:rsid w:val="001B5DFD"/>
    <w:rsid w:val="001B75A6"/>
    <w:rsid w:val="001C0E5F"/>
    <w:rsid w:val="001C2248"/>
    <w:rsid w:val="001C2AA8"/>
    <w:rsid w:val="001C5166"/>
    <w:rsid w:val="001C5A46"/>
    <w:rsid w:val="001C77A6"/>
    <w:rsid w:val="001D097C"/>
    <w:rsid w:val="001E2792"/>
    <w:rsid w:val="001E27DB"/>
    <w:rsid w:val="001E49B2"/>
    <w:rsid w:val="001F1701"/>
    <w:rsid w:val="001F2503"/>
    <w:rsid w:val="001F6AF7"/>
    <w:rsid w:val="00201E8B"/>
    <w:rsid w:val="00205A8A"/>
    <w:rsid w:val="00211F68"/>
    <w:rsid w:val="00237421"/>
    <w:rsid w:val="00240A8E"/>
    <w:rsid w:val="002609FE"/>
    <w:rsid w:val="00263ACB"/>
    <w:rsid w:val="002821EA"/>
    <w:rsid w:val="0028314F"/>
    <w:rsid w:val="00287C54"/>
    <w:rsid w:val="00292A70"/>
    <w:rsid w:val="002A648F"/>
    <w:rsid w:val="002B0B83"/>
    <w:rsid w:val="002B1F76"/>
    <w:rsid w:val="002C2823"/>
    <w:rsid w:val="002D36BB"/>
    <w:rsid w:val="002E57CD"/>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A6FB9"/>
    <w:rsid w:val="003B0F42"/>
    <w:rsid w:val="003B2553"/>
    <w:rsid w:val="003B403A"/>
    <w:rsid w:val="003C00FD"/>
    <w:rsid w:val="003C031F"/>
    <w:rsid w:val="003C5EB3"/>
    <w:rsid w:val="003D5227"/>
    <w:rsid w:val="003E2663"/>
    <w:rsid w:val="004001D8"/>
    <w:rsid w:val="00411F3E"/>
    <w:rsid w:val="0041525E"/>
    <w:rsid w:val="004203B4"/>
    <w:rsid w:val="00436621"/>
    <w:rsid w:val="00442732"/>
    <w:rsid w:val="004656D8"/>
    <w:rsid w:val="00466287"/>
    <w:rsid w:val="0047547E"/>
    <w:rsid w:val="00492AA6"/>
    <w:rsid w:val="004B1B53"/>
    <w:rsid w:val="004C45E2"/>
    <w:rsid w:val="004D0C22"/>
    <w:rsid w:val="004D27C8"/>
    <w:rsid w:val="004E44A5"/>
    <w:rsid w:val="004E474E"/>
    <w:rsid w:val="004E7F32"/>
    <w:rsid w:val="00502DBF"/>
    <w:rsid w:val="005124AB"/>
    <w:rsid w:val="00521D19"/>
    <w:rsid w:val="00523CFF"/>
    <w:rsid w:val="00527FCF"/>
    <w:rsid w:val="005307BA"/>
    <w:rsid w:val="00545AC6"/>
    <w:rsid w:val="00551038"/>
    <w:rsid w:val="0059035B"/>
    <w:rsid w:val="0059651A"/>
    <w:rsid w:val="005B10E1"/>
    <w:rsid w:val="005B5053"/>
    <w:rsid w:val="005C7AF5"/>
    <w:rsid w:val="005D71EA"/>
    <w:rsid w:val="005E6C59"/>
    <w:rsid w:val="005E75FC"/>
    <w:rsid w:val="005F5FD1"/>
    <w:rsid w:val="005F7EE8"/>
    <w:rsid w:val="006022B4"/>
    <w:rsid w:val="00603D53"/>
    <w:rsid w:val="00612673"/>
    <w:rsid w:val="00612AFA"/>
    <w:rsid w:val="00614552"/>
    <w:rsid w:val="0061486A"/>
    <w:rsid w:val="00616901"/>
    <w:rsid w:val="006179C8"/>
    <w:rsid w:val="00621D45"/>
    <w:rsid w:val="00623950"/>
    <w:rsid w:val="0062407E"/>
    <w:rsid w:val="00626492"/>
    <w:rsid w:val="0063544E"/>
    <w:rsid w:val="006538BF"/>
    <w:rsid w:val="00674D4C"/>
    <w:rsid w:val="00676741"/>
    <w:rsid w:val="00683870"/>
    <w:rsid w:val="006A2280"/>
    <w:rsid w:val="006B4E9C"/>
    <w:rsid w:val="006B723B"/>
    <w:rsid w:val="006C2473"/>
    <w:rsid w:val="006C4218"/>
    <w:rsid w:val="006D1FBC"/>
    <w:rsid w:val="006E20D9"/>
    <w:rsid w:val="006E28E7"/>
    <w:rsid w:val="006F0F3E"/>
    <w:rsid w:val="006F6652"/>
    <w:rsid w:val="006F7124"/>
    <w:rsid w:val="00701F8B"/>
    <w:rsid w:val="007041EA"/>
    <w:rsid w:val="00713866"/>
    <w:rsid w:val="007249EC"/>
    <w:rsid w:val="00735B28"/>
    <w:rsid w:val="00735E89"/>
    <w:rsid w:val="00742966"/>
    <w:rsid w:val="00753EEE"/>
    <w:rsid w:val="00767553"/>
    <w:rsid w:val="007736B4"/>
    <w:rsid w:val="00773882"/>
    <w:rsid w:val="00773975"/>
    <w:rsid w:val="00776DCB"/>
    <w:rsid w:val="00780299"/>
    <w:rsid w:val="007862DE"/>
    <w:rsid w:val="00786A0F"/>
    <w:rsid w:val="00792A3E"/>
    <w:rsid w:val="00794CC1"/>
    <w:rsid w:val="00794E0E"/>
    <w:rsid w:val="007956AD"/>
    <w:rsid w:val="007B7C1F"/>
    <w:rsid w:val="007C21C8"/>
    <w:rsid w:val="007D0E2E"/>
    <w:rsid w:val="007D5860"/>
    <w:rsid w:val="007E2FB7"/>
    <w:rsid w:val="00805561"/>
    <w:rsid w:val="00806FE1"/>
    <w:rsid w:val="00807234"/>
    <w:rsid w:val="00807ED1"/>
    <w:rsid w:val="00817B11"/>
    <w:rsid w:val="008203EE"/>
    <w:rsid w:val="008267A0"/>
    <w:rsid w:val="0083547C"/>
    <w:rsid w:val="00845761"/>
    <w:rsid w:val="008476E6"/>
    <w:rsid w:val="0085706D"/>
    <w:rsid w:val="00860904"/>
    <w:rsid w:val="00892E7F"/>
    <w:rsid w:val="008A0EBB"/>
    <w:rsid w:val="008A13AC"/>
    <w:rsid w:val="008A51F4"/>
    <w:rsid w:val="008B74C1"/>
    <w:rsid w:val="008C0B4D"/>
    <w:rsid w:val="008C37C8"/>
    <w:rsid w:val="008D7766"/>
    <w:rsid w:val="008E08E3"/>
    <w:rsid w:val="00902EC0"/>
    <w:rsid w:val="009077E2"/>
    <w:rsid w:val="00910F45"/>
    <w:rsid w:val="00911725"/>
    <w:rsid w:val="009351E9"/>
    <w:rsid w:val="00935CE2"/>
    <w:rsid w:val="00940C04"/>
    <w:rsid w:val="00957666"/>
    <w:rsid w:val="00964A6C"/>
    <w:rsid w:val="00970179"/>
    <w:rsid w:val="00977E40"/>
    <w:rsid w:val="00985984"/>
    <w:rsid w:val="00994DCE"/>
    <w:rsid w:val="0099587E"/>
    <w:rsid w:val="009979FA"/>
    <w:rsid w:val="009B3103"/>
    <w:rsid w:val="009B547F"/>
    <w:rsid w:val="009C12FA"/>
    <w:rsid w:val="009D72FE"/>
    <w:rsid w:val="009D747B"/>
    <w:rsid w:val="009F1D59"/>
    <w:rsid w:val="00A00C30"/>
    <w:rsid w:val="00A02AEF"/>
    <w:rsid w:val="00A14A03"/>
    <w:rsid w:val="00A2122C"/>
    <w:rsid w:val="00A270FC"/>
    <w:rsid w:val="00A366FC"/>
    <w:rsid w:val="00A41E4E"/>
    <w:rsid w:val="00A4412E"/>
    <w:rsid w:val="00A47353"/>
    <w:rsid w:val="00A50773"/>
    <w:rsid w:val="00A73C38"/>
    <w:rsid w:val="00A77B0C"/>
    <w:rsid w:val="00A83932"/>
    <w:rsid w:val="00A85305"/>
    <w:rsid w:val="00A8686E"/>
    <w:rsid w:val="00A8732A"/>
    <w:rsid w:val="00A970A2"/>
    <w:rsid w:val="00AB120A"/>
    <w:rsid w:val="00AB50E4"/>
    <w:rsid w:val="00AC1AF9"/>
    <w:rsid w:val="00AC6592"/>
    <w:rsid w:val="00AC742D"/>
    <w:rsid w:val="00AC7DC9"/>
    <w:rsid w:val="00AE14D7"/>
    <w:rsid w:val="00AF01AC"/>
    <w:rsid w:val="00AF7D0C"/>
    <w:rsid w:val="00B0574B"/>
    <w:rsid w:val="00B2037F"/>
    <w:rsid w:val="00B32691"/>
    <w:rsid w:val="00B407F6"/>
    <w:rsid w:val="00B635E3"/>
    <w:rsid w:val="00B72B4F"/>
    <w:rsid w:val="00B8326D"/>
    <w:rsid w:val="00B835C0"/>
    <w:rsid w:val="00B876AF"/>
    <w:rsid w:val="00BA759E"/>
    <w:rsid w:val="00BB532F"/>
    <w:rsid w:val="00BC162D"/>
    <w:rsid w:val="00BC2FE4"/>
    <w:rsid w:val="00BC71F4"/>
    <w:rsid w:val="00BD4DDA"/>
    <w:rsid w:val="00BD7EDD"/>
    <w:rsid w:val="00BE07E9"/>
    <w:rsid w:val="00BE4EAE"/>
    <w:rsid w:val="00C03AFD"/>
    <w:rsid w:val="00C271F9"/>
    <w:rsid w:val="00C30A40"/>
    <w:rsid w:val="00C517B6"/>
    <w:rsid w:val="00C63F0F"/>
    <w:rsid w:val="00C70636"/>
    <w:rsid w:val="00C70842"/>
    <w:rsid w:val="00C7740F"/>
    <w:rsid w:val="00CC76F2"/>
    <w:rsid w:val="00CE105E"/>
    <w:rsid w:val="00CE1E5E"/>
    <w:rsid w:val="00D55E55"/>
    <w:rsid w:val="00D663ED"/>
    <w:rsid w:val="00D67A17"/>
    <w:rsid w:val="00D74882"/>
    <w:rsid w:val="00D759EE"/>
    <w:rsid w:val="00D956AA"/>
    <w:rsid w:val="00DA543F"/>
    <w:rsid w:val="00DC0173"/>
    <w:rsid w:val="00DC11EA"/>
    <w:rsid w:val="00DC4056"/>
    <w:rsid w:val="00DD3576"/>
    <w:rsid w:val="00DE2472"/>
    <w:rsid w:val="00DE58C6"/>
    <w:rsid w:val="00DE6C80"/>
    <w:rsid w:val="00DE7503"/>
    <w:rsid w:val="00DF1540"/>
    <w:rsid w:val="00DF36CD"/>
    <w:rsid w:val="00DF5EB4"/>
    <w:rsid w:val="00E25470"/>
    <w:rsid w:val="00E27471"/>
    <w:rsid w:val="00E44564"/>
    <w:rsid w:val="00E5698D"/>
    <w:rsid w:val="00E72D70"/>
    <w:rsid w:val="00E80A46"/>
    <w:rsid w:val="00E83B02"/>
    <w:rsid w:val="00E85FA0"/>
    <w:rsid w:val="00E87997"/>
    <w:rsid w:val="00E95F38"/>
    <w:rsid w:val="00EA7A67"/>
    <w:rsid w:val="00EB7BF4"/>
    <w:rsid w:val="00EC0B04"/>
    <w:rsid w:val="00EC4A51"/>
    <w:rsid w:val="00EC5C1D"/>
    <w:rsid w:val="00ED176B"/>
    <w:rsid w:val="00EE76C5"/>
    <w:rsid w:val="00F069DC"/>
    <w:rsid w:val="00F31B35"/>
    <w:rsid w:val="00F339CD"/>
    <w:rsid w:val="00F33A43"/>
    <w:rsid w:val="00F41650"/>
    <w:rsid w:val="00F47143"/>
    <w:rsid w:val="00F62D28"/>
    <w:rsid w:val="00F9569D"/>
    <w:rsid w:val="00FC306C"/>
    <w:rsid w:val="00FC6457"/>
    <w:rsid w:val="00FD3076"/>
    <w:rsid w:val="00FD3FFF"/>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770735-C5B4-4FA3-99C7-4743B2E4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Pa18">
    <w:name w:val="Pa18"/>
    <w:basedOn w:val="Normal"/>
    <w:next w:val="Normal"/>
    <w:uiPriority w:val="99"/>
    <w:rsid w:val="006E20D9"/>
    <w:pPr>
      <w:autoSpaceDE w:val="0"/>
      <w:autoSpaceDN w:val="0"/>
      <w:adjustRightInd w:val="0"/>
      <w:spacing w:after="0" w:line="161" w:lineRule="atLeast"/>
    </w:pPr>
    <w:rPr>
      <w:rFonts w:ascii="Rooney Light" w:hAnsi="Rooney Light"/>
      <w:sz w:val="24"/>
      <w:szCs w:val="24"/>
      <w:lang w:val="en-AU"/>
    </w:rPr>
  </w:style>
  <w:style w:type="character" w:styleId="CommentReference">
    <w:name w:val="annotation reference"/>
    <w:basedOn w:val="DefaultParagraphFont"/>
    <w:uiPriority w:val="99"/>
    <w:semiHidden/>
    <w:unhideWhenUsed/>
    <w:rsid w:val="005124AB"/>
    <w:rPr>
      <w:sz w:val="16"/>
      <w:szCs w:val="16"/>
    </w:rPr>
  </w:style>
  <w:style w:type="paragraph" w:styleId="CommentText">
    <w:name w:val="annotation text"/>
    <w:basedOn w:val="Normal"/>
    <w:link w:val="CommentTextChar"/>
    <w:uiPriority w:val="99"/>
    <w:semiHidden/>
    <w:unhideWhenUsed/>
    <w:rsid w:val="005124AB"/>
    <w:pPr>
      <w:spacing w:line="240" w:lineRule="auto"/>
    </w:pPr>
    <w:rPr>
      <w:sz w:val="20"/>
      <w:szCs w:val="20"/>
    </w:rPr>
  </w:style>
  <w:style w:type="character" w:customStyle="1" w:styleId="CommentTextChar">
    <w:name w:val="Comment Text Char"/>
    <w:basedOn w:val="DefaultParagraphFont"/>
    <w:link w:val="CommentText"/>
    <w:uiPriority w:val="99"/>
    <w:semiHidden/>
    <w:rsid w:val="005124AB"/>
    <w:rPr>
      <w:sz w:val="20"/>
      <w:szCs w:val="20"/>
    </w:rPr>
  </w:style>
  <w:style w:type="paragraph" w:styleId="CommentSubject">
    <w:name w:val="annotation subject"/>
    <w:basedOn w:val="CommentText"/>
    <w:next w:val="CommentText"/>
    <w:link w:val="CommentSubjectChar"/>
    <w:uiPriority w:val="99"/>
    <w:semiHidden/>
    <w:unhideWhenUsed/>
    <w:rsid w:val="005124AB"/>
    <w:rPr>
      <w:b/>
      <w:bCs/>
    </w:rPr>
  </w:style>
  <w:style w:type="character" w:customStyle="1" w:styleId="CommentSubjectChar">
    <w:name w:val="Comment Subject Char"/>
    <w:basedOn w:val="CommentTextChar"/>
    <w:link w:val="CommentSubject"/>
    <w:uiPriority w:val="99"/>
    <w:semiHidden/>
    <w:rsid w:val="00512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03443204">
      <w:bodyDiv w:val="1"/>
      <w:marLeft w:val="0"/>
      <w:marRight w:val="0"/>
      <w:marTop w:val="0"/>
      <w:marBottom w:val="0"/>
      <w:divBdr>
        <w:top w:val="none" w:sz="0" w:space="0" w:color="auto"/>
        <w:left w:val="none" w:sz="0" w:space="0" w:color="auto"/>
        <w:bottom w:val="none" w:sz="0" w:space="0" w:color="auto"/>
        <w:right w:val="none" w:sz="0" w:space="0" w:color="auto"/>
      </w:divBdr>
    </w:div>
    <w:div w:id="12347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4694-D029-430F-A013-44C97867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Ashlee Chuter</cp:lastModifiedBy>
  <cp:revision>2</cp:revision>
  <dcterms:created xsi:type="dcterms:W3CDTF">2019-02-11T02:30:00Z</dcterms:created>
  <dcterms:modified xsi:type="dcterms:W3CDTF">2019-02-11T02:30:00Z</dcterms:modified>
</cp:coreProperties>
</file>