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56" w:type="dxa"/>
        <w:tblLook w:val="04A0" w:firstRow="1" w:lastRow="0" w:firstColumn="1" w:lastColumn="0" w:noHBand="0" w:noVBand="1"/>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355D04">
            <w:pPr>
              <w:pStyle w:val="TableTextWhite"/>
              <w:spacing w:line="276" w:lineRule="auto"/>
              <w:rPr>
                <w:b/>
                <w:color w:val="000000"/>
                <w:sz w:val="24"/>
                <w:szCs w:val="24"/>
              </w:rPr>
            </w:pPr>
            <w:r w:rsidRPr="009E6312">
              <w:rPr>
                <w:b/>
              </w:rPr>
              <w:t>Cluster</w:t>
            </w:r>
            <w:r w:rsidR="0049018A">
              <w:rPr>
                <w:b/>
              </w:rPr>
              <w:t>/Agency</w:t>
            </w:r>
            <w:r w:rsidR="000B23B1">
              <w:rPr>
                <w:b/>
              </w:rPr>
              <w:t xml:space="preserve"> </w:t>
            </w:r>
            <w:r w:rsidR="00E05AA1">
              <w:rPr>
                <w:b/>
              </w:rPr>
              <w:t xml:space="preserve"> </w:t>
            </w:r>
          </w:p>
        </w:tc>
        <w:tc>
          <w:tcPr>
            <w:tcW w:w="6530" w:type="dxa"/>
          </w:tcPr>
          <w:p w:rsidR="00A76532" w:rsidRPr="0033590A" w:rsidRDefault="00FF277E" w:rsidP="00355D04">
            <w:pPr>
              <w:pStyle w:val="TableTextWhite"/>
              <w:spacing w:line="276" w:lineRule="auto"/>
            </w:pPr>
            <w:bookmarkStart w:id="0" w:name="Cluster"/>
            <w:bookmarkEnd w:id="0"/>
            <w:r>
              <w:t>Industry, Skills &amp; Regional Development</w:t>
            </w:r>
          </w:p>
        </w:tc>
      </w:tr>
      <w:tr w:rsidR="00A76532" w:rsidRPr="00C978B9" w:rsidTr="00A76532">
        <w:tc>
          <w:tcPr>
            <w:tcW w:w="4026" w:type="dxa"/>
            <w:vAlign w:val="center"/>
          </w:tcPr>
          <w:p w:rsidR="00A76532" w:rsidRPr="009E6312" w:rsidRDefault="00E05AA1" w:rsidP="00355D04">
            <w:pPr>
              <w:pStyle w:val="TableTextWhite"/>
              <w:spacing w:line="276" w:lineRule="auto"/>
              <w:rPr>
                <w:b/>
              </w:rPr>
            </w:pPr>
            <w:bookmarkStart w:id="1" w:name="DeptAgency"/>
            <w:bookmarkEnd w:id="1"/>
            <w:r>
              <w:rPr>
                <w:b/>
              </w:rPr>
              <w:t xml:space="preserve">Agency </w:t>
            </w:r>
          </w:p>
        </w:tc>
        <w:tc>
          <w:tcPr>
            <w:tcW w:w="6530" w:type="dxa"/>
          </w:tcPr>
          <w:p w:rsidR="00A76532" w:rsidRPr="0033590A" w:rsidRDefault="00FF277E" w:rsidP="00355D04">
            <w:pPr>
              <w:pStyle w:val="TableTextWhite"/>
              <w:spacing w:line="276" w:lineRule="auto"/>
            </w:pPr>
            <w:bookmarkStart w:id="2" w:name="Dept"/>
            <w:bookmarkEnd w:id="2"/>
            <w:r>
              <w:t xml:space="preserve">Department of </w:t>
            </w:r>
            <w:r w:rsidR="00E05AA1">
              <w:t>Primary Industries</w:t>
            </w:r>
          </w:p>
        </w:tc>
      </w:tr>
      <w:tr w:rsidR="00A76532" w:rsidRPr="00C978B9" w:rsidTr="00A76532">
        <w:tc>
          <w:tcPr>
            <w:tcW w:w="4026" w:type="dxa"/>
            <w:vAlign w:val="center"/>
          </w:tcPr>
          <w:p w:rsidR="00A76532" w:rsidRPr="009E6312" w:rsidRDefault="0014725A" w:rsidP="00355D04">
            <w:pPr>
              <w:pStyle w:val="TableTextWhite"/>
              <w:spacing w:line="276" w:lineRule="auto"/>
              <w:rPr>
                <w:b/>
                <w:color w:val="000000"/>
                <w:sz w:val="24"/>
                <w:szCs w:val="24"/>
              </w:rPr>
            </w:pPr>
            <w:r>
              <w:rPr>
                <w:b/>
              </w:rPr>
              <w:t>Division</w:t>
            </w:r>
            <w:r w:rsidR="00A76845">
              <w:rPr>
                <w:b/>
              </w:rPr>
              <w:t>/</w:t>
            </w:r>
            <w:r w:rsidR="00A76532" w:rsidRPr="009E6312">
              <w:rPr>
                <w:b/>
              </w:rPr>
              <w:t>Branch/Unit</w:t>
            </w:r>
            <w:r w:rsidR="00E05AA1">
              <w:rPr>
                <w:b/>
              </w:rPr>
              <w:t xml:space="preserve"> </w:t>
            </w:r>
          </w:p>
        </w:tc>
        <w:tc>
          <w:tcPr>
            <w:tcW w:w="6530" w:type="dxa"/>
          </w:tcPr>
          <w:p w:rsidR="00A76532" w:rsidRPr="0033590A" w:rsidRDefault="00E05AA1" w:rsidP="00355D04">
            <w:pPr>
              <w:pStyle w:val="TableTextWhite"/>
              <w:spacing w:line="276" w:lineRule="auto"/>
            </w:pPr>
            <w:bookmarkStart w:id="3" w:name="Branch"/>
            <w:bookmarkEnd w:id="3"/>
            <w:r>
              <w:t>Rural Assistance Authority</w:t>
            </w:r>
          </w:p>
        </w:tc>
      </w:tr>
      <w:tr w:rsidR="00A76532" w:rsidRPr="00C978B9" w:rsidTr="00A76532">
        <w:tc>
          <w:tcPr>
            <w:tcW w:w="4026" w:type="dxa"/>
          </w:tcPr>
          <w:p w:rsidR="00A76532" w:rsidRPr="009E6312" w:rsidRDefault="00A76532" w:rsidP="00355D04">
            <w:pPr>
              <w:pStyle w:val="TableTextWhite"/>
              <w:spacing w:line="276" w:lineRule="auto"/>
              <w:rPr>
                <w:b/>
                <w:color w:val="000000"/>
                <w:sz w:val="24"/>
                <w:szCs w:val="24"/>
              </w:rPr>
            </w:pPr>
            <w:r w:rsidRPr="009E6312">
              <w:rPr>
                <w:b/>
              </w:rPr>
              <w:t>Location</w:t>
            </w:r>
          </w:p>
        </w:tc>
        <w:tc>
          <w:tcPr>
            <w:tcW w:w="6530" w:type="dxa"/>
          </w:tcPr>
          <w:p w:rsidR="00A76532" w:rsidRPr="0033590A" w:rsidRDefault="00E05AA1" w:rsidP="00355D04">
            <w:pPr>
              <w:pStyle w:val="TableTextWhite"/>
              <w:spacing w:line="276" w:lineRule="auto"/>
            </w:pPr>
            <w:bookmarkStart w:id="4" w:name="Location"/>
            <w:bookmarkEnd w:id="4"/>
            <w:r>
              <w:t>Orange</w:t>
            </w:r>
          </w:p>
        </w:tc>
      </w:tr>
      <w:tr w:rsidR="00A76532" w:rsidRPr="00C978B9" w:rsidTr="00A76532">
        <w:tc>
          <w:tcPr>
            <w:tcW w:w="4026" w:type="dxa"/>
            <w:vAlign w:val="center"/>
          </w:tcPr>
          <w:p w:rsidR="00A76532" w:rsidRPr="009E6312" w:rsidRDefault="00A76532" w:rsidP="00355D04">
            <w:pPr>
              <w:pStyle w:val="TableTextWhite"/>
              <w:spacing w:line="276" w:lineRule="auto"/>
              <w:rPr>
                <w:b/>
                <w:color w:val="000000"/>
                <w:sz w:val="24"/>
                <w:szCs w:val="24"/>
              </w:rPr>
            </w:pPr>
            <w:r w:rsidRPr="009E6312">
              <w:rPr>
                <w:b/>
              </w:rPr>
              <w:t>Classification/Grade/Band</w:t>
            </w:r>
          </w:p>
        </w:tc>
        <w:tc>
          <w:tcPr>
            <w:tcW w:w="6530" w:type="dxa"/>
          </w:tcPr>
          <w:p w:rsidR="00A76532" w:rsidRPr="0033590A" w:rsidRDefault="00FF277E" w:rsidP="00355D04">
            <w:pPr>
              <w:pStyle w:val="TableTextWhite"/>
              <w:spacing w:line="276" w:lineRule="auto"/>
            </w:pPr>
            <w:bookmarkStart w:id="5" w:name="Grade"/>
            <w:bookmarkEnd w:id="5"/>
            <w:r>
              <w:t xml:space="preserve">Clerk Grade </w:t>
            </w:r>
            <w:r w:rsidR="00567F5B">
              <w:t>11/12</w:t>
            </w:r>
          </w:p>
        </w:tc>
      </w:tr>
      <w:tr w:rsidR="00A76532" w:rsidRPr="00C978B9" w:rsidTr="00A76532">
        <w:tc>
          <w:tcPr>
            <w:tcW w:w="4026" w:type="dxa"/>
            <w:vAlign w:val="center"/>
          </w:tcPr>
          <w:p w:rsidR="00A76532" w:rsidRPr="009E6312" w:rsidRDefault="00A76532" w:rsidP="00355D04">
            <w:pPr>
              <w:pStyle w:val="TableTextWhite"/>
              <w:spacing w:line="276" w:lineRule="auto"/>
              <w:rPr>
                <w:b/>
                <w:color w:val="000000"/>
                <w:sz w:val="24"/>
                <w:szCs w:val="24"/>
              </w:rPr>
            </w:pPr>
            <w:r w:rsidRPr="009E6312">
              <w:rPr>
                <w:b/>
              </w:rPr>
              <w:t>Kind of Employment</w:t>
            </w:r>
          </w:p>
        </w:tc>
        <w:tc>
          <w:tcPr>
            <w:tcW w:w="6530" w:type="dxa"/>
          </w:tcPr>
          <w:p w:rsidR="00A76532" w:rsidRPr="0033590A" w:rsidRDefault="00FF277E" w:rsidP="00355D04">
            <w:pPr>
              <w:pStyle w:val="TableTextWhite"/>
              <w:spacing w:line="276" w:lineRule="auto"/>
            </w:pPr>
            <w:bookmarkStart w:id="6" w:name="KindOfEmp"/>
            <w:bookmarkEnd w:id="6"/>
            <w:r>
              <w:t>O</w:t>
            </w:r>
            <w:r w:rsidR="00E05AA1">
              <w:t>ngoing</w:t>
            </w:r>
          </w:p>
        </w:tc>
      </w:tr>
      <w:tr w:rsidR="00A76532" w:rsidRPr="00C978B9" w:rsidTr="00A76532">
        <w:tc>
          <w:tcPr>
            <w:tcW w:w="4026" w:type="dxa"/>
            <w:vAlign w:val="center"/>
          </w:tcPr>
          <w:p w:rsidR="00A76532" w:rsidRPr="009E6312" w:rsidRDefault="00FF277E" w:rsidP="00355D04">
            <w:pPr>
              <w:pStyle w:val="TableTextWhite"/>
              <w:spacing w:line="276" w:lineRule="auto"/>
              <w:rPr>
                <w:b/>
                <w:color w:val="000000"/>
                <w:sz w:val="24"/>
                <w:szCs w:val="24"/>
              </w:rPr>
            </w:pPr>
            <w:r w:rsidRPr="009E6312">
              <w:rPr>
                <w:b/>
              </w:rPr>
              <w:t>Role Number</w:t>
            </w:r>
          </w:p>
        </w:tc>
        <w:tc>
          <w:tcPr>
            <w:tcW w:w="6530" w:type="dxa"/>
          </w:tcPr>
          <w:p w:rsidR="00A76532" w:rsidRPr="0033590A" w:rsidRDefault="00A76532" w:rsidP="00355D04">
            <w:pPr>
              <w:pStyle w:val="TableTextWhite"/>
              <w:spacing w:line="276" w:lineRule="auto"/>
            </w:pPr>
            <w:bookmarkStart w:id="7" w:name="ANZSCO"/>
            <w:bookmarkEnd w:id="7"/>
          </w:p>
        </w:tc>
      </w:tr>
      <w:tr w:rsidR="00E31B30" w:rsidRPr="00C978B9" w:rsidTr="00A76532">
        <w:tc>
          <w:tcPr>
            <w:tcW w:w="4026" w:type="dxa"/>
            <w:vAlign w:val="center"/>
          </w:tcPr>
          <w:p w:rsidR="00E31B30" w:rsidRPr="009E6312" w:rsidRDefault="00FF277E" w:rsidP="00355D04">
            <w:pPr>
              <w:pStyle w:val="TableTextWhite"/>
              <w:spacing w:line="276" w:lineRule="auto"/>
              <w:rPr>
                <w:b/>
              </w:rPr>
            </w:pPr>
            <w:r w:rsidRPr="009E6312">
              <w:rPr>
                <w:b/>
              </w:rPr>
              <w:t>ANZSCO Code</w:t>
            </w:r>
          </w:p>
        </w:tc>
        <w:tc>
          <w:tcPr>
            <w:tcW w:w="6530" w:type="dxa"/>
          </w:tcPr>
          <w:p w:rsidR="00E31B30" w:rsidRPr="0033590A" w:rsidRDefault="00A56C8C" w:rsidP="00355D04">
            <w:pPr>
              <w:pStyle w:val="TableTextWhite"/>
              <w:spacing w:line="276" w:lineRule="auto"/>
            </w:pPr>
            <w:bookmarkStart w:id="8" w:name="RoleNum"/>
            <w:bookmarkEnd w:id="8"/>
            <w:r w:rsidRPr="00A56C8C">
              <w:t>132211</w:t>
            </w:r>
          </w:p>
        </w:tc>
      </w:tr>
      <w:tr w:rsidR="00A76532" w:rsidRPr="00C978B9" w:rsidTr="00A76532">
        <w:tc>
          <w:tcPr>
            <w:tcW w:w="4026" w:type="dxa"/>
            <w:vAlign w:val="center"/>
          </w:tcPr>
          <w:p w:rsidR="00A76532" w:rsidRPr="009E6312" w:rsidRDefault="00A76532" w:rsidP="00355D04">
            <w:pPr>
              <w:pStyle w:val="TableTextWhite"/>
              <w:spacing w:line="276" w:lineRule="auto"/>
              <w:rPr>
                <w:b/>
                <w:color w:val="000000"/>
                <w:sz w:val="24"/>
                <w:szCs w:val="24"/>
              </w:rPr>
            </w:pPr>
            <w:r w:rsidRPr="009E6312">
              <w:rPr>
                <w:b/>
              </w:rPr>
              <w:t>PCAT Code</w:t>
            </w:r>
          </w:p>
        </w:tc>
        <w:tc>
          <w:tcPr>
            <w:tcW w:w="6530" w:type="dxa"/>
          </w:tcPr>
          <w:p w:rsidR="00A76532" w:rsidRPr="0033590A" w:rsidRDefault="00A56C8C" w:rsidP="00355D04">
            <w:pPr>
              <w:pStyle w:val="TableTextWhite"/>
              <w:spacing w:line="276" w:lineRule="auto"/>
            </w:pPr>
            <w:bookmarkStart w:id="9" w:name="PCAT"/>
            <w:bookmarkEnd w:id="9"/>
            <w:r w:rsidRPr="00A56C8C">
              <w:t>1113292</w:t>
            </w:r>
          </w:p>
        </w:tc>
      </w:tr>
      <w:tr w:rsidR="00A76532" w:rsidRPr="00C978B9" w:rsidTr="00A76532">
        <w:tc>
          <w:tcPr>
            <w:tcW w:w="4026" w:type="dxa"/>
            <w:vAlign w:val="center"/>
          </w:tcPr>
          <w:p w:rsidR="00A76532" w:rsidRPr="009E6312" w:rsidRDefault="00A76532" w:rsidP="00355D04">
            <w:pPr>
              <w:pStyle w:val="TableTextWhite"/>
              <w:spacing w:line="276" w:lineRule="auto"/>
              <w:rPr>
                <w:b/>
                <w:color w:val="000000"/>
                <w:sz w:val="24"/>
                <w:szCs w:val="24"/>
              </w:rPr>
            </w:pPr>
            <w:r w:rsidRPr="009E6312">
              <w:rPr>
                <w:b/>
              </w:rPr>
              <w:t>Date of Approval</w:t>
            </w:r>
          </w:p>
        </w:tc>
        <w:tc>
          <w:tcPr>
            <w:tcW w:w="6530" w:type="dxa"/>
          </w:tcPr>
          <w:p w:rsidR="00A76532" w:rsidRPr="0033590A" w:rsidRDefault="00F603F5" w:rsidP="00355D04">
            <w:pPr>
              <w:pStyle w:val="TableTextWhite"/>
              <w:spacing w:line="276" w:lineRule="auto"/>
            </w:pPr>
            <w:bookmarkStart w:id="10" w:name="Date"/>
            <w:bookmarkEnd w:id="10"/>
            <w:r>
              <w:t>22 March 2016</w:t>
            </w:r>
          </w:p>
        </w:tc>
      </w:tr>
      <w:tr w:rsidR="00A76532" w:rsidRPr="00C978B9" w:rsidTr="00A76532">
        <w:tc>
          <w:tcPr>
            <w:tcW w:w="4026" w:type="dxa"/>
            <w:vAlign w:val="center"/>
          </w:tcPr>
          <w:p w:rsidR="00A76532" w:rsidRPr="009E6312" w:rsidRDefault="00D201B3" w:rsidP="00355D04">
            <w:pPr>
              <w:pStyle w:val="TableTextWhite"/>
              <w:spacing w:line="276" w:lineRule="auto"/>
              <w:rPr>
                <w:b/>
                <w:color w:val="000000"/>
                <w:sz w:val="24"/>
                <w:szCs w:val="24"/>
              </w:rPr>
            </w:pPr>
            <w:r w:rsidRPr="009E6312">
              <w:rPr>
                <w:b/>
              </w:rPr>
              <w:t>Agency We</w:t>
            </w:r>
            <w:r w:rsidR="00A76532" w:rsidRPr="009E6312">
              <w:rPr>
                <w:b/>
              </w:rPr>
              <w:t>bsite</w:t>
            </w:r>
          </w:p>
        </w:tc>
        <w:tc>
          <w:tcPr>
            <w:tcW w:w="6530" w:type="dxa"/>
          </w:tcPr>
          <w:p w:rsidR="00A76532" w:rsidRPr="0033590A" w:rsidRDefault="00FF277E" w:rsidP="00355D04">
            <w:pPr>
              <w:pStyle w:val="TableTextWhite"/>
              <w:spacing w:line="276" w:lineRule="auto"/>
            </w:pPr>
            <w:bookmarkStart w:id="11" w:name="AgencyURL"/>
            <w:bookmarkEnd w:id="11"/>
            <w:r>
              <w:t>www.industry.nsw.gov.au</w:t>
            </w:r>
          </w:p>
        </w:tc>
      </w:tr>
    </w:tbl>
    <w:p w:rsidR="00FF277E" w:rsidRDefault="00FF277E" w:rsidP="00355D04">
      <w:pPr>
        <w:pStyle w:val="Heading1"/>
        <w:spacing w:before="40" w:line="276" w:lineRule="auto"/>
      </w:pPr>
      <w:bookmarkStart w:id="12" w:name="DeptAgency2"/>
      <w:bookmarkEnd w:id="12"/>
    </w:p>
    <w:p w:rsidR="00A76532" w:rsidRPr="00C978B9" w:rsidRDefault="00E05AA1" w:rsidP="00355D04">
      <w:pPr>
        <w:pStyle w:val="Heading1"/>
        <w:spacing w:before="40" w:line="276" w:lineRule="auto"/>
      </w:pPr>
      <w:r>
        <w:t xml:space="preserve">Agency </w:t>
      </w:r>
      <w:r w:rsidR="0003659D" w:rsidRPr="00C978B9">
        <w:t>overview</w:t>
      </w:r>
    </w:p>
    <w:p w:rsidR="00FF277E" w:rsidRPr="001D2022" w:rsidRDefault="00FF277E" w:rsidP="00355D04">
      <w:pPr>
        <w:shd w:val="clear" w:color="auto" w:fill="FFFFFF"/>
        <w:spacing w:line="276" w:lineRule="auto"/>
        <w:contextualSpacing/>
        <w:rPr>
          <w:rFonts w:cs="Arial"/>
        </w:rPr>
      </w:pPr>
      <w:bookmarkStart w:id="13" w:name="DeptOverview"/>
      <w:bookmarkEnd w:id="13"/>
      <w:r w:rsidRPr="001D2022">
        <w:rPr>
          <w:rFonts w:cs="Arial"/>
        </w:rPr>
        <w:t>The NSW Department of Industry, Skills and Regional Development (known as the NSW Department of Industry) leads the state government’s contribution to making NSW:</w:t>
      </w:r>
    </w:p>
    <w:p w:rsidR="00FF277E" w:rsidRPr="001D2022" w:rsidRDefault="00FF277E" w:rsidP="00355D04">
      <w:pPr>
        <w:numPr>
          <w:ilvl w:val="0"/>
          <w:numId w:val="39"/>
        </w:numPr>
        <w:shd w:val="clear" w:color="auto" w:fill="FFFFFF"/>
        <w:spacing w:after="200" w:line="276" w:lineRule="auto"/>
        <w:contextualSpacing/>
        <w:rPr>
          <w:rFonts w:cs="Arial"/>
        </w:rPr>
      </w:pPr>
      <w:r w:rsidRPr="001D2022">
        <w:rPr>
          <w:rFonts w:cs="Arial"/>
        </w:rPr>
        <w:t>A fertile place to invest and to produce goods and services, and thereby</w:t>
      </w:r>
    </w:p>
    <w:p w:rsidR="00FF277E" w:rsidRPr="001D2022" w:rsidRDefault="00FF277E" w:rsidP="00355D04">
      <w:pPr>
        <w:numPr>
          <w:ilvl w:val="0"/>
          <w:numId w:val="39"/>
        </w:numPr>
        <w:shd w:val="clear" w:color="auto" w:fill="FFFFFF"/>
        <w:spacing w:after="200" w:line="276" w:lineRule="auto"/>
        <w:ind w:left="714" w:hanging="357"/>
        <w:rPr>
          <w:rFonts w:cs="Arial"/>
        </w:rPr>
      </w:pPr>
      <w:r w:rsidRPr="001D2022">
        <w:rPr>
          <w:rFonts w:cs="Arial"/>
        </w:rPr>
        <w:t>Create jobs and opportunities for our citizens</w:t>
      </w:r>
    </w:p>
    <w:p w:rsidR="00FF277E" w:rsidRPr="001D2022" w:rsidRDefault="00FF277E" w:rsidP="00355D04">
      <w:pPr>
        <w:shd w:val="clear" w:color="auto" w:fill="FFFFFF"/>
        <w:spacing w:line="276" w:lineRule="auto"/>
        <w:rPr>
          <w:rFonts w:cs="Arial"/>
        </w:rPr>
      </w:pPr>
      <w:r w:rsidRPr="001D2022">
        <w:rPr>
          <w:rFonts w:cs="Arial"/>
        </w:rPr>
        <w:t>We support all areas of economic activity where NSW has competitive strengths.  We also have responsibilities for:</w:t>
      </w:r>
    </w:p>
    <w:p w:rsidR="00FF277E" w:rsidRPr="001D2022" w:rsidRDefault="00FF277E" w:rsidP="00355D04">
      <w:pPr>
        <w:numPr>
          <w:ilvl w:val="0"/>
          <w:numId w:val="39"/>
        </w:numPr>
        <w:shd w:val="clear" w:color="auto" w:fill="FFFFFF"/>
        <w:spacing w:after="200" w:line="276" w:lineRule="auto"/>
        <w:contextualSpacing/>
        <w:rPr>
          <w:rFonts w:cs="Arial"/>
        </w:rPr>
      </w:pPr>
      <w:r w:rsidRPr="001D2022">
        <w:rPr>
          <w:rFonts w:cs="Arial"/>
        </w:rPr>
        <w:t>Skill formation and development to match industry demand</w:t>
      </w:r>
    </w:p>
    <w:p w:rsidR="00FF277E" w:rsidRPr="001D2022" w:rsidRDefault="00FF277E" w:rsidP="00355D04">
      <w:pPr>
        <w:numPr>
          <w:ilvl w:val="0"/>
          <w:numId w:val="39"/>
        </w:numPr>
        <w:shd w:val="clear" w:color="auto" w:fill="FFFFFF"/>
        <w:spacing w:after="200" w:line="276" w:lineRule="auto"/>
        <w:contextualSpacing/>
        <w:rPr>
          <w:rFonts w:cs="Arial"/>
        </w:rPr>
      </w:pPr>
      <w:r w:rsidRPr="001D2022">
        <w:rPr>
          <w:rFonts w:cs="Arial"/>
        </w:rPr>
        <w:t>Partnering with stakeholders in stewardship and sustainable use of the state’s natural resources; and</w:t>
      </w:r>
    </w:p>
    <w:p w:rsidR="00FF277E" w:rsidRPr="001D2022" w:rsidRDefault="00FF277E" w:rsidP="00355D04">
      <w:pPr>
        <w:numPr>
          <w:ilvl w:val="0"/>
          <w:numId w:val="39"/>
        </w:numPr>
        <w:shd w:val="clear" w:color="auto" w:fill="FFFFFF"/>
        <w:spacing w:after="200" w:line="276" w:lineRule="auto"/>
        <w:ind w:left="714" w:hanging="357"/>
        <w:rPr>
          <w:rFonts w:cs="Arial"/>
        </w:rPr>
      </w:pPr>
      <w:r w:rsidRPr="001D2022">
        <w:rPr>
          <w:rFonts w:cs="Arial"/>
        </w:rPr>
        <w:t>Supporting economic growth in the regions.</w:t>
      </w:r>
    </w:p>
    <w:p w:rsidR="00FF277E" w:rsidRPr="001D2022" w:rsidRDefault="00FF277E" w:rsidP="00355D04">
      <w:pPr>
        <w:shd w:val="clear" w:color="auto" w:fill="FFFFFF"/>
        <w:spacing w:line="276" w:lineRule="auto"/>
        <w:rPr>
          <w:rFonts w:cs="Arial"/>
        </w:rPr>
      </w:pPr>
      <w:r w:rsidRPr="001D2022">
        <w:rPr>
          <w:rFonts w:cs="Arial"/>
        </w:rPr>
        <w:t xml:space="preserve">Our strategies are built on close relationships to understand </w:t>
      </w:r>
      <w:r w:rsidRPr="0016668F">
        <w:rPr>
          <w:rFonts w:cs="Arial"/>
          <w:noProof/>
          <w:u w:val="thick" w:color="28B473"/>
        </w:rPr>
        <w:t>industry’s</w:t>
      </w:r>
      <w:r w:rsidRPr="001D2022">
        <w:rPr>
          <w:rFonts w:cs="Arial"/>
        </w:rPr>
        <w:t xml:space="preserve"> needs.  We deliver a wide range of training and specialist advisory services</w:t>
      </w:r>
      <w:r w:rsidRPr="0016668F">
        <w:rPr>
          <w:rFonts w:cs="Arial"/>
          <w:noProof/>
          <w:u w:val="thick" w:color="28B473"/>
        </w:rPr>
        <w:t>; and</w:t>
      </w:r>
      <w:r w:rsidRPr="001D2022">
        <w:rPr>
          <w:rFonts w:cs="Arial"/>
        </w:rPr>
        <w:t xml:space="preserve"> we help to secure efficient and dependable government decision-making that contributes to business confidence.  We measure our success by the:</w:t>
      </w:r>
    </w:p>
    <w:p w:rsidR="00FF277E" w:rsidRPr="001D2022" w:rsidRDefault="00FF277E" w:rsidP="00355D04">
      <w:pPr>
        <w:numPr>
          <w:ilvl w:val="0"/>
          <w:numId w:val="40"/>
        </w:numPr>
        <w:shd w:val="clear" w:color="auto" w:fill="FFFFFF"/>
        <w:spacing w:after="200" w:line="276" w:lineRule="auto"/>
        <w:ind w:left="714" w:hanging="357"/>
        <w:contextualSpacing/>
        <w:rPr>
          <w:rFonts w:cs="Arial"/>
        </w:rPr>
      </w:pPr>
      <w:r w:rsidRPr="001D2022">
        <w:rPr>
          <w:rFonts w:cs="Arial"/>
        </w:rPr>
        <w:t xml:space="preserve">Growth in </w:t>
      </w:r>
      <w:r w:rsidRPr="0016668F">
        <w:rPr>
          <w:rFonts w:cs="Arial"/>
          <w:noProof/>
          <w:u w:val="thick" w:color="28B473"/>
        </w:rPr>
        <w:t>quantity</w:t>
      </w:r>
      <w:r w:rsidRPr="001D2022">
        <w:rPr>
          <w:rFonts w:cs="Arial"/>
        </w:rPr>
        <w:t xml:space="preserve"> of employment and the value of output; and the </w:t>
      </w:r>
    </w:p>
    <w:p w:rsidR="00FF277E" w:rsidRPr="001D2022" w:rsidRDefault="00FF277E" w:rsidP="00355D04">
      <w:pPr>
        <w:numPr>
          <w:ilvl w:val="0"/>
          <w:numId w:val="40"/>
        </w:numPr>
        <w:tabs>
          <w:tab w:val="left" w:pos="2925"/>
        </w:tabs>
        <w:spacing w:after="200" w:line="276" w:lineRule="auto"/>
        <w:ind w:left="714" w:hanging="357"/>
        <w:rPr>
          <w:rFonts w:cs="Arial"/>
        </w:rPr>
      </w:pPr>
      <w:r w:rsidRPr="001D2022">
        <w:rPr>
          <w:rFonts w:cs="Arial"/>
        </w:rPr>
        <w:t>Competitiveness and sustainability of industries in NSW.</w:t>
      </w:r>
    </w:p>
    <w:p w:rsidR="00FF277E" w:rsidRDefault="00FF277E" w:rsidP="00355D04">
      <w:pPr>
        <w:tabs>
          <w:tab w:val="left" w:pos="2925"/>
        </w:tabs>
        <w:spacing w:after="240" w:line="276" w:lineRule="auto"/>
        <w:rPr>
          <w:rFonts w:cs="Arial"/>
        </w:rPr>
      </w:pPr>
      <w:r w:rsidRPr="001D2022">
        <w:rPr>
          <w:rFonts w:cs="Arial"/>
        </w:rPr>
        <w:t>NSW Primary Industries (NSW DPI) supports the development of profitable primary industries that create a more prosperous NSW and contributes to a better environment through the sustainable use of natural resources.</w:t>
      </w:r>
    </w:p>
    <w:p w:rsidR="00B74D7C" w:rsidRPr="00B74D7C" w:rsidRDefault="00B3490C" w:rsidP="00355D04">
      <w:pPr>
        <w:spacing w:line="276" w:lineRule="auto"/>
        <w:rPr>
          <w:szCs w:val="22"/>
        </w:rPr>
      </w:pPr>
      <w:r w:rsidRPr="00B74D7C">
        <w:rPr>
          <w:szCs w:val="22"/>
        </w:rPr>
        <w:t>Within NSW DPI, the Rural Assistance Authority</w:t>
      </w:r>
      <w:r w:rsidR="00B74D7C" w:rsidRPr="00B74D7C">
        <w:rPr>
          <w:szCs w:val="22"/>
        </w:rPr>
        <w:t xml:space="preserve"> provides financial assistance to primary producers and small business operators in regional NSW through programs that encourage self-reliance and adaptation to change. </w:t>
      </w:r>
    </w:p>
    <w:p w:rsidR="00057CB3" w:rsidRDefault="00057CB3" w:rsidP="00355D04">
      <w:pPr>
        <w:pStyle w:val="Heading1"/>
        <w:spacing w:after="240" w:line="276" w:lineRule="auto"/>
      </w:pPr>
      <w:r w:rsidRPr="0016668F">
        <w:rPr>
          <w:noProof/>
          <w:u w:val="thick" w:color="28B473"/>
        </w:rPr>
        <w:lastRenderedPageBreak/>
        <w:t>Primary</w:t>
      </w:r>
      <w:r w:rsidRPr="00C978B9">
        <w:t xml:space="preserve"> purpose of the role</w:t>
      </w:r>
    </w:p>
    <w:p w:rsidR="002B4E95" w:rsidRPr="00D57BC6" w:rsidRDefault="00FF277E" w:rsidP="00355D04">
      <w:pPr>
        <w:pStyle w:val="NoSpacing"/>
        <w:spacing w:line="276" w:lineRule="auto"/>
        <w:rPr>
          <w:rFonts w:ascii="Arial" w:hAnsi="Arial"/>
          <w:sz w:val="22"/>
          <w:szCs w:val="20"/>
        </w:rPr>
      </w:pPr>
      <w:r w:rsidRPr="00D57BC6">
        <w:rPr>
          <w:rFonts w:ascii="Arial" w:hAnsi="Arial"/>
          <w:sz w:val="22"/>
          <w:szCs w:val="20"/>
        </w:rPr>
        <w:t xml:space="preserve">The role </w:t>
      </w:r>
      <w:r w:rsidR="00D57BC6" w:rsidRPr="00D57BC6">
        <w:rPr>
          <w:rFonts w:ascii="Arial" w:hAnsi="Arial"/>
          <w:sz w:val="22"/>
          <w:szCs w:val="20"/>
        </w:rPr>
        <w:t>leads a team that is responsible for financial performance using tools and systems that support the delivery of the Authority’s loans, grants and other funding programs.</w:t>
      </w:r>
    </w:p>
    <w:p w:rsidR="00F80197" w:rsidRDefault="00F80197" w:rsidP="00355D04">
      <w:pPr>
        <w:spacing w:line="276" w:lineRule="auto"/>
      </w:pPr>
    </w:p>
    <w:p w:rsidR="00057CB3" w:rsidRPr="00C978B9" w:rsidRDefault="00057CB3" w:rsidP="00355D04">
      <w:pPr>
        <w:pStyle w:val="Heading1"/>
        <w:spacing w:after="240" w:line="276" w:lineRule="auto"/>
      </w:pPr>
      <w:bookmarkStart w:id="14" w:name="Purpose"/>
      <w:bookmarkEnd w:id="14"/>
      <w:r w:rsidRPr="00C978B9">
        <w:t xml:space="preserve">Key </w:t>
      </w:r>
      <w:r w:rsidR="00043B92">
        <w:t>a</w:t>
      </w:r>
      <w:r w:rsidRPr="00C978B9">
        <w:t>ccountabilities</w:t>
      </w:r>
    </w:p>
    <w:p w:rsidR="00D57BC6" w:rsidRPr="00D57BC6" w:rsidRDefault="00D57BC6" w:rsidP="00355D04">
      <w:pPr>
        <w:pStyle w:val="ListParagraph"/>
        <w:numPr>
          <w:ilvl w:val="0"/>
          <w:numId w:val="37"/>
        </w:numPr>
        <w:spacing w:line="276" w:lineRule="auto"/>
      </w:pPr>
      <w:bookmarkStart w:id="15" w:name="Accountabilities"/>
      <w:bookmarkEnd w:id="15"/>
      <w:r w:rsidRPr="00D57BC6">
        <w:t>Embed and maintain effective business systems and reporting tools for the Authority that withstand expert internal and external scrutiny for all operations</w:t>
      </w:r>
    </w:p>
    <w:p w:rsidR="00D57BC6" w:rsidRPr="00D57BC6" w:rsidRDefault="00D57BC6" w:rsidP="00355D04">
      <w:pPr>
        <w:pStyle w:val="ListParagraph"/>
        <w:numPr>
          <w:ilvl w:val="0"/>
          <w:numId w:val="37"/>
        </w:numPr>
        <w:spacing w:line="276" w:lineRule="auto"/>
      </w:pPr>
      <w:r w:rsidRPr="00D57BC6">
        <w:t>Manage the effective delivery of finance and accounting functions, financial systems and reporting requirements of the Authority using appropriate practices and tools; and provide comprehensive financial advice to the Director, CEO and Authority members that meet statutory requirements</w:t>
      </w:r>
    </w:p>
    <w:p w:rsidR="00D57BC6" w:rsidRPr="00D57BC6" w:rsidRDefault="00D57BC6" w:rsidP="00355D04">
      <w:pPr>
        <w:pStyle w:val="ListParagraph"/>
        <w:numPr>
          <w:ilvl w:val="0"/>
          <w:numId w:val="37"/>
        </w:numPr>
        <w:spacing w:line="276" w:lineRule="auto"/>
      </w:pPr>
      <w:r w:rsidRPr="00D57BC6">
        <w:t>Develop and emb</w:t>
      </w:r>
      <w:r>
        <w:t xml:space="preserve">ed </w:t>
      </w:r>
      <w:r w:rsidRPr="00454114">
        <w:rPr>
          <w:noProof/>
        </w:rPr>
        <w:t>a comprehensive, integrated enquiries</w:t>
      </w:r>
      <w:r w:rsidRPr="00D57BC6">
        <w:t xml:space="preserve">, records management and information repository system leveraging off existing systems and architecture </w:t>
      </w:r>
    </w:p>
    <w:p w:rsidR="00D57BC6" w:rsidRPr="00D57BC6" w:rsidRDefault="00D57BC6" w:rsidP="00355D04">
      <w:pPr>
        <w:pStyle w:val="ListParagraph"/>
        <w:numPr>
          <w:ilvl w:val="0"/>
          <w:numId w:val="37"/>
        </w:numPr>
        <w:spacing w:line="276" w:lineRule="auto"/>
      </w:pPr>
      <w:r w:rsidRPr="00D57BC6">
        <w:t>Manage account processing and procurements according to program schedules and guidelines</w:t>
      </w:r>
    </w:p>
    <w:p w:rsidR="00D57BC6" w:rsidRPr="00D57BC6" w:rsidRDefault="00D57BC6" w:rsidP="00355D04">
      <w:pPr>
        <w:pStyle w:val="ListParagraph"/>
        <w:numPr>
          <w:ilvl w:val="0"/>
          <w:numId w:val="37"/>
        </w:numPr>
        <w:spacing w:line="276" w:lineRule="auto"/>
      </w:pPr>
      <w:r w:rsidRPr="00D57BC6">
        <w:t xml:space="preserve">Manage the Authority’s staff establishment and personnel services to meet peak </w:t>
      </w:r>
      <w:r w:rsidRPr="00592AD0">
        <w:rPr>
          <w:noProof/>
        </w:rPr>
        <w:t>work load</w:t>
      </w:r>
      <w:r w:rsidRPr="00D57BC6">
        <w:t xml:space="preserve"> demands</w:t>
      </w:r>
    </w:p>
    <w:p w:rsidR="00D57BC6" w:rsidRPr="00D57BC6" w:rsidRDefault="00D57BC6" w:rsidP="00355D04">
      <w:pPr>
        <w:pStyle w:val="ListParagraph"/>
        <w:numPr>
          <w:ilvl w:val="0"/>
          <w:numId w:val="37"/>
        </w:numPr>
        <w:spacing w:line="276" w:lineRule="auto"/>
      </w:pPr>
      <w:r w:rsidRPr="00D57BC6">
        <w:t>Mitigate the Authority’s risk profile by implementing tools and practices to manage fraud and business systems failure</w:t>
      </w:r>
    </w:p>
    <w:p w:rsidR="00D57BC6" w:rsidRPr="00D57BC6" w:rsidRDefault="00D57BC6" w:rsidP="00355D04">
      <w:pPr>
        <w:pStyle w:val="ListParagraph"/>
        <w:numPr>
          <w:ilvl w:val="0"/>
          <w:numId w:val="37"/>
        </w:numPr>
        <w:spacing w:line="276" w:lineRule="auto"/>
      </w:pPr>
      <w:r w:rsidRPr="00D57BC6">
        <w:t>Manage and support the Authority’s audit and risk committee and implement committee decisions</w:t>
      </w:r>
    </w:p>
    <w:p w:rsidR="00D57BC6" w:rsidRPr="00D57BC6" w:rsidRDefault="00D57BC6" w:rsidP="00355D04">
      <w:pPr>
        <w:pStyle w:val="ListParagraph"/>
        <w:numPr>
          <w:ilvl w:val="0"/>
          <w:numId w:val="37"/>
        </w:numPr>
        <w:spacing w:line="276" w:lineRule="auto"/>
      </w:pPr>
      <w:r w:rsidRPr="00D57BC6">
        <w:t>Lead the development</w:t>
      </w:r>
      <w:r>
        <w:t xml:space="preserve"> and ongoing management of the t</w:t>
      </w:r>
      <w:r w:rsidRPr="00D57BC6">
        <w:t>eam business plans and budget and effectively lead and manage the team, including managing performance, and motivating and developing staff</w:t>
      </w:r>
    </w:p>
    <w:p w:rsidR="00057CB3" w:rsidRPr="00C978B9" w:rsidRDefault="00057CB3" w:rsidP="00355D04">
      <w:pPr>
        <w:pStyle w:val="ListBullet"/>
        <w:numPr>
          <w:ilvl w:val="0"/>
          <w:numId w:val="0"/>
        </w:numPr>
        <w:spacing w:line="276" w:lineRule="auto"/>
        <w:ind w:left="284"/>
      </w:pPr>
    </w:p>
    <w:p w:rsidR="00057CB3" w:rsidRPr="00C978B9" w:rsidRDefault="00057CB3" w:rsidP="00355D04">
      <w:pPr>
        <w:pStyle w:val="Heading1"/>
        <w:spacing w:line="276" w:lineRule="auto"/>
      </w:pPr>
      <w:r w:rsidRPr="00C978B9">
        <w:t>Key</w:t>
      </w:r>
      <w:r w:rsidR="00E31CD3" w:rsidRPr="00C978B9">
        <w:t xml:space="preserve"> </w:t>
      </w:r>
      <w:r w:rsidR="00043B92">
        <w:t>c</w:t>
      </w:r>
      <w:r w:rsidRPr="00C978B9">
        <w:t>hallenges</w:t>
      </w:r>
      <w:bookmarkStart w:id="16" w:name="_GoBack"/>
      <w:bookmarkEnd w:id="16"/>
    </w:p>
    <w:p w:rsidR="00D57BC6" w:rsidRPr="00D57BC6" w:rsidRDefault="00D57BC6" w:rsidP="00355D04">
      <w:pPr>
        <w:pStyle w:val="ListParagraph"/>
        <w:numPr>
          <w:ilvl w:val="0"/>
          <w:numId w:val="37"/>
        </w:numPr>
        <w:spacing w:line="276" w:lineRule="auto"/>
      </w:pPr>
      <w:bookmarkStart w:id="17" w:name="Challenges"/>
      <w:bookmarkEnd w:id="17"/>
      <w:r w:rsidRPr="00D57BC6">
        <w:t xml:space="preserve">Implementing new business practices and tools that comply with </w:t>
      </w:r>
      <w:r w:rsidRPr="00592AD0">
        <w:rPr>
          <w:noProof/>
        </w:rPr>
        <w:t>NSW</w:t>
      </w:r>
      <w:r w:rsidRPr="00D57BC6">
        <w:t xml:space="preserve"> Public Finance &amp; Audit Act and NSW Treasury directions</w:t>
      </w:r>
    </w:p>
    <w:p w:rsidR="00D57BC6" w:rsidRPr="00D57BC6" w:rsidRDefault="00D57BC6" w:rsidP="00355D04">
      <w:pPr>
        <w:pStyle w:val="ListParagraph"/>
        <w:numPr>
          <w:ilvl w:val="0"/>
          <w:numId w:val="37"/>
        </w:numPr>
        <w:spacing w:line="276" w:lineRule="auto"/>
      </w:pPr>
      <w:r w:rsidRPr="00D57BC6">
        <w:t>Developing, coordinating and implementing effective and innovative business processes to drive continuous improvement in financial and business systems.</w:t>
      </w:r>
    </w:p>
    <w:p w:rsidR="00D57BC6" w:rsidRPr="00D57BC6" w:rsidRDefault="00D57BC6" w:rsidP="00355D04">
      <w:pPr>
        <w:pStyle w:val="ListParagraph"/>
        <w:numPr>
          <w:ilvl w:val="0"/>
          <w:numId w:val="37"/>
        </w:numPr>
        <w:spacing w:line="276" w:lineRule="auto"/>
      </w:pPr>
      <w:r w:rsidRPr="00D57BC6">
        <w:t>Maintaining knowledge of contemporary best practice in financial administration</w:t>
      </w:r>
    </w:p>
    <w:p w:rsidR="00057CB3" w:rsidRPr="00C978B9" w:rsidRDefault="00057CB3" w:rsidP="00355D04">
      <w:pPr>
        <w:pStyle w:val="ListBullet"/>
        <w:numPr>
          <w:ilvl w:val="0"/>
          <w:numId w:val="0"/>
        </w:numPr>
        <w:spacing w:line="276" w:lineRule="auto"/>
        <w:ind w:left="284"/>
      </w:pPr>
    </w:p>
    <w:p w:rsidR="00057CB3" w:rsidRDefault="00043B92" w:rsidP="00355D04">
      <w:pPr>
        <w:pStyle w:val="Heading1"/>
        <w:spacing w:line="276" w:lineRule="auto"/>
      </w:pPr>
      <w:r>
        <w:t>Key r</w:t>
      </w:r>
      <w:r w:rsidR="00057CB3" w:rsidRPr="00C978B9">
        <w:t>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17588F" w:rsidRPr="00C978B9" w:rsidTr="0065584C">
        <w:trPr>
          <w:cnfStyle w:val="100000000000" w:firstRow="1" w:lastRow="0" w:firstColumn="0" w:lastColumn="0" w:oddVBand="0" w:evenVBand="0" w:oddHBand="0" w:evenHBand="0" w:firstRowFirstColumn="0" w:firstRowLastColumn="0" w:lastRowFirstColumn="0" w:lastRowLastColumn="0"/>
          <w:tblHeader/>
        </w:trPr>
        <w:tc>
          <w:tcPr>
            <w:tcW w:w="3601" w:type="dxa"/>
          </w:tcPr>
          <w:p w:rsidR="0017588F" w:rsidRPr="00C978B9" w:rsidRDefault="0017588F" w:rsidP="00355D04">
            <w:pPr>
              <w:pStyle w:val="TableTextWhite0"/>
              <w:spacing w:line="276" w:lineRule="auto"/>
            </w:pPr>
            <w:r w:rsidRPr="00C978B9">
              <w:t>Who</w:t>
            </w:r>
          </w:p>
        </w:tc>
        <w:tc>
          <w:tcPr>
            <w:tcW w:w="6986" w:type="dxa"/>
          </w:tcPr>
          <w:p w:rsidR="0017588F" w:rsidRPr="00C978B9" w:rsidRDefault="0017588F" w:rsidP="00355D04">
            <w:pPr>
              <w:pStyle w:val="TableTextWhite0"/>
              <w:spacing w:line="276" w:lineRule="auto"/>
            </w:pPr>
            <w:r>
              <w:t xml:space="preserve">       </w:t>
            </w:r>
            <w:r w:rsidRPr="00C978B9">
              <w:t>Why</w:t>
            </w:r>
          </w:p>
        </w:tc>
      </w:tr>
      <w:tr w:rsidR="0017588F" w:rsidRPr="00A8245E" w:rsidTr="0065584C">
        <w:tc>
          <w:tcPr>
            <w:tcW w:w="3601" w:type="dxa"/>
            <w:shd w:val="clear" w:color="auto" w:fill="BCBEC0"/>
          </w:tcPr>
          <w:p w:rsidR="0017588F" w:rsidRPr="00A8245E" w:rsidRDefault="0017588F" w:rsidP="00355D04">
            <w:pPr>
              <w:pStyle w:val="TableText"/>
              <w:keepNext/>
              <w:spacing w:line="276" w:lineRule="auto"/>
              <w:rPr>
                <w:b/>
              </w:rPr>
            </w:pPr>
            <w:r w:rsidRPr="00A8245E">
              <w:rPr>
                <w:b/>
              </w:rPr>
              <w:t>Internal</w:t>
            </w:r>
          </w:p>
        </w:tc>
        <w:tc>
          <w:tcPr>
            <w:tcW w:w="6986" w:type="dxa"/>
            <w:shd w:val="clear" w:color="auto" w:fill="BCBEC0"/>
          </w:tcPr>
          <w:p w:rsidR="0017588F" w:rsidRPr="00A8245E" w:rsidRDefault="0017588F" w:rsidP="00355D04">
            <w:pPr>
              <w:pStyle w:val="TableText"/>
              <w:keepNext/>
              <w:spacing w:line="276" w:lineRule="auto"/>
              <w:rPr>
                <w:b/>
              </w:rPr>
            </w:pPr>
          </w:p>
        </w:tc>
      </w:tr>
      <w:tr w:rsidR="0017588F" w:rsidRPr="00C978B9" w:rsidTr="0065584C">
        <w:tc>
          <w:tcPr>
            <w:tcW w:w="3601" w:type="dxa"/>
            <w:tcBorders>
              <w:top w:val="single" w:sz="8" w:space="0" w:color="auto"/>
              <w:bottom w:val="single" w:sz="8" w:space="0" w:color="BCBEC0"/>
            </w:tcBorders>
          </w:tcPr>
          <w:p w:rsidR="0017588F" w:rsidRPr="00A15CDB" w:rsidRDefault="00D57BC6" w:rsidP="00355D04">
            <w:pPr>
              <w:pStyle w:val="TableText"/>
              <w:spacing w:line="276" w:lineRule="auto"/>
            </w:pPr>
            <w:r>
              <w:t>Director, RAA CEO</w:t>
            </w:r>
          </w:p>
        </w:tc>
        <w:tc>
          <w:tcPr>
            <w:tcW w:w="6986" w:type="dxa"/>
            <w:tcBorders>
              <w:top w:val="single" w:sz="8" w:space="0" w:color="auto"/>
              <w:bottom w:val="single" w:sz="8" w:space="0" w:color="BCBEC0"/>
            </w:tcBorders>
          </w:tcPr>
          <w:p w:rsidR="0017588F" w:rsidRPr="00A15CDB" w:rsidRDefault="00D57BC6" w:rsidP="00355D04">
            <w:pPr>
              <w:pStyle w:val="NoSpacing"/>
              <w:numPr>
                <w:ilvl w:val="0"/>
                <w:numId w:val="44"/>
              </w:numPr>
              <w:spacing w:line="276" w:lineRule="auto"/>
            </w:pPr>
            <w:r>
              <w:t>Advise on financial performance and indicators</w:t>
            </w:r>
          </w:p>
        </w:tc>
      </w:tr>
      <w:tr w:rsidR="0017588F" w:rsidRPr="00C978B9" w:rsidTr="0065584C">
        <w:tc>
          <w:tcPr>
            <w:tcW w:w="3601" w:type="dxa"/>
            <w:tcBorders>
              <w:top w:val="single" w:sz="8" w:space="0" w:color="auto"/>
              <w:bottom w:val="single" w:sz="8" w:space="0" w:color="BCBEC0"/>
            </w:tcBorders>
          </w:tcPr>
          <w:p w:rsidR="0017588F" w:rsidRPr="0017588F" w:rsidRDefault="0017588F" w:rsidP="00355D04">
            <w:pPr>
              <w:spacing w:line="276" w:lineRule="auto"/>
              <w:rPr>
                <w:sz w:val="20"/>
              </w:rPr>
            </w:pPr>
            <w:r w:rsidRPr="0017588F">
              <w:rPr>
                <w:sz w:val="20"/>
              </w:rPr>
              <w:t>RAA Board and Committees</w:t>
            </w:r>
          </w:p>
        </w:tc>
        <w:tc>
          <w:tcPr>
            <w:tcW w:w="6986" w:type="dxa"/>
            <w:tcBorders>
              <w:top w:val="single" w:sz="8" w:space="0" w:color="auto"/>
              <w:bottom w:val="single" w:sz="8" w:space="0" w:color="BCBEC0"/>
            </w:tcBorders>
          </w:tcPr>
          <w:p w:rsidR="0017588F" w:rsidRPr="00D57BC6" w:rsidRDefault="00D57BC6" w:rsidP="00355D04">
            <w:pPr>
              <w:pStyle w:val="NoSpacing"/>
              <w:numPr>
                <w:ilvl w:val="0"/>
                <w:numId w:val="44"/>
              </w:numPr>
              <w:spacing w:line="276" w:lineRule="auto"/>
            </w:pPr>
            <w:r>
              <w:t>Advise on financial performance and indicators</w:t>
            </w:r>
          </w:p>
        </w:tc>
      </w:tr>
      <w:tr w:rsidR="0017588F" w:rsidRPr="00C978B9" w:rsidTr="0065584C">
        <w:tc>
          <w:tcPr>
            <w:tcW w:w="3601" w:type="dxa"/>
            <w:tcBorders>
              <w:top w:val="single" w:sz="8" w:space="0" w:color="auto"/>
              <w:bottom w:val="single" w:sz="8" w:space="0" w:color="BCBEC0"/>
            </w:tcBorders>
          </w:tcPr>
          <w:p w:rsidR="0017588F" w:rsidRPr="0017588F" w:rsidRDefault="00D57BC6" w:rsidP="00355D04">
            <w:pPr>
              <w:spacing w:line="276" w:lineRule="auto"/>
              <w:rPr>
                <w:sz w:val="20"/>
              </w:rPr>
            </w:pPr>
            <w:r w:rsidRPr="00D57BC6">
              <w:rPr>
                <w:sz w:val="20"/>
              </w:rPr>
              <w:t>Other DPI and Dep</w:t>
            </w:r>
            <w:r>
              <w:rPr>
                <w:sz w:val="20"/>
              </w:rPr>
              <w:t>artmen</w:t>
            </w:r>
            <w:r w:rsidRPr="00D57BC6">
              <w:rPr>
                <w:sz w:val="20"/>
              </w:rPr>
              <w:t>t of Industry Divisions</w:t>
            </w:r>
          </w:p>
        </w:tc>
        <w:tc>
          <w:tcPr>
            <w:tcW w:w="6986" w:type="dxa"/>
            <w:tcBorders>
              <w:top w:val="single" w:sz="8" w:space="0" w:color="auto"/>
              <w:bottom w:val="single" w:sz="8" w:space="0" w:color="BCBEC0"/>
            </w:tcBorders>
          </w:tcPr>
          <w:p w:rsidR="00D57BC6" w:rsidRDefault="00D57BC6" w:rsidP="00355D04">
            <w:pPr>
              <w:pStyle w:val="NoSpacing"/>
              <w:numPr>
                <w:ilvl w:val="0"/>
                <w:numId w:val="44"/>
              </w:numPr>
              <w:spacing w:line="276" w:lineRule="auto"/>
            </w:pPr>
            <w:r>
              <w:t xml:space="preserve">Build relationships with internal clients to provide guidance about project/program performance </w:t>
            </w:r>
          </w:p>
          <w:p w:rsidR="00D57BC6" w:rsidRDefault="00D57BC6" w:rsidP="00355D04">
            <w:pPr>
              <w:pStyle w:val="NoSpacing"/>
              <w:numPr>
                <w:ilvl w:val="0"/>
                <w:numId w:val="44"/>
              </w:numPr>
              <w:spacing w:line="276" w:lineRule="auto"/>
            </w:pPr>
            <w:r>
              <w:t>Financial system usage and reporting</w:t>
            </w:r>
          </w:p>
          <w:p w:rsidR="0017588F" w:rsidRPr="0017588F" w:rsidRDefault="00D57BC6" w:rsidP="00355D04">
            <w:pPr>
              <w:pStyle w:val="ListParagraph"/>
              <w:numPr>
                <w:ilvl w:val="0"/>
                <w:numId w:val="44"/>
              </w:numPr>
              <w:spacing w:line="276" w:lineRule="auto"/>
              <w:rPr>
                <w:sz w:val="20"/>
              </w:rPr>
            </w:pPr>
            <w:r w:rsidRPr="00D57BC6">
              <w:rPr>
                <w:rFonts w:asciiTheme="minorHAnsi" w:hAnsiTheme="minorHAnsi"/>
                <w:sz w:val="20"/>
                <w:szCs w:val="24"/>
              </w:rPr>
              <w:t>Assist recovery operations for natural disasters</w:t>
            </w:r>
          </w:p>
        </w:tc>
      </w:tr>
      <w:tr w:rsidR="00D57BC6" w:rsidRPr="00C978B9" w:rsidTr="0065584C">
        <w:tc>
          <w:tcPr>
            <w:tcW w:w="3601" w:type="dxa"/>
            <w:tcBorders>
              <w:top w:val="single" w:sz="8" w:space="0" w:color="auto"/>
              <w:bottom w:val="single" w:sz="8" w:space="0" w:color="BCBEC0"/>
            </w:tcBorders>
          </w:tcPr>
          <w:p w:rsidR="00D57BC6" w:rsidRPr="00A15CDB" w:rsidRDefault="00D57BC6" w:rsidP="00355D04">
            <w:pPr>
              <w:pStyle w:val="TableText"/>
              <w:spacing w:line="276" w:lineRule="auto"/>
            </w:pPr>
            <w:r>
              <w:t>Team</w:t>
            </w:r>
          </w:p>
        </w:tc>
        <w:tc>
          <w:tcPr>
            <w:tcW w:w="6986" w:type="dxa"/>
            <w:tcBorders>
              <w:top w:val="single" w:sz="8" w:space="0" w:color="auto"/>
              <w:bottom w:val="single" w:sz="8" w:space="0" w:color="BCBEC0"/>
            </w:tcBorders>
          </w:tcPr>
          <w:p w:rsidR="00D57BC6" w:rsidRDefault="00D57BC6" w:rsidP="00355D04">
            <w:pPr>
              <w:pStyle w:val="NoSpacing"/>
              <w:numPr>
                <w:ilvl w:val="0"/>
                <w:numId w:val="42"/>
              </w:numPr>
              <w:spacing w:line="276" w:lineRule="auto"/>
            </w:pPr>
            <w:r>
              <w:t>Inspire, guide, support and motivate the team, provide direction and manage performance</w:t>
            </w:r>
          </w:p>
          <w:p w:rsidR="00D57BC6" w:rsidRDefault="00D57BC6" w:rsidP="00355D04">
            <w:pPr>
              <w:pStyle w:val="NoSpacing"/>
              <w:numPr>
                <w:ilvl w:val="0"/>
                <w:numId w:val="42"/>
              </w:numPr>
              <w:spacing w:line="276" w:lineRule="auto"/>
            </w:pPr>
            <w:r>
              <w:t>Review the work and proposals of team members</w:t>
            </w:r>
          </w:p>
          <w:p w:rsidR="00D57BC6" w:rsidRPr="00A15CDB" w:rsidRDefault="00D57BC6" w:rsidP="00355D04">
            <w:pPr>
              <w:pStyle w:val="TableText"/>
              <w:numPr>
                <w:ilvl w:val="0"/>
                <w:numId w:val="41"/>
              </w:numPr>
              <w:spacing w:line="276" w:lineRule="auto"/>
            </w:pPr>
            <w:r>
              <w:t xml:space="preserve">Encourage teams to work collaboratively to contribute to achieving </w:t>
            </w:r>
            <w:r>
              <w:lastRenderedPageBreak/>
              <w:t>business outcomes</w:t>
            </w:r>
          </w:p>
        </w:tc>
      </w:tr>
      <w:tr w:rsidR="00D57BC6" w:rsidRPr="00A8245E" w:rsidTr="0065584C">
        <w:tc>
          <w:tcPr>
            <w:tcW w:w="3601" w:type="dxa"/>
            <w:shd w:val="clear" w:color="auto" w:fill="BCBEC0"/>
          </w:tcPr>
          <w:p w:rsidR="00D57BC6" w:rsidRPr="00A8245E" w:rsidRDefault="00D57BC6" w:rsidP="00355D04">
            <w:pPr>
              <w:pStyle w:val="TableText"/>
              <w:keepNext/>
              <w:spacing w:line="276" w:lineRule="auto"/>
              <w:rPr>
                <w:b/>
              </w:rPr>
            </w:pPr>
            <w:r w:rsidRPr="00A8245E">
              <w:rPr>
                <w:b/>
              </w:rPr>
              <w:lastRenderedPageBreak/>
              <w:t>External</w:t>
            </w:r>
          </w:p>
        </w:tc>
        <w:tc>
          <w:tcPr>
            <w:tcW w:w="6986" w:type="dxa"/>
            <w:shd w:val="clear" w:color="auto" w:fill="BCBEC0"/>
          </w:tcPr>
          <w:p w:rsidR="00D57BC6" w:rsidRPr="00A8245E" w:rsidRDefault="00D57BC6" w:rsidP="00355D04">
            <w:pPr>
              <w:pStyle w:val="TableText"/>
              <w:keepNext/>
              <w:spacing w:line="276" w:lineRule="auto"/>
              <w:rPr>
                <w:b/>
              </w:rPr>
            </w:pPr>
          </w:p>
        </w:tc>
      </w:tr>
      <w:tr w:rsidR="00D57BC6" w:rsidRPr="00C978B9" w:rsidTr="0017588F">
        <w:tc>
          <w:tcPr>
            <w:tcW w:w="3601" w:type="dxa"/>
            <w:tcBorders>
              <w:top w:val="single" w:sz="8" w:space="0" w:color="auto"/>
              <w:bottom w:val="single" w:sz="8" w:space="0" w:color="auto"/>
            </w:tcBorders>
          </w:tcPr>
          <w:p w:rsidR="00D57BC6" w:rsidRPr="0017588F" w:rsidRDefault="006A3245" w:rsidP="00355D04">
            <w:pPr>
              <w:spacing w:line="276" w:lineRule="auto"/>
              <w:rPr>
                <w:sz w:val="20"/>
              </w:rPr>
            </w:pPr>
            <w:r w:rsidRPr="009D6339">
              <w:rPr>
                <w:sz w:val="20"/>
              </w:rPr>
              <w:t>Auditors</w:t>
            </w:r>
          </w:p>
        </w:tc>
        <w:tc>
          <w:tcPr>
            <w:tcW w:w="6986" w:type="dxa"/>
            <w:tcBorders>
              <w:top w:val="single" w:sz="8" w:space="0" w:color="auto"/>
              <w:bottom w:val="single" w:sz="8" w:space="0" w:color="auto"/>
            </w:tcBorders>
          </w:tcPr>
          <w:p w:rsidR="00D57BC6" w:rsidRPr="0017588F" w:rsidRDefault="006A3245" w:rsidP="00355D04">
            <w:pPr>
              <w:pStyle w:val="ListParagraph"/>
              <w:numPr>
                <w:ilvl w:val="0"/>
                <w:numId w:val="42"/>
              </w:numPr>
              <w:spacing w:line="276" w:lineRule="auto"/>
              <w:rPr>
                <w:sz w:val="20"/>
              </w:rPr>
            </w:pPr>
            <w:r w:rsidRPr="009D6339">
              <w:rPr>
                <w:sz w:val="20"/>
              </w:rPr>
              <w:t>Mitigate and manage risk</w:t>
            </w:r>
          </w:p>
        </w:tc>
      </w:tr>
      <w:tr w:rsidR="00D57BC6" w:rsidRPr="00C978B9" w:rsidTr="006A3245">
        <w:tc>
          <w:tcPr>
            <w:tcW w:w="3601" w:type="dxa"/>
            <w:tcBorders>
              <w:top w:val="single" w:sz="8" w:space="0" w:color="auto"/>
              <w:bottom w:val="single" w:sz="8" w:space="0" w:color="auto"/>
            </w:tcBorders>
          </w:tcPr>
          <w:p w:rsidR="00D57BC6" w:rsidRPr="0017588F" w:rsidRDefault="006A3245" w:rsidP="00355D04">
            <w:pPr>
              <w:spacing w:line="276" w:lineRule="auto"/>
              <w:rPr>
                <w:sz w:val="20"/>
              </w:rPr>
            </w:pPr>
            <w:r w:rsidRPr="009D6339">
              <w:rPr>
                <w:sz w:val="20"/>
              </w:rPr>
              <w:t>Clients and stakeholder groups</w:t>
            </w:r>
          </w:p>
        </w:tc>
        <w:tc>
          <w:tcPr>
            <w:tcW w:w="6986" w:type="dxa"/>
            <w:tcBorders>
              <w:top w:val="single" w:sz="8" w:space="0" w:color="auto"/>
              <w:bottom w:val="single" w:sz="8" w:space="0" w:color="auto"/>
            </w:tcBorders>
          </w:tcPr>
          <w:p w:rsidR="00D57BC6" w:rsidRPr="0017588F" w:rsidRDefault="006A3245" w:rsidP="00355D04">
            <w:pPr>
              <w:pStyle w:val="ListParagraph"/>
              <w:numPr>
                <w:ilvl w:val="0"/>
                <w:numId w:val="42"/>
              </w:numPr>
              <w:spacing w:line="276" w:lineRule="auto"/>
              <w:rPr>
                <w:sz w:val="20"/>
              </w:rPr>
            </w:pPr>
            <w:r w:rsidRPr="009D6339">
              <w:rPr>
                <w:sz w:val="20"/>
              </w:rPr>
              <w:t>Promote and publicise RAA programs</w:t>
            </w:r>
          </w:p>
        </w:tc>
      </w:tr>
      <w:tr w:rsidR="006A3245" w:rsidRPr="00C978B9" w:rsidTr="006A3245">
        <w:tc>
          <w:tcPr>
            <w:tcW w:w="3601" w:type="dxa"/>
            <w:tcBorders>
              <w:top w:val="single" w:sz="8" w:space="0" w:color="auto"/>
              <w:bottom w:val="single" w:sz="8" w:space="0" w:color="auto"/>
            </w:tcBorders>
          </w:tcPr>
          <w:p w:rsidR="006A3245" w:rsidRPr="009D6339" w:rsidRDefault="006A3245" w:rsidP="00355D04">
            <w:pPr>
              <w:spacing w:line="276" w:lineRule="auto"/>
              <w:rPr>
                <w:sz w:val="20"/>
              </w:rPr>
            </w:pPr>
            <w:r w:rsidRPr="009D6339">
              <w:rPr>
                <w:sz w:val="20"/>
              </w:rPr>
              <w:t>State and Commonwealth agencies</w:t>
            </w:r>
          </w:p>
        </w:tc>
        <w:tc>
          <w:tcPr>
            <w:tcW w:w="6986" w:type="dxa"/>
            <w:tcBorders>
              <w:top w:val="single" w:sz="8" w:space="0" w:color="auto"/>
              <w:bottom w:val="single" w:sz="8" w:space="0" w:color="auto"/>
            </w:tcBorders>
          </w:tcPr>
          <w:p w:rsidR="006A3245" w:rsidRPr="009D6339" w:rsidRDefault="006A3245" w:rsidP="00355D04">
            <w:pPr>
              <w:pStyle w:val="NoSpacing"/>
              <w:numPr>
                <w:ilvl w:val="0"/>
                <w:numId w:val="42"/>
              </w:numPr>
              <w:spacing w:line="276" w:lineRule="auto"/>
              <w:rPr>
                <w:rFonts w:ascii="Arial" w:hAnsi="Arial"/>
                <w:szCs w:val="20"/>
              </w:rPr>
            </w:pPr>
            <w:r w:rsidRPr="009D6339">
              <w:rPr>
                <w:rFonts w:ascii="Arial" w:hAnsi="Arial"/>
                <w:szCs w:val="20"/>
              </w:rPr>
              <w:t xml:space="preserve">Build relationships and facilitate identification of opportunities for new assistance programs </w:t>
            </w:r>
          </w:p>
          <w:p w:rsidR="006A3245" w:rsidRPr="009D6339" w:rsidRDefault="006A3245" w:rsidP="00355D04">
            <w:pPr>
              <w:pStyle w:val="NoSpacing"/>
              <w:numPr>
                <w:ilvl w:val="0"/>
                <w:numId w:val="42"/>
              </w:numPr>
              <w:spacing w:line="276" w:lineRule="auto"/>
              <w:rPr>
                <w:rFonts w:ascii="Arial" w:hAnsi="Arial"/>
                <w:szCs w:val="20"/>
              </w:rPr>
            </w:pPr>
            <w:r w:rsidRPr="009D6339">
              <w:rPr>
                <w:rFonts w:ascii="Arial" w:hAnsi="Arial"/>
                <w:szCs w:val="20"/>
              </w:rPr>
              <w:t>Negotiate contractual arrangements to deliver programs</w:t>
            </w:r>
          </w:p>
          <w:p w:rsidR="006A3245" w:rsidRPr="009D6339" w:rsidRDefault="006A3245" w:rsidP="00355D04">
            <w:pPr>
              <w:pStyle w:val="NoSpacing"/>
              <w:numPr>
                <w:ilvl w:val="0"/>
                <w:numId w:val="42"/>
              </w:numPr>
              <w:spacing w:line="276" w:lineRule="auto"/>
              <w:rPr>
                <w:rFonts w:ascii="Arial" w:hAnsi="Arial"/>
                <w:szCs w:val="20"/>
              </w:rPr>
            </w:pPr>
            <w:r w:rsidRPr="009D6339">
              <w:rPr>
                <w:rFonts w:ascii="Arial" w:hAnsi="Arial"/>
                <w:szCs w:val="20"/>
              </w:rPr>
              <w:t>Manage and prepare reports on program delivery status</w:t>
            </w:r>
          </w:p>
        </w:tc>
      </w:tr>
      <w:tr w:rsidR="006A3245" w:rsidRPr="00C978B9" w:rsidTr="006A3245">
        <w:tc>
          <w:tcPr>
            <w:tcW w:w="3601" w:type="dxa"/>
            <w:tcBorders>
              <w:top w:val="single" w:sz="8" w:space="0" w:color="auto"/>
              <w:bottom w:val="single" w:sz="8" w:space="0" w:color="auto"/>
            </w:tcBorders>
          </w:tcPr>
          <w:p w:rsidR="006A3245" w:rsidRPr="009D6339" w:rsidRDefault="009D6339" w:rsidP="00355D04">
            <w:pPr>
              <w:spacing w:line="276" w:lineRule="auto"/>
              <w:rPr>
                <w:sz w:val="20"/>
              </w:rPr>
            </w:pPr>
            <w:r>
              <w:rPr>
                <w:sz w:val="20"/>
              </w:rPr>
              <w:t xml:space="preserve">NSW </w:t>
            </w:r>
            <w:r w:rsidRPr="009D6339">
              <w:rPr>
                <w:sz w:val="20"/>
              </w:rPr>
              <w:t>Treasury and Department of Premier and Cabinet</w:t>
            </w:r>
          </w:p>
        </w:tc>
        <w:tc>
          <w:tcPr>
            <w:tcW w:w="6986" w:type="dxa"/>
            <w:tcBorders>
              <w:top w:val="single" w:sz="8" w:space="0" w:color="auto"/>
              <w:bottom w:val="single" w:sz="8" w:space="0" w:color="auto"/>
            </w:tcBorders>
          </w:tcPr>
          <w:p w:rsidR="006A3245" w:rsidRPr="009D6339" w:rsidRDefault="009D6339" w:rsidP="00355D04">
            <w:pPr>
              <w:pStyle w:val="ListParagraph"/>
              <w:numPr>
                <w:ilvl w:val="0"/>
                <w:numId w:val="42"/>
              </w:numPr>
              <w:spacing w:line="276" w:lineRule="auto"/>
              <w:rPr>
                <w:sz w:val="20"/>
              </w:rPr>
            </w:pPr>
            <w:r w:rsidRPr="009D6339">
              <w:rPr>
                <w:sz w:val="20"/>
              </w:rPr>
              <w:t>Advise on financial performance and indicators</w:t>
            </w:r>
          </w:p>
        </w:tc>
      </w:tr>
      <w:tr w:rsidR="006A3245" w:rsidRPr="00C978B9" w:rsidTr="0065584C">
        <w:tc>
          <w:tcPr>
            <w:tcW w:w="3601" w:type="dxa"/>
            <w:tcBorders>
              <w:top w:val="single" w:sz="8" w:space="0" w:color="auto"/>
              <w:bottom w:val="single" w:sz="8" w:space="0" w:color="BCBEC0"/>
            </w:tcBorders>
          </w:tcPr>
          <w:p w:rsidR="006A3245" w:rsidRPr="009D6339" w:rsidRDefault="009D6339" w:rsidP="00355D04">
            <w:pPr>
              <w:spacing w:line="276" w:lineRule="auto"/>
              <w:rPr>
                <w:sz w:val="20"/>
              </w:rPr>
            </w:pPr>
            <w:r w:rsidRPr="009D6339">
              <w:rPr>
                <w:sz w:val="20"/>
              </w:rPr>
              <w:t>Department of Justice</w:t>
            </w:r>
          </w:p>
        </w:tc>
        <w:tc>
          <w:tcPr>
            <w:tcW w:w="6986" w:type="dxa"/>
            <w:tcBorders>
              <w:top w:val="single" w:sz="8" w:space="0" w:color="auto"/>
              <w:bottom w:val="single" w:sz="8" w:space="0" w:color="BCBEC0"/>
            </w:tcBorders>
          </w:tcPr>
          <w:p w:rsidR="006A3245" w:rsidRPr="009D6339" w:rsidRDefault="009D6339" w:rsidP="00355D04">
            <w:pPr>
              <w:pStyle w:val="ListParagraph"/>
              <w:numPr>
                <w:ilvl w:val="0"/>
                <w:numId w:val="42"/>
              </w:numPr>
              <w:spacing w:line="276" w:lineRule="auto"/>
              <w:rPr>
                <w:sz w:val="20"/>
              </w:rPr>
            </w:pPr>
            <w:r w:rsidRPr="009D6339">
              <w:rPr>
                <w:sz w:val="20"/>
              </w:rPr>
              <w:t>Assist recovery operations for natural disasters</w:t>
            </w:r>
          </w:p>
        </w:tc>
      </w:tr>
    </w:tbl>
    <w:p w:rsidR="0017588F" w:rsidRPr="0017588F" w:rsidRDefault="0017588F" w:rsidP="00355D04">
      <w:pPr>
        <w:spacing w:line="276" w:lineRule="auto"/>
      </w:pPr>
    </w:p>
    <w:p w:rsidR="00057CB3" w:rsidRPr="00C978B9" w:rsidRDefault="0002436B" w:rsidP="00355D04">
      <w:pPr>
        <w:pStyle w:val="Heading1"/>
        <w:spacing w:line="276" w:lineRule="auto"/>
      </w:pPr>
      <w:r w:rsidRPr="00C978B9">
        <w:t xml:space="preserve">Role </w:t>
      </w:r>
      <w:r w:rsidR="00043B92">
        <w:t>d</w:t>
      </w:r>
      <w:r w:rsidRPr="00C978B9">
        <w:t>imensions</w:t>
      </w:r>
    </w:p>
    <w:p w:rsidR="0002436B" w:rsidRDefault="001D133A" w:rsidP="00355D04">
      <w:pPr>
        <w:pStyle w:val="Heading2"/>
        <w:spacing w:before="240" w:line="276" w:lineRule="auto"/>
      </w:pPr>
      <w:r w:rsidRPr="00C978B9">
        <w:t>Decision making</w:t>
      </w:r>
    </w:p>
    <w:p w:rsidR="009D6339" w:rsidRPr="009D6339" w:rsidRDefault="009D6339" w:rsidP="00355D04">
      <w:pPr>
        <w:pStyle w:val="NoSpacing"/>
        <w:numPr>
          <w:ilvl w:val="0"/>
          <w:numId w:val="36"/>
        </w:numPr>
        <w:spacing w:line="276" w:lineRule="auto"/>
        <w:rPr>
          <w:rFonts w:ascii="Arial" w:hAnsi="Arial"/>
          <w:sz w:val="22"/>
          <w:szCs w:val="20"/>
          <w:lang w:val="en-US"/>
        </w:rPr>
      </w:pPr>
      <w:bookmarkStart w:id="18" w:name="DecisionMaking"/>
      <w:bookmarkEnd w:id="18"/>
      <w:r w:rsidRPr="009D6339">
        <w:rPr>
          <w:rFonts w:ascii="Arial" w:hAnsi="Arial"/>
          <w:sz w:val="22"/>
          <w:szCs w:val="20"/>
          <w:lang w:val="en-US"/>
        </w:rPr>
        <w:t>Ensures all financial statements and documents, ministerial correspondence, are completed within required timeframes and to a high standard.</w:t>
      </w:r>
    </w:p>
    <w:p w:rsidR="009D6339" w:rsidRPr="009D6339" w:rsidRDefault="009D6339" w:rsidP="00355D04">
      <w:pPr>
        <w:pStyle w:val="NoSpacing"/>
        <w:numPr>
          <w:ilvl w:val="0"/>
          <w:numId w:val="36"/>
        </w:numPr>
        <w:spacing w:line="276" w:lineRule="auto"/>
        <w:rPr>
          <w:rFonts w:ascii="Arial" w:hAnsi="Arial"/>
          <w:sz w:val="22"/>
          <w:szCs w:val="20"/>
          <w:lang w:val="en-US"/>
        </w:rPr>
      </w:pPr>
      <w:r w:rsidRPr="009D6339">
        <w:rPr>
          <w:rFonts w:ascii="Arial" w:hAnsi="Arial"/>
          <w:sz w:val="22"/>
          <w:szCs w:val="20"/>
          <w:lang w:val="en-US"/>
        </w:rPr>
        <w:t xml:space="preserve">Human, financial and physical resources under the control of the Manager can be re-allocated without referral within the Unit. </w:t>
      </w:r>
    </w:p>
    <w:p w:rsidR="009D6339" w:rsidRPr="009D6339" w:rsidRDefault="009D6339" w:rsidP="00355D04">
      <w:pPr>
        <w:pStyle w:val="NoSpacing"/>
        <w:numPr>
          <w:ilvl w:val="0"/>
          <w:numId w:val="36"/>
        </w:numPr>
        <w:spacing w:line="276" w:lineRule="auto"/>
        <w:rPr>
          <w:rFonts w:ascii="Arial" w:hAnsi="Arial"/>
          <w:sz w:val="22"/>
          <w:szCs w:val="20"/>
          <w:lang w:val="en-US"/>
        </w:rPr>
      </w:pPr>
      <w:r w:rsidRPr="00592AD0">
        <w:rPr>
          <w:rFonts w:ascii="Arial" w:hAnsi="Arial"/>
          <w:noProof/>
          <w:sz w:val="22"/>
          <w:szCs w:val="20"/>
          <w:lang w:val="en-US"/>
        </w:rPr>
        <w:t>Plans,</w:t>
      </w:r>
      <w:r w:rsidRPr="009D6339">
        <w:rPr>
          <w:rFonts w:ascii="Arial" w:hAnsi="Arial"/>
          <w:sz w:val="22"/>
          <w:szCs w:val="20"/>
          <w:lang w:val="en-US"/>
        </w:rPr>
        <w:t xml:space="preserve"> leads and organises the work of teams and manages resources through appropriate procurement processes. </w:t>
      </w:r>
    </w:p>
    <w:p w:rsidR="001D133A" w:rsidRPr="009D6339" w:rsidRDefault="009D6339" w:rsidP="00355D04">
      <w:pPr>
        <w:pStyle w:val="NoSpacing"/>
        <w:numPr>
          <w:ilvl w:val="0"/>
          <w:numId w:val="36"/>
        </w:numPr>
        <w:spacing w:line="276" w:lineRule="auto"/>
        <w:rPr>
          <w:rFonts w:ascii="Arial" w:hAnsi="Arial"/>
          <w:sz w:val="22"/>
          <w:szCs w:val="20"/>
          <w:lang w:val="en-US"/>
        </w:rPr>
      </w:pPr>
      <w:r w:rsidRPr="009D6339">
        <w:rPr>
          <w:rFonts w:ascii="Arial" w:hAnsi="Arial"/>
          <w:sz w:val="22"/>
          <w:szCs w:val="20"/>
          <w:lang w:val="en-US"/>
        </w:rPr>
        <w:t>Refers to the Director only those decisions that are contentious or that require a higher delegation or approval.</w:t>
      </w:r>
    </w:p>
    <w:p w:rsidR="001D133A" w:rsidRDefault="001D133A" w:rsidP="00355D04">
      <w:pPr>
        <w:pStyle w:val="Heading2"/>
        <w:spacing w:before="240" w:line="276" w:lineRule="auto"/>
      </w:pPr>
      <w:r w:rsidRPr="00C978B9">
        <w:t>Reporting line</w:t>
      </w:r>
    </w:p>
    <w:p w:rsidR="009D6339" w:rsidRPr="00377F78" w:rsidRDefault="009D6339" w:rsidP="00355D04">
      <w:pPr>
        <w:pStyle w:val="NoSpacing"/>
        <w:spacing w:line="276" w:lineRule="auto"/>
        <w:rPr>
          <w:sz w:val="22"/>
          <w:szCs w:val="22"/>
          <w:lang w:val="en-US"/>
        </w:rPr>
      </w:pPr>
      <w:bookmarkStart w:id="19" w:name="ReportingLine"/>
      <w:bookmarkEnd w:id="19"/>
      <w:r w:rsidRPr="00377F78">
        <w:rPr>
          <w:sz w:val="22"/>
          <w:szCs w:val="22"/>
          <w:lang w:val="en-US"/>
        </w:rPr>
        <w:t>Director, RAA</w:t>
      </w:r>
    </w:p>
    <w:p w:rsidR="001D133A" w:rsidRDefault="001D133A" w:rsidP="00355D04">
      <w:pPr>
        <w:pStyle w:val="Heading2"/>
        <w:spacing w:before="240" w:line="276" w:lineRule="auto"/>
      </w:pPr>
      <w:r w:rsidRPr="00C978B9">
        <w:t>Direct reports</w:t>
      </w:r>
    </w:p>
    <w:p w:rsidR="001D133A" w:rsidRPr="00C978B9" w:rsidRDefault="009D6339" w:rsidP="00355D04">
      <w:pPr>
        <w:spacing w:line="276" w:lineRule="auto"/>
      </w:pPr>
      <w:bookmarkStart w:id="20" w:name="DirectReports"/>
      <w:bookmarkEnd w:id="20"/>
      <w:r>
        <w:t>TBA</w:t>
      </w:r>
    </w:p>
    <w:p w:rsidR="001D133A" w:rsidRDefault="001D133A" w:rsidP="00355D04">
      <w:pPr>
        <w:pStyle w:val="Heading2"/>
        <w:spacing w:before="240" w:line="276" w:lineRule="auto"/>
      </w:pPr>
      <w:r w:rsidRPr="00C978B9">
        <w:t>Budget/Expenditure</w:t>
      </w:r>
    </w:p>
    <w:p w:rsidR="0017588F" w:rsidRPr="009D6339" w:rsidRDefault="009D6339" w:rsidP="00355D04">
      <w:pPr>
        <w:pStyle w:val="NoSpacing"/>
        <w:spacing w:line="276" w:lineRule="auto"/>
        <w:rPr>
          <w:sz w:val="22"/>
          <w:szCs w:val="22"/>
          <w:lang w:val="en-US"/>
        </w:rPr>
      </w:pPr>
      <w:bookmarkStart w:id="21" w:name="Budget"/>
      <w:bookmarkStart w:id="22" w:name="EssentialReqs"/>
      <w:bookmarkEnd w:id="21"/>
      <w:bookmarkEnd w:id="22"/>
      <w:r w:rsidRPr="00592AD0">
        <w:rPr>
          <w:noProof/>
          <w:sz w:val="22"/>
          <w:szCs w:val="22"/>
          <w:lang w:val="en-US"/>
        </w:rPr>
        <w:t>Authorisation</w:t>
      </w:r>
      <w:r w:rsidRPr="009D6339">
        <w:rPr>
          <w:sz w:val="22"/>
          <w:szCs w:val="22"/>
          <w:lang w:val="en-US"/>
        </w:rPr>
        <w:t xml:space="preserve"> for </w:t>
      </w:r>
      <w:r w:rsidRPr="00592AD0">
        <w:rPr>
          <w:noProof/>
          <w:sz w:val="22"/>
          <w:szCs w:val="22"/>
          <w:lang w:val="en-US"/>
        </w:rPr>
        <w:t>expenditure</w:t>
      </w:r>
      <w:r w:rsidRPr="009D6339">
        <w:rPr>
          <w:sz w:val="22"/>
          <w:szCs w:val="22"/>
          <w:lang w:val="en-US"/>
        </w:rPr>
        <w:t xml:space="preserve"> of allocated project resources under applicable financial delegation</w:t>
      </w:r>
    </w:p>
    <w:p w:rsidR="009D6339" w:rsidRDefault="009D6339" w:rsidP="00355D04">
      <w:pPr>
        <w:spacing w:line="276" w:lineRule="auto"/>
        <w:rPr>
          <w:lang w:val="en-US"/>
        </w:rPr>
      </w:pPr>
    </w:p>
    <w:p w:rsidR="009D6339" w:rsidRDefault="009D6339" w:rsidP="00355D04">
      <w:pPr>
        <w:pStyle w:val="Heading1"/>
        <w:spacing w:line="276" w:lineRule="auto"/>
      </w:pPr>
      <w:r w:rsidRPr="00C978B9">
        <w:t>Essential requirements</w:t>
      </w:r>
    </w:p>
    <w:p w:rsidR="009D6339" w:rsidRPr="009D6339" w:rsidRDefault="009D6339" w:rsidP="00355D04">
      <w:pPr>
        <w:pStyle w:val="ListParagraph"/>
        <w:numPr>
          <w:ilvl w:val="0"/>
          <w:numId w:val="45"/>
        </w:numPr>
        <w:spacing w:line="276" w:lineRule="auto"/>
        <w:rPr>
          <w:rFonts w:cs="Arial"/>
        </w:rPr>
      </w:pPr>
      <w:r w:rsidRPr="009D6339">
        <w:rPr>
          <w:rFonts w:cs="Arial"/>
        </w:rPr>
        <w:t>Degree qualification in ac</w:t>
      </w:r>
      <w:r>
        <w:rPr>
          <w:rFonts w:cs="Arial"/>
        </w:rPr>
        <w:t>countancy or finance and eligibility</w:t>
      </w:r>
      <w:r w:rsidRPr="009D6339">
        <w:rPr>
          <w:rFonts w:cs="Arial"/>
        </w:rPr>
        <w:t xml:space="preserve"> for professional membership of a recognized accounting body ie Chartered Accountant, Certified Practicing Accountant or National Institute of Accountants</w:t>
      </w:r>
    </w:p>
    <w:p w:rsidR="009D6339" w:rsidRPr="009D6339" w:rsidRDefault="009D6339" w:rsidP="00355D04">
      <w:pPr>
        <w:pStyle w:val="ListParagraph"/>
        <w:numPr>
          <w:ilvl w:val="0"/>
          <w:numId w:val="45"/>
        </w:numPr>
        <w:spacing w:line="276" w:lineRule="auto"/>
        <w:rPr>
          <w:rFonts w:cs="Arial"/>
        </w:rPr>
      </w:pPr>
      <w:r w:rsidRPr="009D6339">
        <w:rPr>
          <w:rFonts w:cs="Arial"/>
        </w:rPr>
        <w:t>Experience in management accounting and financial practices, systems and co</w:t>
      </w:r>
      <w:r>
        <w:rPr>
          <w:rFonts w:cs="Arial"/>
        </w:rPr>
        <w:t>ntrols for lending institutions</w:t>
      </w:r>
    </w:p>
    <w:p w:rsidR="009D6339" w:rsidRDefault="009D6339" w:rsidP="00355D04">
      <w:pPr>
        <w:spacing w:line="276" w:lineRule="auto"/>
        <w:rPr>
          <w:lang w:val="en-US"/>
        </w:rPr>
      </w:pPr>
    </w:p>
    <w:p w:rsidR="009D6339" w:rsidRPr="009D6339" w:rsidRDefault="009D6339" w:rsidP="00355D04">
      <w:pPr>
        <w:spacing w:line="276" w:lineRule="auto"/>
        <w:rPr>
          <w:lang w:val="en-US"/>
        </w:rPr>
      </w:pPr>
    </w:p>
    <w:p w:rsidR="001D133A" w:rsidRPr="00C978B9" w:rsidRDefault="001D133A" w:rsidP="00355D04">
      <w:pPr>
        <w:pStyle w:val="Heading1"/>
        <w:spacing w:line="276" w:lineRule="auto"/>
      </w:pPr>
      <w:r w:rsidRPr="00C978B9">
        <w:lastRenderedPageBreak/>
        <w:t>Capabilities for the role</w:t>
      </w:r>
    </w:p>
    <w:p w:rsidR="008F24BC" w:rsidRDefault="00566E7B" w:rsidP="00355D04">
      <w:pPr>
        <w:spacing w:line="276" w:lineRule="auto"/>
        <w:rPr>
          <w:rStyle w:val="Hyperlink"/>
        </w:rPr>
      </w:pPr>
      <w:r>
        <w:t xml:space="preserve">The NSW Public Sector Capability Framework applies to all NSW public sector employees. The Capability Framework is available at </w:t>
      </w:r>
      <w:hyperlink r:id="rId9" w:history="1">
        <w:r w:rsidRPr="00355D04">
          <w:rPr>
            <w:rStyle w:val="Hyperlink"/>
            <w:sz w:val="22"/>
          </w:rPr>
          <w:t>www.psc.nsw.gov.au/capabilityframework</w:t>
        </w:r>
      </w:hyperlink>
    </w:p>
    <w:p w:rsidR="008F24BC" w:rsidRDefault="008F24BC" w:rsidP="00355D04">
      <w:pPr>
        <w:spacing w:line="276" w:lineRule="auto"/>
      </w:pPr>
      <w:r>
        <w:t xml:space="preserve">This role also utilises an Occupation Specific Capability Set for Finance Professionals. The Occupation Specific Capability Sets are available at </w:t>
      </w:r>
      <w:hyperlink r:id="rId10" w:history="1">
        <w:r w:rsidR="00355D04" w:rsidRPr="00BC366A">
          <w:rPr>
            <w:rStyle w:val="Hyperlink"/>
            <w:sz w:val="22"/>
          </w:rPr>
          <w:t>http://www.psc.nsw.gov.au/workforce-management/capability-framework/occupation-specific-capability-sets</w:t>
        </w:r>
      </w:hyperlink>
    </w:p>
    <w:p w:rsidR="0017588F" w:rsidRDefault="0017588F" w:rsidP="00355D04">
      <w:pPr>
        <w:spacing w:after="0" w:line="276" w:lineRule="auto"/>
      </w:pPr>
      <w:bookmarkStart w:id="23" w:name="SFIA_Text"/>
    </w:p>
    <w:bookmarkEnd w:id="23"/>
    <w:p w:rsidR="001D133A" w:rsidRPr="00C978B9" w:rsidRDefault="001D133A" w:rsidP="00355D04">
      <w:pPr>
        <w:pStyle w:val="Heading2"/>
        <w:spacing w:line="276" w:lineRule="auto"/>
      </w:pPr>
      <w:r w:rsidRPr="00C978B9">
        <w:t xml:space="preserve">Capability </w:t>
      </w:r>
      <w:r w:rsidR="00043B92">
        <w:t>s</w:t>
      </w:r>
      <w:r w:rsidRPr="00C978B9">
        <w:t>ummary</w:t>
      </w:r>
    </w:p>
    <w:p w:rsidR="00985833" w:rsidRDefault="00A82CC7" w:rsidP="00355D04">
      <w:pPr>
        <w:spacing w:line="276" w:lineRule="auto"/>
      </w:pPr>
      <w:r w:rsidRPr="00C978B9">
        <w:t xml:space="preserve">Below is the full list of capabilities and the level required for this role. </w:t>
      </w:r>
    </w:p>
    <w:p w:rsidR="009A1B9B" w:rsidRDefault="00A82CC7" w:rsidP="00355D04">
      <w:pPr>
        <w:spacing w:line="276" w:lineRule="auto"/>
      </w:pPr>
      <w:r w:rsidRPr="00C978B9">
        <w:t xml:space="preserve">The capabilities in bold are the focus capabilities for this role. </w:t>
      </w:r>
    </w:p>
    <w:p w:rsidR="00A82CC7" w:rsidRDefault="00A82CC7" w:rsidP="00355D04">
      <w:pPr>
        <w:spacing w:line="276" w:lineRule="auto"/>
      </w:pPr>
      <w:r w:rsidRPr="00C978B9">
        <w:t>Refer to the next section for further information about the focus capabilities.</w:t>
      </w:r>
    </w:p>
    <w:p w:rsidR="009A1B9B" w:rsidRPr="00C978B9" w:rsidRDefault="009A1B9B" w:rsidP="00355D04">
      <w:pPr>
        <w:spacing w:line="276" w:lineRule="auto"/>
      </w:pPr>
    </w:p>
    <w:tbl>
      <w:tblPr>
        <w:tblW w:w="0" w:type="auto"/>
        <w:tblBorders>
          <w:top w:val="single" w:sz="8" w:space="0" w:color="BCBEC0"/>
          <w:bottom w:val="single" w:sz="12" w:space="0" w:color="auto"/>
          <w:insideH w:val="single" w:sz="8" w:space="0" w:color="BCBEC0"/>
        </w:tblBorders>
        <w:tblCellMar>
          <w:left w:w="57" w:type="dxa"/>
          <w:right w:w="0" w:type="dxa"/>
        </w:tblCellMar>
        <w:tblLook w:val="00A0" w:firstRow="1" w:lastRow="0" w:firstColumn="1" w:lastColumn="0" w:noHBand="0" w:noVBand="0"/>
      </w:tblPr>
      <w:tblGrid>
        <w:gridCol w:w="2014"/>
        <w:gridCol w:w="5275"/>
        <w:gridCol w:w="3256"/>
      </w:tblGrid>
      <w:tr w:rsidR="008F24BC" w:rsidRPr="007B0D45" w:rsidTr="008F24BC">
        <w:trPr>
          <w:tblHeader/>
        </w:trPr>
        <w:tc>
          <w:tcPr>
            <w:tcW w:w="10545" w:type="dxa"/>
            <w:gridSpan w:val="3"/>
            <w:shd w:val="clear" w:color="auto" w:fill="6D276A"/>
          </w:tcPr>
          <w:p w:rsidR="008F24BC" w:rsidRPr="007B0D45" w:rsidRDefault="0017588F" w:rsidP="00355D04">
            <w:pPr>
              <w:pStyle w:val="TableTextWhite0"/>
              <w:keepNext/>
              <w:spacing w:line="276" w:lineRule="auto"/>
              <w:rPr>
                <w:sz w:val="20"/>
              </w:rPr>
            </w:pPr>
            <w:r>
              <w:br w:type="page"/>
            </w:r>
            <w:r w:rsidR="008F24BC" w:rsidRPr="007B0D45">
              <w:rPr>
                <w:sz w:val="20"/>
              </w:rPr>
              <w:t>NSW Public Sector Capability Framework</w:t>
            </w:r>
          </w:p>
        </w:tc>
      </w:tr>
      <w:tr w:rsidR="008F24BC" w:rsidRPr="007B0D45" w:rsidTr="008F24BC">
        <w:trPr>
          <w:tblHeader/>
        </w:trPr>
        <w:tc>
          <w:tcPr>
            <w:tcW w:w="2014" w:type="dxa"/>
            <w:tcBorders>
              <w:bottom w:val="single" w:sz="12" w:space="0" w:color="auto"/>
            </w:tcBorders>
            <w:shd w:val="clear" w:color="auto" w:fill="BCBEC0"/>
            <w:vAlign w:val="center"/>
          </w:tcPr>
          <w:p w:rsidR="008F24BC" w:rsidRPr="007B0D45" w:rsidRDefault="008F24BC" w:rsidP="00355D04">
            <w:pPr>
              <w:pStyle w:val="TableText"/>
              <w:keepNext/>
              <w:spacing w:line="276" w:lineRule="auto"/>
              <w:rPr>
                <w:b/>
                <w:sz w:val="24"/>
                <w:szCs w:val="24"/>
              </w:rPr>
            </w:pPr>
            <w:r w:rsidRPr="007B0D45">
              <w:rPr>
                <w:b/>
              </w:rPr>
              <w:t>Capability Group</w:t>
            </w:r>
          </w:p>
        </w:tc>
        <w:tc>
          <w:tcPr>
            <w:tcW w:w="5275" w:type="dxa"/>
            <w:tcBorders>
              <w:bottom w:val="single" w:sz="12" w:space="0" w:color="auto"/>
            </w:tcBorders>
            <w:shd w:val="clear" w:color="auto" w:fill="BCBEC0"/>
          </w:tcPr>
          <w:p w:rsidR="008F24BC" w:rsidRPr="007B0D45" w:rsidRDefault="008F24BC" w:rsidP="00355D04">
            <w:pPr>
              <w:pStyle w:val="TableText"/>
              <w:keepNext/>
              <w:spacing w:line="276" w:lineRule="auto"/>
              <w:rPr>
                <w:b/>
                <w:sz w:val="24"/>
                <w:szCs w:val="24"/>
              </w:rPr>
            </w:pPr>
            <w:r w:rsidRPr="007B0D45">
              <w:rPr>
                <w:b/>
              </w:rPr>
              <w:t>Capability Name</w:t>
            </w:r>
          </w:p>
        </w:tc>
        <w:tc>
          <w:tcPr>
            <w:tcW w:w="3256" w:type="dxa"/>
            <w:tcBorders>
              <w:bottom w:val="single" w:sz="12" w:space="0" w:color="auto"/>
            </w:tcBorders>
            <w:shd w:val="clear" w:color="auto" w:fill="BCBEC0"/>
          </w:tcPr>
          <w:p w:rsidR="008F24BC" w:rsidRPr="007B0D45" w:rsidRDefault="008F24BC" w:rsidP="00355D04">
            <w:pPr>
              <w:pStyle w:val="TableText"/>
              <w:keepNext/>
              <w:spacing w:line="276" w:lineRule="auto"/>
              <w:rPr>
                <w:b/>
                <w:sz w:val="24"/>
                <w:szCs w:val="24"/>
              </w:rPr>
            </w:pPr>
            <w:r w:rsidRPr="007B0D45">
              <w:rPr>
                <w:b/>
              </w:rPr>
              <w:t>Level</w:t>
            </w:r>
          </w:p>
        </w:tc>
      </w:tr>
      <w:tr w:rsidR="008F24BC" w:rsidRPr="007B0D45" w:rsidTr="008F24BC">
        <w:tc>
          <w:tcPr>
            <w:tcW w:w="2014" w:type="dxa"/>
            <w:vMerge w:val="restart"/>
            <w:tcBorders>
              <w:top w:val="gems" w:sz="8" w:space="0" w:color="BCBEC0"/>
            </w:tcBorders>
            <w:vAlign w:val="center"/>
          </w:tcPr>
          <w:p w:rsidR="008F24BC" w:rsidRPr="007B0D45" w:rsidRDefault="008F24BC" w:rsidP="00355D04">
            <w:pPr>
              <w:keepNext/>
              <w:spacing w:after="0" w:line="276" w:lineRule="auto"/>
              <w:rPr>
                <w:sz w:val="20"/>
              </w:rPr>
            </w:pPr>
            <w:r>
              <w:rPr>
                <w:noProof/>
                <w:sz w:val="20"/>
                <w:lang w:eastAsia="en-AU"/>
              </w:rPr>
              <w:drawing>
                <wp:inline distT="0" distB="0" distL="0" distR="0" wp14:anchorId="27F44A49" wp14:editId="61D28EFC">
                  <wp:extent cx="876300" cy="876300"/>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275" w:type="dxa"/>
            <w:tcBorders>
              <w:top w:val="gems" w:sz="8" w:space="0" w:color="BCBEC0"/>
            </w:tcBorders>
          </w:tcPr>
          <w:p w:rsidR="008F24BC" w:rsidRPr="007B0D45" w:rsidRDefault="008F24BC" w:rsidP="00355D04">
            <w:pPr>
              <w:pStyle w:val="TableText"/>
              <w:keepNext/>
              <w:spacing w:line="276" w:lineRule="auto"/>
              <w:rPr>
                <w:sz w:val="24"/>
                <w:szCs w:val="24"/>
              </w:rPr>
            </w:pPr>
            <w:r w:rsidRPr="007B0D45">
              <w:t>Display Resilience and Courage</w:t>
            </w:r>
          </w:p>
        </w:tc>
        <w:tc>
          <w:tcPr>
            <w:tcW w:w="3256" w:type="dxa"/>
            <w:tcBorders>
              <w:top w:val="gems" w:sz="8" w:space="0" w:color="BCBEC0"/>
            </w:tcBorders>
          </w:tcPr>
          <w:p w:rsidR="008F24BC" w:rsidRPr="007B0D45" w:rsidRDefault="008F24BC" w:rsidP="00355D04">
            <w:pPr>
              <w:pStyle w:val="TableText"/>
              <w:keepNext/>
              <w:spacing w:line="276" w:lineRule="auto"/>
            </w:pPr>
            <w:r w:rsidRPr="007B0D45">
              <w:t>Adept</w:t>
            </w:r>
          </w:p>
        </w:tc>
      </w:tr>
      <w:tr w:rsidR="008F24BC" w:rsidRPr="007B0D45" w:rsidTr="008F24BC">
        <w:tc>
          <w:tcPr>
            <w:tcW w:w="2014" w:type="dxa"/>
            <w:vMerge/>
            <w:tcBorders>
              <w:bottom w:val="single" w:sz="4" w:space="0" w:color="BCBEC0"/>
            </w:tcBorders>
          </w:tcPr>
          <w:p w:rsidR="008F24BC" w:rsidRPr="007B0D45" w:rsidRDefault="008F24BC" w:rsidP="00355D04">
            <w:pPr>
              <w:keepNext/>
              <w:spacing w:after="0" w:line="276" w:lineRule="auto"/>
              <w:rPr>
                <w:sz w:val="20"/>
              </w:rPr>
            </w:pPr>
          </w:p>
        </w:tc>
        <w:tc>
          <w:tcPr>
            <w:tcW w:w="5275" w:type="dxa"/>
            <w:tcBorders>
              <w:bottom w:val="single" w:sz="4" w:space="0" w:color="BCBEC0"/>
            </w:tcBorders>
          </w:tcPr>
          <w:p w:rsidR="008F24BC" w:rsidRPr="007B0D45" w:rsidRDefault="008F24BC" w:rsidP="00355D04">
            <w:pPr>
              <w:pStyle w:val="TableText"/>
              <w:keepNext/>
              <w:spacing w:line="276" w:lineRule="auto"/>
              <w:rPr>
                <w:b/>
                <w:sz w:val="24"/>
                <w:szCs w:val="24"/>
              </w:rPr>
            </w:pPr>
            <w:r w:rsidRPr="007B0D45">
              <w:rPr>
                <w:b/>
              </w:rPr>
              <w:t>Act with Integrity</w:t>
            </w:r>
          </w:p>
        </w:tc>
        <w:tc>
          <w:tcPr>
            <w:tcW w:w="3256" w:type="dxa"/>
            <w:tcBorders>
              <w:bottom w:val="single" w:sz="4" w:space="0" w:color="BCBEC0"/>
            </w:tcBorders>
          </w:tcPr>
          <w:p w:rsidR="008F24BC" w:rsidRPr="007B0D45" w:rsidRDefault="008F24BC" w:rsidP="00355D04">
            <w:pPr>
              <w:pStyle w:val="TableText"/>
              <w:keepNext/>
              <w:spacing w:line="276" w:lineRule="auto"/>
              <w:rPr>
                <w:b/>
              </w:rPr>
            </w:pPr>
            <w:r w:rsidRPr="007B0D45">
              <w:rPr>
                <w:b/>
              </w:rPr>
              <w:t>Advanced</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7B0D45" w:rsidRDefault="008F24BC" w:rsidP="00355D04">
            <w:pPr>
              <w:pStyle w:val="TableText"/>
              <w:keepNext/>
              <w:spacing w:line="276" w:lineRule="auto"/>
              <w:rPr>
                <w:sz w:val="24"/>
                <w:szCs w:val="24"/>
              </w:rPr>
            </w:pPr>
            <w:r w:rsidRPr="007B0D45">
              <w:t>Manage Self</w:t>
            </w:r>
          </w:p>
        </w:tc>
        <w:tc>
          <w:tcPr>
            <w:tcW w:w="3256" w:type="dxa"/>
          </w:tcPr>
          <w:p w:rsidR="008F24BC" w:rsidRPr="007B0D45" w:rsidRDefault="008F24BC" w:rsidP="00355D04">
            <w:pPr>
              <w:pStyle w:val="TableText"/>
              <w:keepNext/>
              <w:spacing w:line="276" w:lineRule="auto"/>
            </w:pPr>
            <w:r w:rsidRPr="007B0D45">
              <w:t>Adept</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837B2E" w:rsidRDefault="008F24BC" w:rsidP="00355D04">
            <w:pPr>
              <w:pStyle w:val="TableText"/>
              <w:keepNext/>
              <w:spacing w:line="276" w:lineRule="auto"/>
              <w:rPr>
                <w:sz w:val="24"/>
                <w:szCs w:val="24"/>
              </w:rPr>
            </w:pPr>
            <w:r w:rsidRPr="00837B2E">
              <w:t>Value Diversity</w:t>
            </w:r>
          </w:p>
        </w:tc>
        <w:tc>
          <w:tcPr>
            <w:tcW w:w="3256" w:type="dxa"/>
          </w:tcPr>
          <w:p w:rsidR="008F24BC" w:rsidRPr="00837B2E" w:rsidRDefault="008F24BC" w:rsidP="00355D04">
            <w:pPr>
              <w:pStyle w:val="TableText"/>
              <w:keepNext/>
              <w:spacing w:line="276" w:lineRule="auto"/>
            </w:pPr>
            <w:r w:rsidRPr="00837B2E">
              <w:t>Intermediate</w:t>
            </w:r>
          </w:p>
        </w:tc>
      </w:tr>
      <w:tr w:rsidR="008F24BC" w:rsidRPr="007B0D45" w:rsidTr="008F24BC">
        <w:tc>
          <w:tcPr>
            <w:tcW w:w="2014" w:type="dxa"/>
            <w:vMerge w:val="restart"/>
            <w:tcBorders>
              <w:top w:val="single" w:sz="12" w:space="0" w:color="auto"/>
            </w:tcBorders>
            <w:vAlign w:val="center"/>
          </w:tcPr>
          <w:p w:rsidR="008F24BC" w:rsidRPr="007B0D45" w:rsidRDefault="008F24BC" w:rsidP="00355D04">
            <w:pPr>
              <w:keepNext/>
              <w:spacing w:after="0" w:line="276" w:lineRule="auto"/>
              <w:rPr>
                <w:sz w:val="20"/>
              </w:rPr>
            </w:pPr>
            <w:r>
              <w:rPr>
                <w:noProof/>
                <w:sz w:val="20"/>
                <w:lang w:eastAsia="en-AU"/>
              </w:rPr>
              <w:drawing>
                <wp:inline distT="0" distB="0" distL="0" distR="0" wp14:anchorId="65C449CA" wp14:editId="364FA7F8">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275" w:type="dxa"/>
            <w:tcBorders>
              <w:top w:val="single" w:sz="12" w:space="0" w:color="auto"/>
            </w:tcBorders>
          </w:tcPr>
          <w:p w:rsidR="008F24BC" w:rsidRPr="00837B2E" w:rsidRDefault="008F24BC" w:rsidP="00355D04">
            <w:pPr>
              <w:pStyle w:val="TableText"/>
              <w:keepNext/>
              <w:spacing w:line="276" w:lineRule="auto"/>
              <w:rPr>
                <w:sz w:val="24"/>
                <w:szCs w:val="24"/>
              </w:rPr>
            </w:pPr>
            <w:r w:rsidRPr="00837B2E">
              <w:t>Communicate Effectively</w:t>
            </w:r>
          </w:p>
        </w:tc>
        <w:tc>
          <w:tcPr>
            <w:tcW w:w="3256" w:type="dxa"/>
            <w:tcBorders>
              <w:top w:val="single" w:sz="12" w:space="0" w:color="auto"/>
            </w:tcBorders>
          </w:tcPr>
          <w:p w:rsidR="008F24BC" w:rsidRPr="00837B2E" w:rsidRDefault="008F24BC" w:rsidP="00355D04">
            <w:pPr>
              <w:pStyle w:val="TableText"/>
              <w:keepNext/>
              <w:spacing w:line="276" w:lineRule="auto"/>
            </w:pPr>
            <w:r w:rsidRPr="00837B2E">
              <w:t>Adept</w:t>
            </w:r>
          </w:p>
        </w:tc>
      </w:tr>
      <w:tr w:rsidR="008F24BC" w:rsidRPr="007B0D45" w:rsidTr="008F24BC">
        <w:tc>
          <w:tcPr>
            <w:tcW w:w="2014" w:type="dxa"/>
            <w:vMerge/>
            <w:tcBorders>
              <w:bottom w:val="single" w:sz="4" w:space="0" w:color="BCBEC0"/>
            </w:tcBorders>
          </w:tcPr>
          <w:p w:rsidR="008F24BC" w:rsidRPr="007B0D45" w:rsidRDefault="008F24BC" w:rsidP="00355D04">
            <w:pPr>
              <w:keepNext/>
              <w:spacing w:after="0" w:line="276" w:lineRule="auto"/>
              <w:rPr>
                <w:sz w:val="20"/>
              </w:rPr>
            </w:pPr>
          </w:p>
        </w:tc>
        <w:tc>
          <w:tcPr>
            <w:tcW w:w="5275" w:type="dxa"/>
            <w:tcBorders>
              <w:bottom w:val="single" w:sz="4" w:space="0" w:color="BCBEC0"/>
            </w:tcBorders>
          </w:tcPr>
          <w:p w:rsidR="008F24BC" w:rsidRPr="00837B2E" w:rsidRDefault="008F24BC" w:rsidP="00355D04">
            <w:pPr>
              <w:pStyle w:val="TableText"/>
              <w:keepNext/>
              <w:spacing w:line="276" w:lineRule="auto"/>
              <w:rPr>
                <w:b/>
                <w:sz w:val="24"/>
                <w:szCs w:val="24"/>
              </w:rPr>
            </w:pPr>
            <w:r w:rsidRPr="00837B2E">
              <w:rPr>
                <w:b/>
              </w:rPr>
              <w:t>Commit to Customer Service</w:t>
            </w:r>
          </w:p>
        </w:tc>
        <w:tc>
          <w:tcPr>
            <w:tcW w:w="3256" w:type="dxa"/>
            <w:tcBorders>
              <w:bottom w:val="single" w:sz="4" w:space="0" w:color="BCBEC0"/>
            </w:tcBorders>
          </w:tcPr>
          <w:p w:rsidR="008F24BC" w:rsidRPr="00837B2E" w:rsidRDefault="008F24BC" w:rsidP="00355D04">
            <w:pPr>
              <w:pStyle w:val="TableText"/>
              <w:keepNext/>
              <w:spacing w:line="276" w:lineRule="auto"/>
              <w:rPr>
                <w:b/>
              </w:rPr>
            </w:pPr>
            <w:r w:rsidRPr="007B0D45">
              <w:rPr>
                <w:b/>
              </w:rPr>
              <w:t>Advanced</w:t>
            </w:r>
          </w:p>
        </w:tc>
      </w:tr>
      <w:tr w:rsidR="008F24BC" w:rsidRPr="007B0D45" w:rsidTr="008F24BC">
        <w:tc>
          <w:tcPr>
            <w:tcW w:w="2014" w:type="dxa"/>
            <w:vMerge/>
            <w:tcBorders>
              <w:bottom w:val="single" w:sz="4" w:space="0" w:color="BCBEC0"/>
            </w:tcBorders>
          </w:tcPr>
          <w:p w:rsidR="008F24BC" w:rsidRPr="007B0D45" w:rsidRDefault="008F24BC" w:rsidP="00355D04">
            <w:pPr>
              <w:keepNext/>
              <w:spacing w:after="0" w:line="276" w:lineRule="auto"/>
              <w:rPr>
                <w:sz w:val="20"/>
              </w:rPr>
            </w:pPr>
          </w:p>
        </w:tc>
        <w:tc>
          <w:tcPr>
            <w:tcW w:w="5275" w:type="dxa"/>
            <w:tcBorders>
              <w:bottom w:val="single" w:sz="4" w:space="0" w:color="BCBEC0"/>
            </w:tcBorders>
          </w:tcPr>
          <w:p w:rsidR="008F24BC" w:rsidRPr="008F24BC" w:rsidRDefault="008F24BC" w:rsidP="00355D04">
            <w:pPr>
              <w:pStyle w:val="TableText"/>
              <w:keepNext/>
              <w:spacing w:line="276" w:lineRule="auto"/>
              <w:rPr>
                <w:sz w:val="24"/>
                <w:szCs w:val="24"/>
              </w:rPr>
            </w:pPr>
            <w:r w:rsidRPr="008F24BC">
              <w:t>Work Collaboratively</w:t>
            </w:r>
          </w:p>
        </w:tc>
        <w:tc>
          <w:tcPr>
            <w:tcW w:w="3256" w:type="dxa"/>
            <w:tcBorders>
              <w:bottom w:val="single" w:sz="4" w:space="0" w:color="BCBEC0"/>
            </w:tcBorders>
          </w:tcPr>
          <w:p w:rsidR="008F24BC" w:rsidRPr="00837B2E" w:rsidRDefault="008F24BC" w:rsidP="00355D04">
            <w:pPr>
              <w:pStyle w:val="TableText"/>
              <w:keepNext/>
              <w:spacing w:line="276" w:lineRule="auto"/>
              <w:rPr>
                <w:b/>
              </w:rPr>
            </w:pPr>
            <w:r w:rsidRPr="00837B2E">
              <w:t>Adept</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8F24BC" w:rsidRDefault="008F24BC" w:rsidP="00355D04">
            <w:pPr>
              <w:pStyle w:val="TableText"/>
              <w:keepNext/>
              <w:spacing w:line="276" w:lineRule="auto"/>
              <w:rPr>
                <w:b/>
                <w:sz w:val="24"/>
                <w:szCs w:val="24"/>
              </w:rPr>
            </w:pPr>
            <w:r w:rsidRPr="008F24BC">
              <w:rPr>
                <w:b/>
              </w:rPr>
              <w:t>Influence and Negotiate</w:t>
            </w:r>
          </w:p>
        </w:tc>
        <w:tc>
          <w:tcPr>
            <w:tcW w:w="3256" w:type="dxa"/>
          </w:tcPr>
          <w:p w:rsidR="008F24BC" w:rsidRPr="008F24BC" w:rsidRDefault="008F24BC" w:rsidP="00355D04">
            <w:pPr>
              <w:pStyle w:val="TableText"/>
              <w:keepNext/>
              <w:spacing w:line="276" w:lineRule="auto"/>
              <w:rPr>
                <w:b/>
              </w:rPr>
            </w:pPr>
            <w:r w:rsidRPr="008F24BC">
              <w:rPr>
                <w:b/>
              </w:rPr>
              <w:t>Advanced</w:t>
            </w:r>
          </w:p>
        </w:tc>
      </w:tr>
      <w:tr w:rsidR="008F24BC" w:rsidRPr="007B0D45" w:rsidTr="008F24BC">
        <w:tc>
          <w:tcPr>
            <w:tcW w:w="2014" w:type="dxa"/>
            <w:vMerge w:val="restart"/>
            <w:tcBorders>
              <w:top w:val="single" w:sz="12" w:space="0" w:color="auto"/>
            </w:tcBorders>
            <w:vAlign w:val="center"/>
          </w:tcPr>
          <w:p w:rsidR="008F24BC" w:rsidRPr="007B0D45" w:rsidRDefault="008F24BC" w:rsidP="00355D04">
            <w:pPr>
              <w:keepNext/>
              <w:spacing w:after="0" w:line="276" w:lineRule="auto"/>
              <w:rPr>
                <w:sz w:val="20"/>
              </w:rPr>
            </w:pPr>
            <w:r>
              <w:rPr>
                <w:noProof/>
                <w:sz w:val="20"/>
                <w:lang w:eastAsia="en-AU"/>
              </w:rPr>
              <w:drawing>
                <wp:inline distT="0" distB="0" distL="0" distR="0" wp14:anchorId="28EBA9EA" wp14:editId="73E24128">
                  <wp:extent cx="876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275" w:type="dxa"/>
            <w:tcBorders>
              <w:top w:val="single" w:sz="12" w:space="0" w:color="auto"/>
            </w:tcBorders>
          </w:tcPr>
          <w:p w:rsidR="008F24BC" w:rsidRPr="008F24BC" w:rsidRDefault="008F24BC" w:rsidP="00355D04">
            <w:pPr>
              <w:pStyle w:val="TableText"/>
              <w:keepNext/>
              <w:spacing w:line="276" w:lineRule="auto"/>
              <w:rPr>
                <w:sz w:val="24"/>
                <w:szCs w:val="24"/>
              </w:rPr>
            </w:pPr>
            <w:r w:rsidRPr="008F24BC">
              <w:t>Deliver Results</w:t>
            </w:r>
          </w:p>
        </w:tc>
        <w:tc>
          <w:tcPr>
            <w:tcW w:w="3256" w:type="dxa"/>
            <w:tcBorders>
              <w:top w:val="single" w:sz="12" w:space="0" w:color="auto"/>
            </w:tcBorders>
          </w:tcPr>
          <w:p w:rsidR="008F24BC" w:rsidRPr="008F24BC" w:rsidRDefault="008F24BC" w:rsidP="00355D04">
            <w:pPr>
              <w:pStyle w:val="TableText"/>
              <w:keepNext/>
              <w:spacing w:line="276" w:lineRule="auto"/>
            </w:pPr>
            <w:r w:rsidRPr="00837B2E">
              <w:t>Adept</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837B2E" w:rsidRDefault="008F24BC" w:rsidP="00355D04">
            <w:pPr>
              <w:pStyle w:val="TableText"/>
              <w:keepNext/>
              <w:spacing w:line="276" w:lineRule="auto"/>
              <w:rPr>
                <w:sz w:val="24"/>
                <w:szCs w:val="24"/>
              </w:rPr>
            </w:pPr>
            <w:r w:rsidRPr="00837B2E">
              <w:t>Plan and Prioritise</w:t>
            </w:r>
          </w:p>
        </w:tc>
        <w:tc>
          <w:tcPr>
            <w:tcW w:w="3256" w:type="dxa"/>
          </w:tcPr>
          <w:p w:rsidR="008F24BC" w:rsidRPr="00837B2E" w:rsidRDefault="008F24BC" w:rsidP="00355D04">
            <w:pPr>
              <w:pStyle w:val="TableText"/>
              <w:keepNext/>
              <w:spacing w:line="276" w:lineRule="auto"/>
            </w:pPr>
            <w:r w:rsidRPr="00837B2E">
              <w:t>Adept</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837B2E" w:rsidRDefault="008F24BC" w:rsidP="00355D04">
            <w:pPr>
              <w:pStyle w:val="TableText"/>
              <w:keepNext/>
              <w:spacing w:line="276" w:lineRule="auto"/>
              <w:rPr>
                <w:sz w:val="24"/>
                <w:szCs w:val="24"/>
              </w:rPr>
            </w:pPr>
            <w:r w:rsidRPr="00837B2E">
              <w:t>Think and Solve Problems</w:t>
            </w:r>
          </w:p>
        </w:tc>
        <w:tc>
          <w:tcPr>
            <w:tcW w:w="3256" w:type="dxa"/>
          </w:tcPr>
          <w:p w:rsidR="008F24BC" w:rsidRPr="00837B2E" w:rsidRDefault="008F24BC" w:rsidP="00355D04">
            <w:pPr>
              <w:pStyle w:val="TableText"/>
              <w:keepNext/>
              <w:spacing w:line="276" w:lineRule="auto"/>
            </w:pPr>
            <w:r w:rsidRPr="00837B2E">
              <w:t>Adept</w:t>
            </w:r>
          </w:p>
        </w:tc>
      </w:tr>
      <w:tr w:rsidR="008F24BC" w:rsidRPr="007B0D45" w:rsidTr="008F24BC">
        <w:tc>
          <w:tcPr>
            <w:tcW w:w="2014" w:type="dxa"/>
            <w:vMerge/>
            <w:tcBorders>
              <w:bottom w:val="single" w:sz="4" w:space="0" w:color="BCBEC0"/>
            </w:tcBorders>
          </w:tcPr>
          <w:p w:rsidR="008F24BC" w:rsidRPr="007B0D45" w:rsidRDefault="008F24BC" w:rsidP="00355D04">
            <w:pPr>
              <w:keepNext/>
              <w:spacing w:after="0" w:line="276" w:lineRule="auto"/>
              <w:rPr>
                <w:sz w:val="20"/>
              </w:rPr>
            </w:pPr>
          </w:p>
        </w:tc>
        <w:tc>
          <w:tcPr>
            <w:tcW w:w="5275" w:type="dxa"/>
            <w:tcBorders>
              <w:bottom w:val="single" w:sz="4" w:space="0" w:color="BCBEC0"/>
            </w:tcBorders>
          </w:tcPr>
          <w:p w:rsidR="008F24BC" w:rsidRPr="00837B2E" w:rsidRDefault="008F24BC" w:rsidP="00355D04">
            <w:pPr>
              <w:pStyle w:val="TableText"/>
              <w:keepNext/>
              <w:spacing w:line="276" w:lineRule="auto"/>
              <w:rPr>
                <w:b/>
                <w:sz w:val="24"/>
                <w:szCs w:val="24"/>
              </w:rPr>
            </w:pPr>
            <w:r w:rsidRPr="00837B2E">
              <w:rPr>
                <w:b/>
              </w:rPr>
              <w:t>Demonstrate Accountability</w:t>
            </w:r>
          </w:p>
        </w:tc>
        <w:tc>
          <w:tcPr>
            <w:tcW w:w="3256" w:type="dxa"/>
            <w:tcBorders>
              <w:bottom w:val="single" w:sz="4" w:space="0" w:color="BCBEC0"/>
            </w:tcBorders>
          </w:tcPr>
          <w:p w:rsidR="008F24BC" w:rsidRPr="00837B2E" w:rsidRDefault="008F24BC" w:rsidP="00355D04">
            <w:pPr>
              <w:pStyle w:val="TableText"/>
              <w:keepNext/>
              <w:spacing w:line="276" w:lineRule="auto"/>
              <w:rPr>
                <w:b/>
              </w:rPr>
            </w:pPr>
            <w:r w:rsidRPr="008F24BC">
              <w:rPr>
                <w:b/>
              </w:rPr>
              <w:t>Advanced</w:t>
            </w:r>
          </w:p>
        </w:tc>
      </w:tr>
      <w:tr w:rsidR="008F24BC" w:rsidRPr="007B0D45" w:rsidTr="008F24BC">
        <w:tc>
          <w:tcPr>
            <w:tcW w:w="2014" w:type="dxa"/>
            <w:vMerge w:val="restart"/>
            <w:tcBorders>
              <w:top w:val="single" w:sz="12" w:space="0" w:color="auto"/>
            </w:tcBorders>
            <w:vAlign w:val="center"/>
          </w:tcPr>
          <w:p w:rsidR="008F24BC" w:rsidRPr="007B0D45" w:rsidRDefault="008F24BC" w:rsidP="00355D04">
            <w:pPr>
              <w:keepNext/>
              <w:spacing w:after="0" w:line="276" w:lineRule="auto"/>
              <w:rPr>
                <w:sz w:val="20"/>
              </w:rPr>
            </w:pPr>
            <w:r>
              <w:rPr>
                <w:noProof/>
                <w:sz w:val="20"/>
                <w:lang w:eastAsia="en-AU"/>
              </w:rPr>
              <w:drawing>
                <wp:inline distT="0" distB="0" distL="0" distR="0" wp14:anchorId="49EAA2DA" wp14:editId="497660AF">
                  <wp:extent cx="8763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275" w:type="dxa"/>
            <w:tcBorders>
              <w:top w:val="single" w:sz="12" w:space="0" w:color="auto"/>
            </w:tcBorders>
          </w:tcPr>
          <w:p w:rsidR="008F24BC" w:rsidRPr="008F24BC" w:rsidRDefault="008F24BC" w:rsidP="00355D04">
            <w:pPr>
              <w:pStyle w:val="TableText"/>
              <w:keepNext/>
              <w:spacing w:line="276" w:lineRule="auto"/>
              <w:rPr>
                <w:b/>
                <w:sz w:val="24"/>
                <w:szCs w:val="24"/>
              </w:rPr>
            </w:pPr>
            <w:r w:rsidRPr="008F24BC">
              <w:rPr>
                <w:b/>
              </w:rPr>
              <w:t>Finance</w:t>
            </w:r>
          </w:p>
        </w:tc>
        <w:tc>
          <w:tcPr>
            <w:tcW w:w="3256" w:type="dxa"/>
            <w:tcBorders>
              <w:top w:val="single" w:sz="12" w:space="0" w:color="auto"/>
            </w:tcBorders>
          </w:tcPr>
          <w:p w:rsidR="008F24BC" w:rsidRPr="00837B2E" w:rsidRDefault="008F24BC" w:rsidP="00355D04">
            <w:pPr>
              <w:pStyle w:val="TableText"/>
              <w:keepNext/>
              <w:spacing w:line="276" w:lineRule="auto"/>
            </w:pPr>
            <w:r w:rsidRPr="008F24BC">
              <w:rPr>
                <w:b/>
              </w:rPr>
              <w:t>Advanced</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837B2E" w:rsidRDefault="008F24BC" w:rsidP="00355D04">
            <w:pPr>
              <w:pStyle w:val="TableText"/>
              <w:keepNext/>
              <w:spacing w:line="276" w:lineRule="auto"/>
              <w:rPr>
                <w:sz w:val="24"/>
                <w:szCs w:val="24"/>
              </w:rPr>
            </w:pPr>
            <w:r w:rsidRPr="00837B2E">
              <w:t>Technology</w:t>
            </w:r>
          </w:p>
        </w:tc>
        <w:tc>
          <w:tcPr>
            <w:tcW w:w="3256" w:type="dxa"/>
          </w:tcPr>
          <w:p w:rsidR="008F24BC" w:rsidRPr="00837B2E" w:rsidRDefault="008F24BC" w:rsidP="00355D04">
            <w:pPr>
              <w:pStyle w:val="TableText"/>
              <w:keepNext/>
              <w:spacing w:line="276" w:lineRule="auto"/>
            </w:pPr>
            <w:r w:rsidRPr="00837B2E">
              <w:t>Intermediate</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837B2E" w:rsidRDefault="008F24BC" w:rsidP="00355D04">
            <w:pPr>
              <w:pStyle w:val="TableText"/>
              <w:keepNext/>
              <w:spacing w:line="276" w:lineRule="auto"/>
              <w:rPr>
                <w:sz w:val="24"/>
                <w:szCs w:val="24"/>
              </w:rPr>
            </w:pPr>
            <w:r w:rsidRPr="00837B2E">
              <w:t>Procurement and Contract Management</w:t>
            </w:r>
          </w:p>
        </w:tc>
        <w:tc>
          <w:tcPr>
            <w:tcW w:w="3256" w:type="dxa"/>
          </w:tcPr>
          <w:p w:rsidR="008F24BC" w:rsidRPr="00837B2E" w:rsidRDefault="008F24BC" w:rsidP="00355D04">
            <w:pPr>
              <w:pStyle w:val="TableText"/>
              <w:keepNext/>
              <w:spacing w:line="276" w:lineRule="auto"/>
            </w:pPr>
            <w:r w:rsidRPr="00837B2E">
              <w:t>Adept</w:t>
            </w:r>
          </w:p>
        </w:tc>
      </w:tr>
      <w:tr w:rsidR="008F24BC" w:rsidRPr="007B0D45" w:rsidTr="008F24BC">
        <w:tc>
          <w:tcPr>
            <w:tcW w:w="2014" w:type="dxa"/>
            <w:vMerge/>
            <w:tcBorders>
              <w:bottom w:val="single" w:sz="4" w:space="0" w:color="BCBEC0"/>
            </w:tcBorders>
          </w:tcPr>
          <w:p w:rsidR="008F24BC" w:rsidRPr="007B0D45" w:rsidRDefault="008F24BC" w:rsidP="00355D04">
            <w:pPr>
              <w:keepNext/>
              <w:spacing w:after="0" w:line="276" w:lineRule="auto"/>
              <w:rPr>
                <w:sz w:val="20"/>
              </w:rPr>
            </w:pPr>
          </w:p>
        </w:tc>
        <w:tc>
          <w:tcPr>
            <w:tcW w:w="5275" w:type="dxa"/>
            <w:tcBorders>
              <w:bottom w:val="single" w:sz="4" w:space="0" w:color="BCBEC0"/>
            </w:tcBorders>
          </w:tcPr>
          <w:p w:rsidR="008F24BC" w:rsidRPr="00837B2E" w:rsidRDefault="008F24BC" w:rsidP="00355D04">
            <w:pPr>
              <w:pStyle w:val="TableText"/>
              <w:keepNext/>
              <w:spacing w:line="276" w:lineRule="auto"/>
              <w:rPr>
                <w:b/>
                <w:sz w:val="24"/>
                <w:szCs w:val="24"/>
              </w:rPr>
            </w:pPr>
            <w:r w:rsidRPr="00837B2E">
              <w:rPr>
                <w:b/>
              </w:rPr>
              <w:t>Project Management</w:t>
            </w:r>
          </w:p>
        </w:tc>
        <w:tc>
          <w:tcPr>
            <w:tcW w:w="3256" w:type="dxa"/>
            <w:tcBorders>
              <w:bottom w:val="single" w:sz="4" w:space="0" w:color="BCBEC0"/>
            </w:tcBorders>
          </w:tcPr>
          <w:p w:rsidR="008F24BC" w:rsidRPr="00837B2E" w:rsidRDefault="008F24BC" w:rsidP="00355D04">
            <w:pPr>
              <w:pStyle w:val="TableText"/>
              <w:keepNext/>
              <w:spacing w:line="276" w:lineRule="auto"/>
              <w:rPr>
                <w:b/>
              </w:rPr>
            </w:pPr>
            <w:r w:rsidRPr="00837B2E">
              <w:rPr>
                <w:b/>
              </w:rPr>
              <w:t>Ad</w:t>
            </w:r>
            <w:r>
              <w:rPr>
                <w:b/>
              </w:rPr>
              <w:t>ept</w:t>
            </w:r>
          </w:p>
        </w:tc>
      </w:tr>
      <w:tr w:rsidR="008F24BC" w:rsidRPr="007B0D45" w:rsidTr="008F24BC">
        <w:tc>
          <w:tcPr>
            <w:tcW w:w="2014" w:type="dxa"/>
            <w:vMerge w:val="restart"/>
            <w:tcBorders>
              <w:top w:val="single" w:sz="12" w:space="0" w:color="auto"/>
            </w:tcBorders>
            <w:vAlign w:val="center"/>
          </w:tcPr>
          <w:p w:rsidR="008F24BC" w:rsidRPr="007B0D45" w:rsidRDefault="008F24BC" w:rsidP="00355D04">
            <w:pPr>
              <w:keepNext/>
              <w:spacing w:after="0" w:line="276" w:lineRule="auto"/>
              <w:rPr>
                <w:sz w:val="20"/>
              </w:rPr>
            </w:pPr>
            <w:r>
              <w:rPr>
                <w:noProof/>
                <w:sz w:val="20"/>
                <w:lang w:eastAsia="en-AU"/>
              </w:rPr>
              <w:drawing>
                <wp:inline distT="0" distB="0" distL="0" distR="0" wp14:anchorId="5D67EB18" wp14:editId="76B2E988">
                  <wp:extent cx="8763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275" w:type="dxa"/>
            <w:tcBorders>
              <w:top w:val="single" w:sz="12" w:space="0" w:color="auto"/>
            </w:tcBorders>
          </w:tcPr>
          <w:p w:rsidR="008F24BC" w:rsidRPr="00837B2E" w:rsidRDefault="008F24BC" w:rsidP="00355D04">
            <w:pPr>
              <w:pStyle w:val="TableText"/>
              <w:keepNext/>
              <w:spacing w:line="276" w:lineRule="auto"/>
              <w:rPr>
                <w:b/>
                <w:sz w:val="24"/>
                <w:szCs w:val="24"/>
              </w:rPr>
            </w:pPr>
            <w:r w:rsidRPr="00837B2E">
              <w:rPr>
                <w:b/>
              </w:rPr>
              <w:t>Manage and Develop People</w:t>
            </w:r>
          </w:p>
        </w:tc>
        <w:tc>
          <w:tcPr>
            <w:tcW w:w="3256" w:type="dxa"/>
            <w:tcBorders>
              <w:top w:val="single" w:sz="12" w:space="0" w:color="auto"/>
            </w:tcBorders>
          </w:tcPr>
          <w:p w:rsidR="008F24BC" w:rsidRPr="00837B2E" w:rsidRDefault="008F24BC" w:rsidP="00355D04">
            <w:pPr>
              <w:pStyle w:val="TableText"/>
              <w:keepNext/>
              <w:spacing w:line="276" w:lineRule="auto"/>
              <w:rPr>
                <w:b/>
              </w:rPr>
            </w:pPr>
            <w:r>
              <w:rPr>
                <w:b/>
              </w:rPr>
              <w:t>Advanced</w:t>
            </w:r>
          </w:p>
        </w:tc>
      </w:tr>
      <w:tr w:rsidR="008F24BC" w:rsidRPr="007B0D45" w:rsidTr="008F24BC">
        <w:tc>
          <w:tcPr>
            <w:tcW w:w="2014" w:type="dxa"/>
            <w:vMerge/>
            <w:tcBorders>
              <w:bottom w:val="single" w:sz="4" w:space="0" w:color="BCBEC0"/>
            </w:tcBorders>
          </w:tcPr>
          <w:p w:rsidR="008F24BC" w:rsidRPr="007B0D45" w:rsidRDefault="008F24BC" w:rsidP="00355D04">
            <w:pPr>
              <w:keepNext/>
              <w:spacing w:after="0" w:line="276" w:lineRule="auto"/>
              <w:rPr>
                <w:sz w:val="20"/>
              </w:rPr>
            </w:pPr>
          </w:p>
        </w:tc>
        <w:tc>
          <w:tcPr>
            <w:tcW w:w="5275" w:type="dxa"/>
            <w:tcBorders>
              <w:bottom w:val="single" w:sz="4" w:space="0" w:color="BCBEC0"/>
            </w:tcBorders>
          </w:tcPr>
          <w:p w:rsidR="008F24BC" w:rsidRPr="008F24BC" w:rsidRDefault="008F24BC" w:rsidP="00355D04">
            <w:pPr>
              <w:pStyle w:val="TableText"/>
              <w:keepNext/>
              <w:spacing w:line="276" w:lineRule="auto"/>
              <w:rPr>
                <w:sz w:val="24"/>
                <w:szCs w:val="24"/>
              </w:rPr>
            </w:pPr>
            <w:r w:rsidRPr="008F24BC">
              <w:t>Inspire Direction and Purpose</w:t>
            </w:r>
          </w:p>
        </w:tc>
        <w:tc>
          <w:tcPr>
            <w:tcW w:w="3256" w:type="dxa"/>
            <w:tcBorders>
              <w:bottom w:val="single" w:sz="4" w:space="0" w:color="BCBEC0"/>
            </w:tcBorders>
          </w:tcPr>
          <w:p w:rsidR="008F24BC" w:rsidRPr="008F24BC" w:rsidRDefault="008F24BC" w:rsidP="00355D04">
            <w:pPr>
              <w:pStyle w:val="TableText"/>
              <w:keepNext/>
              <w:spacing w:line="276" w:lineRule="auto"/>
            </w:pPr>
            <w:r w:rsidRPr="008F24BC">
              <w:t>Adept</w:t>
            </w:r>
          </w:p>
        </w:tc>
      </w:tr>
      <w:tr w:rsidR="008F24BC" w:rsidRPr="007B0D45" w:rsidTr="008F24BC">
        <w:tc>
          <w:tcPr>
            <w:tcW w:w="2014" w:type="dxa"/>
            <w:vMerge/>
          </w:tcPr>
          <w:p w:rsidR="008F24BC" w:rsidRPr="007B0D45" w:rsidRDefault="008F24BC" w:rsidP="00355D04">
            <w:pPr>
              <w:keepNext/>
              <w:spacing w:after="0" w:line="276" w:lineRule="auto"/>
              <w:rPr>
                <w:sz w:val="20"/>
              </w:rPr>
            </w:pPr>
          </w:p>
        </w:tc>
        <w:tc>
          <w:tcPr>
            <w:tcW w:w="5275" w:type="dxa"/>
          </w:tcPr>
          <w:p w:rsidR="008F24BC" w:rsidRPr="00837B2E" w:rsidRDefault="008F24BC" w:rsidP="006B2B4F">
            <w:pPr>
              <w:pStyle w:val="TableText"/>
              <w:keepNext/>
              <w:spacing w:line="276" w:lineRule="auto"/>
              <w:rPr>
                <w:sz w:val="24"/>
                <w:szCs w:val="24"/>
              </w:rPr>
            </w:pPr>
            <w:r w:rsidRPr="00837B2E">
              <w:t>Optimise Business Outcomes</w:t>
            </w:r>
          </w:p>
        </w:tc>
        <w:tc>
          <w:tcPr>
            <w:tcW w:w="3256" w:type="dxa"/>
          </w:tcPr>
          <w:p w:rsidR="008F24BC" w:rsidRPr="00837B2E" w:rsidRDefault="008F24BC" w:rsidP="00355D04">
            <w:pPr>
              <w:pStyle w:val="TableText"/>
              <w:keepNext/>
              <w:spacing w:line="276" w:lineRule="auto"/>
            </w:pPr>
            <w:r w:rsidRPr="00837B2E">
              <w:t>Adept</w:t>
            </w:r>
          </w:p>
        </w:tc>
      </w:tr>
      <w:tr w:rsidR="008F24BC" w:rsidRPr="007B0D45" w:rsidTr="008F24BC">
        <w:tc>
          <w:tcPr>
            <w:tcW w:w="2014" w:type="dxa"/>
            <w:vMerge/>
            <w:tcBorders>
              <w:bottom w:val="single" w:sz="12" w:space="0" w:color="auto"/>
            </w:tcBorders>
          </w:tcPr>
          <w:p w:rsidR="008F24BC" w:rsidRPr="007B0D45" w:rsidRDefault="008F24BC" w:rsidP="00355D04">
            <w:pPr>
              <w:keepNext/>
              <w:spacing w:after="0" w:line="276" w:lineRule="auto"/>
              <w:rPr>
                <w:sz w:val="20"/>
              </w:rPr>
            </w:pPr>
          </w:p>
        </w:tc>
        <w:tc>
          <w:tcPr>
            <w:tcW w:w="5275" w:type="dxa"/>
            <w:tcBorders>
              <w:bottom w:val="single" w:sz="12" w:space="0" w:color="auto"/>
            </w:tcBorders>
          </w:tcPr>
          <w:p w:rsidR="008F24BC" w:rsidRPr="00837B2E" w:rsidRDefault="008F24BC" w:rsidP="00355D04">
            <w:pPr>
              <w:pStyle w:val="TableText"/>
              <w:keepNext/>
              <w:spacing w:line="276" w:lineRule="auto"/>
              <w:rPr>
                <w:sz w:val="24"/>
                <w:szCs w:val="24"/>
              </w:rPr>
            </w:pPr>
            <w:r w:rsidRPr="00837B2E">
              <w:t>Manage Reform and Change</w:t>
            </w:r>
          </w:p>
        </w:tc>
        <w:tc>
          <w:tcPr>
            <w:tcW w:w="3256" w:type="dxa"/>
            <w:tcBorders>
              <w:bottom w:val="single" w:sz="12" w:space="0" w:color="auto"/>
            </w:tcBorders>
          </w:tcPr>
          <w:p w:rsidR="008F24BC" w:rsidRPr="00837B2E" w:rsidRDefault="008F24BC" w:rsidP="00355D04">
            <w:pPr>
              <w:pStyle w:val="TableText"/>
              <w:keepNext/>
              <w:spacing w:line="276" w:lineRule="auto"/>
            </w:pPr>
            <w:r w:rsidRPr="00837B2E">
              <w:t>Adept</w:t>
            </w:r>
          </w:p>
        </w:tc>
      </w:tr>
    </w:tbl>
    <w:p w:rsidR="008F24BC" w:rsidRDefault="008F24BC" w:rsidP="00355D04">
      <w:pPr>
        <w:spacing w:line="276" w:lineRule="auto"/>
      </w:pPr>
    </w:p>
    <w:tbl>
      <w:tblPr>
        <w:tblStyle w:val="PSCPurple"/>
        <w:tblW w:w="0" w:type="auto"/>
        <w:tblLook w:val="04A0" w:firstRow="1" w:lastRow="0" w:firstColumn="1" w:lastColumn="0" w:noHBand="0" w:noVBand="1"/>
      </w:tblPr>
      <w:tblGrid>
        <w:gridCol w:w="2146"/>
        <w:gridCol w:w="6445"/>
        <w:gridCol w:w="1954"/>
      </w:tblGrid>
      <w:tr w:rsidR="00731A70" w:rsidRPr="00803E47" w:rsidTr="00A60083">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top w:val="single" w:sz="8" w:space="0" w:color="BCBEC0"/>
              <w:bottom w:val="single" w:sz="8" w:space="0" w:color="BCBEC0"/>
            </w:tcBorders>
          </w:tcPr>
          <w:p w:rsidR="00731A70" w:rsidRPr="00803E47" w:rsidRDefault="00731A70" w:rsidP="00355D04">
            <w:pPr>
              <w:pStyle w:val="TableTextWhite0"/>
              <w:keepNext/>
              <w:spacing w:line="276" w:lineRule="auto"/>
            </w:pPr>
            <w:r w:rsidRPr="00803E47">
              <w:lastRenderedPageBreak/>
              <w:t>Occupation / profession specific capabilities</w:t>
            </w:r>
          </w:p>
        </w:tc>
      </w:tr>
      <w:tr w:rsidR="00731A70" w:rsidRPr="00C978B9" w:rsidTr="00A60083">
        <w:trPr>
          <w:cnfStyle w:val="100000000000" w:firstRow="1" w:lastRow="0" w:firstColumn="0" w:lastColumn="0" w:oddVBand="0" w:evenVBand="0" w:oddHBand="0" w:evenHBand="0" w:firstRowFirstColumn="0" w:firstRowLastColumn="0" w:lastRowFirstColumn="0" w:lastRowLastColumn="0"/>
          <w:tblHeader/>
        </w:trPr>
        <w:tc>
          <w:tcPr>
            <w:tcW w:w="2146" w:type="dxa"/>
            <w:tcBorders>
              <w:top w:val="single" w:sz="8" w:space="0" w:color="BCBEC0"/>
              <w:bottom w:val="single" w:sz="8" w:space="0" w:color="BCBEC0"/>
            </w:tcBorders>
            <w:shd w:val="clear" w:color="auto" w:fill="BCBEC0"/>
          </w:tcPr>
          <w:p w:rsidR="00731A70" w:rsidRPr="00C978B9" w:rsidRDefault="00731A70" w:rsidP="00355D04">
            <w:pPr>
              <w:pStyle w:val="TableText"/>
              <w:keepNext/>
              <w:spacing w:line="276" w:lineRule="auto"/>
              <w:rPr>
                <w:b/>
                <w:sz w:val="24"/>
                <w:szCs w:val="24"/>
              </w:rPr>
            </w:pPr>
            <w:r w:rsidRPr="00C978B9">
              <w:rPr>
                <w:b/>
              </w:rPr>
              <w:t>Capability Set</w:t>
            </w:r>
          </w:p>
        </w:tc>
        <w:tc>
          <w:tcPr>
            <w:tcW w:w="6445" w:type="dxa"/>
            <w:tcBorders>
              <w:top w:val="single" w:sz="8" w:space="0" w:color="BCBEC0"/>
              <w:bottom w:val="single" w:sz="8" w:space="0" w:color="BCBEC0"/>
            </w:tcBorders>
            <w:shd w:val="clear" w:color="auto" w:fill="BCBEC0"/>
          </w:tcPr>
          <w:p w:rsidR="00731A70" w:rsidRPr="00C978B9" w:rsidRDefault="00731A70" w:rsidP="00355D04">
            <w:pPr>
              <w:pStyle w:val="TableText"/>
              <w:keepNext/>
              <w:spacing w:line="276" w:lineRule="auto"/>
              <w:rPr>
                <w:b/>
                <w:sz w:val="24"/>
                <w:szCs w:val="24"/>
              </w:rPr>
            </w:pPr>
            <w:r w:rsidRPr="00021C23">
              <w:rPr>
                <w:b/>
              </w:rPr>
              <w:t>Category</w:t>
            </w:r>
            <w:r>
              <w:rPr>
                <w:b/>
              </w:rPr>
              <w:t xml:space="preserve"> and</w:t>
            </w:r>
            <w:r w:rsidRPr="00021C23">
              <w:rPr>
                <w:b/>
              </w:rPr>
              <w:t xml:space="preserve"> Sub-category</w:t>
            </w:r>
          </w:p>
        </w:tc>
        <w:tc>
          <w:tcPr>
            <w:tcW w:w="1954" w:type="dxa"/>
            <w:tcBorders>
              <w:top w:val="single" w:sz="8" w:space="0" w:color="BCBEC0"/>
              <w:bottom w:val="single" w:sz="8" w:space="0" w:color="BCBEC0"/>
            </w:tcBorders>
            <w:shd w:val="clear" w:color="auto" w:fill="BCBEC0"/>
          </w:tcPr>
          <w:p w:rsidR="00731A70" w:rsidRPr="00C978B9" w:rsidRDefault="00731A70" w:rsidP="00355D04">
            <w:pPr>
              <w:pStyle w:val="TableText"/>
              <w:keepNext/>
              <w:spacing w:line="276" w:lineRule="auto"/>
              <w:rPr>
                <w:b/>
                <w:sz w:val="24"/>
                <w:szCs w:val="24"/>
              </w:rPr>
            </w:pPr>
            <w:r>
              <w:rPr>
                <w:b/>
              </w:rPr>
              <w:t>Level</w:t>
            </w:r>
          </w:p>
        </w:tc>
      </w:tr>
      <w:tr w:rsidR="006B2B4F" w:rsidRPr="00C978B9" w:rsidTr="00A60083">
        <w:trPr>
          <w:cantSplit/>
        </w:trPr>
        <w:tc>
          <w:tcPr>
            <w:tcW w:w="2146" w:type="dxa"/>
            <w:vMerge w:val="restart"/>
            <w:tcBorders>
              <w:top w:val="single" w:sz="8" w:space="0" w:color="BCBEC0"/>
            </w:tcBorders>
            <w:vAlign w:val="center"/>
          </w:tcPr>
          <w:p w:rsidR="006B2B4F" w:rsidRPr="00C978B9" w:rsidRDefault="006B2B4F" w:rsidP="00355D04">
            <w:pPr>
              <w:keepNext/>
              <w:spacing w:line="276" w:lineRule="auto"/>
            </w:pPr>
            <w:r>
              <w:rPr>
                <w:noProof/>
                <w:lang w:eastAsia="en-AU"/>
              </w:rPr>
              <w:drawing>
                <wp:inline distT="0" distB="0" distL="0" distR="0" wp14:anchorId="0FD432EC" wp14:editId="5AB23956">
                  <wp:extent cx="824764" cy="822960"/>
                  <wp:effectExtent l="0" t="0" r="0" b="0"/>
                  <wp:docPr id="13" name="Picture 13" title="NSW Public Sector Capability Framework and The Finance Professionals Capability Se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Elements.png"/>
                          <pic:cNvPicPr/>
                        </pic:nvPicPr>
                        <pic:blipFill rotWithShape="1">
                          <a:blip r:embed="rId16" cstate="print">
                            <a:extLst>
                              <a:ext uri="{28A0092B-C50C-407E-A947-70E740481C1C}">
                                <a14:useLocalDpi xmlns:a14="http://schemas.microsoft.com/office/drawing/2010/main" val="0"/>
                              </a:ext>
                            </a:extLst>
                          </a:blip>
                          <a:srcRect l="83735" t="64842" r="4397" b="11065"/>
                          <a:stretch/>
                        </pic:blipFill>
                        <pic:spPr bwMode="auto">
                          <a:xfrm>
                            <a:off x="0" y="0"/>
                            <a:ext cx="824764" cy="8229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inline>
              </w:drawing>
            </w:r>
          </w:p>
        </w:tc>
        <w:tc>
          <w:tcPr>
            <w:tcW w:w="6445" w:type="dxa"/>
            <w:tcBorders>
              <w:top w:val="single" w:sz="8" w:space="0" w:color="BCBEC0"/>
            </w:tcBorders>
          </w:tcPr>
          <w:p w:rsidR="006B2B4F" w:rsidRPr="00C04AD2" w:rsidRDefault="006B2B4F" w:rsidP="00355D04">
            <w:pPr>
              <w:pStyle w:val="TableText"/>
              <w:spacing w:line="276" w:lineRule="auto"/>
              <w:rPr>
                <w:b/>
              </w:rPr>
            </w:pPr>
            <w:r w:rsidRPr="00C04AD2">
              <w:rPr>
                <w:b/>
              </w:rPr>
              <w:t>Financial Accounting &amp; Statutory Reporting</w:t>
            </w:r>
          </w:p>
        </w:tc>
        <w:tc>
          <w:tcPr>
            <w:tcW w:w="1954" w:type="dxa"/>
            <w:tcBorders>
              <w:top w:val="single" w:sz="8" w:space="0" w:color="BCBEC0"/>
            </w:tcBorders>
          </w:tcPr>
          <w:p w:rsidR="006B2B4F" w:rsidRPr="00C04AD2" w:rsidRDefault="006B2B4F" w:rsidP="00355D04">
            <w:pPr>
              <w:pStyle w:val="TableText"/>
              <w:spacing w:line="276" w:lineRule="auto"/>
              <w:rPr>
                <w:b/>
              </w:rPr>
            </w:pPr>
            <w:r w:rsidRPr="00C04AD2">
              <w:rPr>
                <w:b/>
              </w:rPr>
              <w:t>Level</w:t>
            </w:r>
            <w:r>
              <w:rPr>
                <w:b/>
              </w:rPr>
              <w:t xml:space="preserve"> 4</w:t>
            </w:r>
          </w:p>
        </w:tc>
      </w:tr>
      <w:tr w:rsidR="006B2B4F" w:rsidRPr="00E437C4" w:rsidTr="00A60083">
        <w:trPr>
          <w:cantSplit/>
        </w:trPr>
        <w:tc>
          <w:tcPr>
            <w:tcW w:w="2146" w:type="dxa"/>
            <w:vMerge/>
          </w:tcPr>
          <w:p w:rsidR="006B2B4F" w:rsidRPr="00C978B9" w:rsidRDefault="006B2B4F" w:rsidP="00355D04">
            <w:pPr>
              <w:keepNext/>
              <w:spacing w:line="276" w:lineRule="auto"/>
            </w:pPr>
          </w:p>
        </w:tc>
        <w:tc>
          <w:tcPr>
            <w:tcW w:w="6445" w:type="dxa"/>
          </w:tcPr>
          <w:p w:rsidR="006B2B4F" w:rsidRDefault="006B2B4F" w:rsidP="00355D04">
            <w:pPr>
              <w:pStyle w:val="TableText"/>
              <w:spacing w:line="276" w:lineRule="auto"/>
              <w:rPr>
                <w:color w:val="FF0000"/>
              </w:rPr>
            </w:pPr>
          </w:p>
        </w:tc>
        <w:tc>
          <w:tcPr>
            <w:tcW w:w="1954" w:type="dxa"/>
          </w:tcPr>
          <w:p w:rsidR="006B2B4F" w:rsidRDefault="006B2B4F" w:rsidP="00355D04">
            <w:pPr>
              <w:pStyle w:val="TableText"/>
              <w:spacing w:line="276" w:lineRule="auto"/>
              <w:rPr>
                <w:color w:val="FF0000"/>
              </w:rPr>
            </w:pPr>
          </w:p>
        </w:tc>
      </w:tr>
    </w:tbl>
    <w:p w:rsidR="008F24BC" w:rsidRDefault="008F24BC" w:rsidP="00355D04">
      <w:pPr>
        <w:spacing w:line="276" w:lineRule="auto"/>
      </w:pPr>
    </w:p>
    <w:p w:rsidR="004A31C9" w:rsidRPr="00C978B9" w:rsidRDefault="004A31C9" w:rsidP="00355D04">
      <w:pPr>
        <w:pStyle w:val="Heading2"/>
        <w:spacing w:line="276" w:lineRule="auto"/>
      </w:pPr>
      <w:r w:rsidRPr="00C978B9">
        <w:t xml:space="preserve">Focus </w:t>
      </w:r>
      <w:r w:rsidR="00043B92">
        <w:t>c</w:t>
      </w:r>
      <w:r w:rsidRPr="00C978B9">
        <w:t>apabilities</w:t>
      </w:r>
    </w:p>
    <w:p w:rsidR="001E6D36" w:rsidRDefault="00822DC8" w:rsidP="00355D04">
      <w:pPr>
        <w:spacing w:line="276" w:lineRule="auto"/>
      </w:pPr>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1E6D36" w:rsidRPr="00C978B9" w:rsidTr="0065584C">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1E6D36" w:rsidRPr="00C978B9" w:rsidRDefault="001E6D36" w:rsidP="0065584C">
            <w:pPr>
              <w:pStyle w:val="TableTextWhite0"/>
              <w:keepNext/>
            </w:pPr>
            <w:r w:rsidRPr="00C978B9">
              <w:t>NSW Public Sector Capability Framework</w:t>
            </w:r>
          </w:p>
        </w:tc>
      </w:tr>
      <w:tr w:rsidR="001E6D36" w:rsidRPr="00DA3502" w:rsidTr="0065584C">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1E6D36" w:rsidRPr="00DA3502" w:rsidRDefault="001E6D36" w:rsidP="0065584C">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1E6D36" w:rsidRPr="00DA3502" w:rsidRDefault="001E6D36" w:rsidP="0065584C">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1E6D36" w:rsidRPr="00DA3502" w:rsidRDefault="001E6D36" w:rsidP="0065584C">
            <w:pPr>
              <w:pStyle w:val="TableText"/>
              <w:rPr>
                <w:b/>
              </w:rPr>
            </w:pPr>
            <w:r w:rsidRPr="00DA3502">
              <w:rPr>
                <w:b/>
              </w:rPr>
              <w:t>Behavioural Indicators</w:t>
            </w:r>
          </w:p>
        </w:tc>
      </w:tr>
      <w:tr w:rsidR="001E6D36" w:rsidRPr="00C978B9" w:rsidTr="0065584C">
        <w:tc>
          <w:tcPr>
            <w:tcW w:w="2324" w:type="dxa"/>
          </w:tcPr>
          <w:p w:rsidR="001E6D36" w:rsidRPr="00C978B9" w:rsidRDefault="001E6D36" w:rsidP="0065584C">
            <w:pPr>
              <w:pStyle w:val="TableText"/>
              <w:rPr>
                <w:b/>
              </w:rPr>
            </w:pPr>
            <w:r w:rsidRPr="00C978B9">
              <w:rPr>
                <w:b/>
              </w:rPr>
              <w:t>Personal Attributes</w:t>
            </w:r>
          </w:p>
          <w:p w:rsidR="001E6D36" w:rsidRPr="00C978B9" w:rsidRDefault="001E6D36" w:rsidP="0065584C">
            <w:pPr>
              <w:pStyle w:val="TableText"/>
            </w:pPr>
            <w:r w:rsidRPr="00C978B9">
              <w:t>Act with Integrity</w:t>
            </w:r>
          </w:p>
        </w:tc>
        <w:tc>
          <w:tcPr>
            <w:tcW w:w="1843" w:type="dxa"/>
          </w:tcPr>
          <w:p w:rsidR="001E6D36" w:rsidRPr="00C978B9" w:rsidRDefault="001E6D36" w:rsidP="0065584C">
            <w:pPr>
              <w:pStyle w:val="TableText"/>
              <w:rPr>
                <w:rFonts w:cs="Arial"/>
                <w:color w:val="000000"/>
              </w:rPr>
            </w:pPr>
            <w:r w:rsidRPr="00C978B9">
              <w:rPr>
                <w:rFonts w:cs="Arial"/>
                <w:color w:val="000000"/>
              </w:rPr>
              <w:t>Ad</w:t>
            </w:r>
            <w:r>
              <w:rPr>
                <w:rFonts w:cs="Arial"/>
                <w:color w:val="000000"/>
              </w:rPr>
              <w:t>vanced</w:t>
            </w:r>
          </w:p>
        </w:tc>
        <w:tc>
          <w:tcPr>
            <w:tcW w:w="6378" w:type="dxa"/>
          </w:tcPr>
          <w:p w:rsidR="001E6D36" w:rsidRDefault="001E6D36" w:rsidP="0065584C">
            <w:pPr>
              <w:pStyle w:val="TableBullet"/>
            </w:pPr>
            <w:r>
              <w:t>Model the highest standards of ethical behaviour and reinforce them in others</w:t>
            </w:r>
          </w:p>
          <w:p w:rsidR="001E6D36" w:rsidRDefault="001E6D36" w:rsidP="0065584C">
            <w:pPr>
              <w:pStyle w:val="TableBullet"/>
            </w:pPr>
            <w:r>
              <w:t>Represent the organisation in an honest, ethical and professional way and set an example for others to follow</w:t>
            </w:r>
          </w:p>
          <w:p w:rsidR="001E6D36" w:rsidRDefault="001E6D36" w:rsidP="0065584C">
            <w:pPr>
              <w:pStyle w:val="TableBullet"/>
            </w:pPr>
            <w:r>
              <w:t>Ensure that others have a working understanding of the legislation and policy framework within which they operate</w:t>
            </w:r>
          </w:p>
          <w:p w:rsidR="001E6D36" w:rsidRDefault="001E6D36" w:rsidP="0065584C">
            <w:pPr>
              <w:pStyle w:val="TableBullet"/>
            </w:pPr>
            <w:r>
              <w:t>Monitor ethical practices, standards and systems, and reinforce them in others</w:t>
            </w:r>
          </w:p>
          <w:p w:rsidR="001E6D36" w:rsidRPr="00C978B9" w:rsidRDefault="001E6D36" w:rsidP="0065584C">
            <w:pPr>
              <w:pStyle w:val="TableBullet"/>
            </w:pPr>
            <w:r>
              <w:t>Act on reported breaches of rules, policies and guidelines</w:t>
            </w:r>
          </w:p>
        </w:tc>
      </w:tr>
      <w:tr w:rsidR="001E6D36" w:rsidRPr="00C978B9" w:rsidTr="0065584C">
        <w:tc>
          <w:tcPr>
            <w:tcW w:w="2324" w:type="dxa"/>
          </w:tcPr>
          <w:p w:rsidR="001E6D36" w:rsidRPr="00C978B9" w:rsidRDefault="001E6D36" w:rsidP="0065584C">
            <w:pPr>
              <w:pStyle w:val="TableText"/>
              <w:rPr>
                <w:b/>
              </w:rPr>
            </w:pPr>
            <w:r w:rsidRPr="00C978B9">
              <w:rPr>
                <w:b/>
              </w:rPr>
              <w:t>Relationships</w:t>
            </w:r>
          </w:p>
          <w:p w:rsidR="001E6D36" w:rsidRPr="00C978B9" w:rsidRDefault="001E6D36" w:rsidP="0065584C">
            <w:pPr>
              <w:pStyle w:val="TableText"/>
            </w:pPr>
            <w:r w:rsidRPr="00C978B9">
              <w:t>Commit to Customer Service</w:t>
            </w:r>
          </w:p>
        </w:tc>
        <w:tc>
          <w:tcPr>
            <w:tcW w:w="1843" w:type="dxa"/>
          </w:tcPr>
          <w:p w:rsidR="001E6D36" w:rsidRPr="00C978B9" w:rsidRDefault="001E6D36" w:rsidP="0065584C">
            <w:pPr>
              <w:pStyle w:val="TableText"/>
              <w:rPr>
                <w:rFonts w:cs="Arial"/>
                <w:color w:val="000000"/>
              </w:rPr>
            </w:pPr>
            <w:r w:rsidRPr="00C978B9">
              <w:rPr>
                <w:rFonts w:cs="Arial"/>
                <w:color w:val="000000"/>
              </w:rPr>
              <w:t>Advanced</w:t>
            </w:r>
          </w:p>
        </w:tc>
        <w:tc>
          <w:tcPr>
            <w:tcW w:w="6378" w:type="dxa"/>
          </w:tcPr>
          <w:p w:rsidR="001E6D36" w:rsidRPr="00C978B9" w:rsidRDefault="001E6D36" w:rsidP="0065584C">
            <w:pPr>
              <w:pStyle w:val="TableBullet"/>
            </w:pPr>
            <w:r w:rsidRPr="00C978B9">
              <w:t>Promote a culture of quality customer service in the organisation</w:t>
            </w:r>
          </w:p>
          <w:p w:rsidR="001E6D36" w:rsidRPr="00C978B9" w:rsidRDefault="001E6D36" w:rsidP="0065584C">
            <w:pPr>
              <w:pStyle w:val="TableBullet"/>
            </w:pPr>
            <w:r w:rsidRPr="00C978B9">
              <w:t>Initiate and develop partnerships with customers to define and evaluate service performance outcomes</w:t>
            </w:r>
          </w:p>
          <w:p w:rsidR="001E6D36" w:rsidRPr="00C978B9" w:rsidRDefault="001E6D36" w:rsidP="0065584C">
            <w:pPr>
              <w:pStyle w:val="TableBullet"/>
            </w:pPr>
            <w:r w:rsidRPr="00C978B9">
              <w:t xml:space="preserve">Promote and manage alliances within the organisation and across the public, private and community sectors </w:t>
            </w:r>
          </w:p>
          <w:p w:rsidR="001E6D36" w:rsidRPr="00C978B9" w:rsidRDefault="001E6D36" w:rsidP="0065584C">
            <w:pPr>
              <w:pStyle w:val="TableBullet"/>
            </w:pPr>
            <w:r w:rsidRPr="00C978B9">
              <w:t>Liaise with senior stakeholders on key issues and provide expert and influential advice</w:t>
            </w:r>
          </w:p>
          <w:p w:rsidR="001E6D36" w:rsidRPr="00C978B9" w:rsidRDefault="001E6D36" w:rsidP="0065584C">
            <w:pPr>
              <w:pStyle w:val="TableBullet"/>
            </w:pPr>
            <w:r w:rsidRPr="00C978B9">
              <w:t>Identify and incorporate the interests and needs of customers in business process design</w:t>
            </w:r>
          </w:p>
          <w:p w:rsidR="001E6D36" w:rsidRPr="00C978B9" w:rsidRDefault="001E6D36" w:rsidP="0065584C">
            <w:pPr>
              <w:pStyle w:val="TableBullet"/>
            </w:pPr>
            <w:r w:rsidRPr="00C978B9">
              <w:t>Ensure that the organisation's systems, processes, policies and programs respond to customer needs</w:t>
            </w:r>
          </w:p>
        </w:tc>
      </w:tr>
      <w:tr w:rsidR="001E6D36" w:rsidRPr="00C978B9" w:rsidTr="0065584C">
        <w:tc>
          <w:tcPr>
            <w:tcW w:w="2324" w:type="dxa"/>
          </w:tcPr>
          <w:p w:rsidR="001E6D36" w:rsidRPr="00C978B9" w:rsidRDefault="001E6D36" w:rsidP="0065584C">
            <w:pPr>
              <w:pStyle w:val="TableText"/>
              <w:rPr>
                <w:b/>
              </w:rPr>
            </w:pPr>
            <w:r w:rsidRPr="00C978B9">
              <w:rPr>
                <w:b/>
              </w:rPr>
              <w:t>Relationships</w:t>
            </w:r>
          </w:p>
          <w:p w:rsidR="001E6D36" w:rsidRPr="00C978B9" w:rsidRDefault="001E6D36" w:rsidP="0065584C">
            <w:pPr>
              <w:pStyle w:val="TableText"/>
            </w:pPr>
            <w:r>
              <w:t>Influence and</w:t>
            </w:r>
            <w:r>
              <w:br/>
            </w:r>
            <w:r w:rsidRPr="00C978B9">
              <w:t>Negotiate</w:t>
            </w:r>
          </w:p>
        </w:tc>
        <w:tc>
          <w:tcPr>
            <w:tcW w:w="1843" w:type="dxa"/>
          </w:tcPr>
          <w:p w:rsidR="001E6D36" w:rsidRPr="00C978B9" w:rsidRDefault="001E6D36" w:rsidP="0065584C">
            <w:pPr>
              <w:pStyle w:val="TableText"/>
              <w:rPr>
                <w:rFonts w:cs="Arial"/>
                <w:color w:val="000000"/>
              </w:rPr>
            </w:pPr>
            <w:r w:rsidRPr="00C978B9">
              <w:rPr>
                <w:rFonts w:cs="Arial"/>
                <w:color w:val="000000"/>
              </w:rPr>
              <w:t>Advanced</w:t>
            </w:r>
          </w:p>
        </w:tc>
        <w:tc>
          <w:tcPr>
            <w:tcW w:w="6378" w:type="dxa"/>
          </w:tcPr>
          <w:p w:rsidR="001E6D36" w:rsidRPr="00C978B9" w:rsidRDefault="001E6D36" w:rsidP="0065584C">
            <w:pPr>
              <w:pStyle w:val="TableBullet"/>
            </w:pPr>
            <w:r w:rsidRPr="00C978B9">
              <w:t xml:space="preserve">Influence others with a fair and considered approach and present persuasive counter-arguments </w:t>
            </w:r>
          </w:p>
          <w:p w:rsidR="001E6D36" w:rsidRPr="00C978B9" w:rsidRDefault="001E6D36" w:rsidP="0065584C">
            <w:pPr>
              <w:pStyle w:val="TableBullet"/>
            </w:pPr>
            <w:r w:rsidRPr="00C978B9">
              <w:t>Work towards mutually beneficial win/win outcomes</w:t>
            </w:r>
          </w:p>
          <w:p w:rsidR="001E6D36" w:rsidRPr="00C978B9" w:rsidRDefault="001E6D36" w:rsidP="0065584C">
            <w:pPr>
              <w:pStyle w:val="TableBullet"/>
            </w:pPr>
            <w:r w:rsidRPr="00C978B9">
              <w:t xml:space="preserve">Show sensitivity and understanding in resolving acute and complex conflicts </w:t>
            </w:r>
          </w:p>
          <w:p w:rsidR="001E6D36" w:rsidRPr="00C978B9" w:rsidRDefault="001E6D36" w:rsidP="0065584C">
            <w:pPr>
              <w:pStyle w:val="TableBullet"/>
            </w:pPr>
            <w:r w:rsidRPr="00C978B9">
              <w:t xml:space="preserve">Identify key stakeholders and gain their support in advance </w:t>
            </w:r>
          </w:p>
          <w:p w:rsidR="001E6D36" w:rsidRPr="00C978B9" w:rsidRDefault="001E6D36" w:rsidP="0065584C">
            <w:pPr>
              <w:pStyle w:val="TableBullet"/>
            </w:pPr>
            <w:r w:rsidRPr="00C978B9">
              <w:t>Establish a clear negotiation position based on research, a firm grasp of key issues, likely arguments, points of difference and areas for compromise</w:t>
            </w:r>
          </w:p>
          <w:p w:rsidR="001E6D36" w:rsidRPr="00C978B9" w:rsidRDefault="001E6D36" w:rsidP="0065584C">
            <w:pPr>
              <w:pStyle w:val="TableBullet"/>
            </w:pPr>
            <w:r w:rsidRPr="00C978B9">
              <w:t>Pre-empt and minimise conflict within the organisation and with external stakeholders</w:t>
            </w:r>
          </w:p>
        </w:tc>
      </w:tr>
      <w:tr w:rsidR="001E6D36" w:rsidRPr="00C978B9" w:rsidTr="0065584C">
        <w:tc>
          <w:tcPr>
            <w:tcW w:w="2324" w:type="dxa"/>
          </w:tcPr>
          <w:p w:rsidR="001E6D36" w:rsidRPr="00C978B9" w:rsidRDefault="001E6D36" w:rsidP="0065584C">
            <w:pPr>
              <w:pStyle w:val="TableText"/>
              <w:rPr>
                <w:b/>
              </w:rPr>
            </w:pPr>
            <w:r w:rsidRPr="00C978B9">
              <w:rPr>
                <w:b/>
              </w:rPr>
              <w:t>Results</w:t>
            </w:r>
          </w:p>
          <w:p w:rsidR="001E6D36" w:rsidRPr="00C978B9" w:rsidRDefault="001E6D36" w:rsidP="0065584C">
            <w:pPr>
              <w:pStyle w:val="TableText"/>
            </w:pPr>
            <w:r w:rsidRPr="00C978B9">
              <w:t xml:space="preserve">Demonstrate </w:t>
            </w:r>
            <w:r w:rsidRPr="00C978B9">
              <w:lastRenderedPageBreak/>
              <w:t>Accountability</w:t>
            </w:r>
          </w:p>
        </w:tc>
        <w:tc>
          <w:tcPr>
            <w:tcW w:w="1843" w:type="dxa"/>
          </w:tcPr>
          <w:p w:rsidR="001E6D36" w:rsidRPr="00C978B9" w:rsidRDefault="001E6D36" w:rsidP="0065584C">
            <w:pPr>
              <w:pStyle w:val="TableText"/>
              <w:rPr>
                <w:rFonts w:cs="Arial"/>
                <w:color w:val="000000"/>
              </w:rPr>
            </w:pPr>
            <w:r w:rsidRPr="00C978B9">
              <w:rPr>
                <w:rFonts w:cs="Arial"/>
                <w:color w:val="000000"/>
              </w:rPr>
              <w:lastRenderedPageBreak/>
              <w:t>Advanced</w:t>
            </w:r>
          </w:p>
        </w:tc>
        <w:tc>
          <w:tcPr>
            <w:tcW w:w="6378" w:type="dxa"/>
          </w:tcPr>
          <w:p w:rsidR="001E6D36" w:rsidRPr="00C978B9" w:rsidRDefault="001E6D36" w:rsidP="0065584C">
            <w:pPr>
              <w:pStyle w:val="TableBullet"/>
            </w:pPr>
            <w:r w:rsidRPr="00C978B9">
              <w:t>Design and develop systems to establish and measure accountabilities</w:t>
            </w:r>
          </w:p>
          <w:p w:rsidR="001E6D36" w:rsidRPr="00C978B9" w:rsidRDefault="001E6D36" w:rsidP="0065584C">
            <w:pPr>
              <w:pStyle w:val="TableBullet"/>
            </w:pPr>
            <w:r w:rsidRPr="00C978B9">
              <w:lastRenderedPageBreak/>
              <w:t xml:space="preserve">Ensure accountabilities are exercised in line with government and business goals </w:t>
            </w:r>
          </w:p>
          <w:p w:rsidR="001E6D36" w:rsidRPr="00C978B9" w:rsidRDefault="001E6D36" w:rsidP="0065584C">
            <w:pPr>
              <w:pStyle w:val="TableBullet"/>
            </w:pPr>
            <w:r w:rsidRPr="00C978B9">
              <w:t>Exercise due diligence to ensure work health and safety risks are addressed</w:t>
            </w:r>
          </w:p>
          <w:p w:rsidR="001E6D36" w:rsidRPr="00C978B9" w:rsidRDefault="001E6D36" w:rsidP="0065584C">
            <w:pPr>
              <w:pStyle w:val="TableBullet"/>
            </w:pPr>
            <w:r w:rsidRPr="00C978B9">
              <w:t>Oversee quality assurance practices</w:t>
            </w:r>
          </w:p>
          <w:p w:rsidR="001E6D36" w:rsidRPr="00C978B9" w:rsidRDefault="001E6D36" w:rsidP="0065584C">
            <w:pPr>
              <w:pStyle w:val="TableBullet"/>
            </w:pPr>
            <w:r w:rsidRPr="00C978B9">
              <w:t>Model the highest standards of financial probity, demonstrating respect for public monies and other resources</w:t>
            </w:r>
          </w:p>
          <w:p w:rsidR="001E6D36" w:rsidRPr="00C978B9" w:rsidRDefault="001E6D36" w:rsidP="0065584C">
            <w:pPr>
              <w:pStyle w:val="TableBullet"/>
            </w:pPr>
            <w:r w:rsidRPr="00C978B9">
              <w:t>Monitor and maintain business unit knowledge of and compliance with legislative and regulatory frameworks</w:t>
            </w:r>
          </w:p>
          <w:p w:rsidR="001E6D36" w:rsidRPr="00C978B9" w:rsidRDefault="001E6D36" w:rsidP="0065584C">
            <w:pPr>
              <w:pStyle w:val="TableBullet"/>
            </w:pPr>
            <w:r w:rsidRPr="00C978B9">
              <w:t>Incorporate sound risk management principles and strategies into business planning</w:t>
            </w:r>
          </w:p>
        </w:tc>
      </w:tr>
      <w:tr w:rsidR="001E6D36" w:rsidRPr="00C978B9" w:rsidTr="0065584C">
        <w:tc>
          <w:tcPr>
            <w:tcW w:w="2324" w:type="dxa"/>
          </w:tcPr>
          <w:p w:rsidR="001E6D36" w:rsidRPr="00C978B9" w:rsidRDefault="001E6D36" w:rsidP="0065584C">
            <w:pPr>
              <w:pStyle w:val="TableText"/>
              <w:rPr>
                <w:b/>
              </w:rPr>
            </w:pPr>
            <w:bookmarkStart w:id="24" w:name="BusEnablers_Fin_Adv"/>
            <w:r w:rsidRPr="00C978B9">
              <w:rPr>
                <w:b/>
              </w:rPr>
              <w:lastRenderedPageBreak/>
              <w:t>Business Enablers</w:t>
            </w:r>
          </w:p>
          <w:p w:rsidR="001E6D36" w:rsidRPr="00C978B9" w:rsidRDefault="001E6D36" w:rsidP="0065584C">
            <w:pPr>
              <w:pStyle w:val="TableText"/>
            </w:pPr>
            <w:r w:rsidRPr="00C978B9">
              <w:t>Finance</w:t>
            </w:r>
          </w:p>
        </w:tc>
        <w:tc>
          <w:tcPr>
            <w:tcW w:w="1843" w:type="dxa"/>
          </w:tcPr>
          <w:p w:rsidR="001E6D36" w:rsidRPr="00C978B9" w:rsidRDefault="001E6D36" w:rsidP="0065584C">
            <w:pPr>
              <w:pStyle w:val="TableText"/>
              <w:rPr>
                <w:rFonts w:cs="Arial"/>
                <w:color w:val="000000"/>
              </w:rPr>
            </w:pPr>
            <w:r w:rsidRPr="00C978B9">
              <w:rPr>
                <w:rFonts w:cs="Arial"/>
                <w:color w:val="000000"/>
              </w:rPr>
              <w:t>Advanced</w:t>
            </w:r>
          </w:p>
        </w:tc>
        <w:tc>
          <w:tcPr>
            <w:tcW w:w="6378" w:type="dxa"/>
          </w:tcPr>
          <w:p w:rsidR="001E6D36" w:rsidRPr="00C978B9" w:rsidRDefault="001E6D36" w:rsidP="0065584C">
            <w:pPr>
              <w:pStyle w:val="TableBullet"/>
            </w:pPr>
            <w:r w:rsidRPr="00C978B9">
              <w:t>Apply a thorough understanding of recurrent and capital financial terminology, policies and processes to planning, forecasting and budget preparation and management</w:t>
            </w:r>
          </w:p>
          <w:p w:rsidR="001E6D36" w:rsidRPr="00C978B9" w:rsidRDefault="001E6D36" w:rsidP="0065584C">
            <w:pPr>
              <w:pStyle w:val="TableBullet"/>
            </w:pPr>
            <w:r w:rsidRPr="00C978B9">
              <w:t>Identify and analyse trends, review data and evaluate business options to ensure business cases are financially sound</w:t>
            </w:r>
          </w:p>
          <w:p w:rsidR="001E6D36" w:rsidRPr="00C978B9" w:rsidRDefault="001E6D36" w:rsidP="0065584C">
            <w:pPr>
              <w:pStyle w:val="TableBullet"/>
            </w:pPr>
            <w:r w:rsidRPr="00C978B9">
              <w:t xml:space="preserve">Assess relative cost benefits of direct provision or purchase of services </w:t>
            </w:r>
          </w:p>
          <w:p w:rsidR="001E6D36" w:rsidRPr="00C978B9" w:rsidRDefault="001E6D36" w:rsidP="0065584C">
            <w:pPr>
              <w:pStyle w:val="TableBullet"/>
            </w:pPr>
            <w:r w:rsidRPr="00C978B9">
              <w:t>Understand and promote the role of sound financial management and its impact on organisational effectiveness</w:t>
            </w:r>
          </w:p>
          <w:p w:rsidR="001E6D36" w:rsidRPr="00C978B9" w:rsidRDefault="001E6D36" w:rsidP="0065584C">
            <w:pPr>
              <w:pStyle w:val="TableBullet"/>
            </w:pPr>
            <w:r w:rsidRPr="00C978B9">
              <w:t>Involve specialist financial advice in review and evaluation of systems and processes used to identify opportunities for improvement</w:t>
            </w:r>
          </w:p>
          <w:p w:rsidR="001E6D36" w:rsidRPr="00C978B9" w:rsidRDefault="001E6D36" w:rsidP="0065584C">
            <w:pPr>
              <w:pStyle w:val="TableBullet"/>
            </w:pPr>
            <w:r w:rsidRPr="00C978B9">
              <w:t>Respond to financial and risk management audit outcomes, addressing areas of non-compliance</w:t>
            </w:r>
          </w:p>
        </w:tc>
      </w:tr>
      <w:tr w:rsidR="001E6D36" w:rsidRPr="00C978B9" w:rsidTr="0065584C">
        <w:tc>
          <w:tcPr>
            <w:tcW w:w="2324" w:type="dxa"/>
          </w:tcPr>
          <w:p w:rsidR="001E6D36" w:rsidRPr="00C978B9" w:rsidRDefault="001E6D36" w:rsidP="0065584C">
            <w:pPr>
              <w:pStyle w:val="TableText"/>
              <w:rPr>
                <w:b/>
              </w:rPr>
            </w:pPr>
            <w:bookmarkStart w:id="25" w:name="BusEnablers_Project_Adv"/>
            <w:bookmarkEnd w:id="24"/>
            <w:r w:rsidRPr="00C978B9">
              <w:rPr>
                <w:b/>
              </w:rPr>
              <w:t>Business Enablers</w:t>
            </w:r>
          </w:p>
          <w:p w:rsidR="001E6D36" w:rsidRPr="00C978B9" w:rsidRDefault="001E6D36" w:rsidP="0065584C">
            <w:pPr>
              <w:pStyle w:val="TableText"/>
            </w:pPr>
            <w:r w:rsidRPr="00C978B9">
              <w:t>Project Management</w:t>
            </w:r>
          </w:p>
        </w:tc>
        <w:tc>
          <w:tcPr>
            <w:tcW w:w="1843" w:type="dxa"/>
          </w:tcPr>
          <w:p w:rsidR="001E6D36" w:rsidRPr="00C978B9" w:rsidRDefault="001E6D36" w:rsidP="0065584C">
            <w:pPr>
              <w:pStyle w:val="TableText"/>
              <w:rPr>
                <w:rFonts w:cs="Arial"/>
                <w:color w:val="000000"/>
              </w:rPr>
            </w:pPr>
            <w:r w:rsidRPr="00C978B9">
              <w:rPr>
                <w:rFonts w:cs="Arial"/>
                <w:color w:val="000000"/>
              </w:rPr>
              <w:t>Ad</w:t>
            </w:r>
            <w:r>
              <w:rPr>
                <w:rFonts w:cs="Arial"/>
                <w:color w:val="000000"/>
              </w:rPr>
              <w:t>ept</w:t>
            </w:r>
          </w:p>
        </w:tc>
        <w:tc>
          <w:tcPr>
            <w:tcW w:w="6378" w:type="dxa"/>
          </w:tcPr>
          <w:p w:rsidR="001E6D36" w:rsidRPr="00C978B9" w:rsidRDefault="001E6D36" w:rsidP="0065584C">
            <w:pPr>
              <w:pStyle w:val="TableBullet"/>
            </w:pPr>
            <w:r w:rsidRPr="00C978B9">
              <w:t>Prepare scope and business cases for more ambiguous or complex projects including cost and resource impacts</w:t>
            </w:r>
          </w:p>
          <w:p w:rsidR="001E6D36" w:rsidRPr="00C978B9" w:rsidRDefault="001E6D36" w:rsidP="0065584C">
            <w:pPr>
              <w:pStyle w:val="TableBullet"/>
            </w:pPr>
            <w:r w:rsidRPr="00C978B9">
              <w:t>Access key subject-matter experts' knowledge to inform project plans and directions</w:t>
            </w:r>
          </w:p>
          <w:p w:rsidR="001E6D36" w:rsidRPr="00C978B9" w:rsidRDefault="001E6D36" w:rsidP="0065584C">
            <w:pPr>
              <w:pStyle w:val="TableBullet"/>
            </w:pPr>
            <w:r w:rsidRPr="00C978B9">
              <w:t>Implement effective stakeholder engagement and communications strategy for all stages of projects</w:t>
            </w:r>
          </w:p>
          <w:p w:rsidR="001E6D36" w:rsidRPr="00C978B9" w:rsidRDefault="001E6D36" w:rsidP="0065584C">
            <w:pPr>
              <w:pStyle w:val="TableBullet"/>
            </w:pPr>
            <w:r w:rsidRPr="00C978B9">
              <w:t>Monitor the completion of projects and implement effective and rigorous project evaluation methodologies to inform future planning</w:t>
            </w:r>
          </w:p>
          <w:p w:rsidR="001E6D36" w:rsidRPr="00C978B9" w:rsidRDefault="001E6D36" w:rsidP="0065584C">
            <w:pPr>
              <w:pStyle w:val="TableBullet"/>
            </w:pPr>
            <w:r w:rsidRPr="00C978B9">
              <w:t>Develop effective strategies to remedy variances from project plans, and minimise impacts</w:t>
            </w:r>
          </w:p>
          <w:p w:rsidR="001E6D36" w:rsidRPr="00C978B9" w:rsidRDefault="001E6D36" w:rsidP="0065584C">
            <w:pPr>
              <w:pStyle w:val="TableBullet"/>
            </w:pPr>
            <w:r w:rsidRPr="00C978B9">
              <w:t>Manage transitions between project stages and ensure that changes are consistent with organisational goals</w:t>
            </w:r>
          </w:p>
        </w:tc>
      </w:tr>
      <w:tr w:rsidR="001E6D36" w:rsidRPr="00C978B9" w:rsidTr="0065584C">
        <w:tc>
          <w:tcPr>
            <w:tcW w:w="2324" w:type="dxa"/>
          </w:tcPr>
          <w:p w:rsidR="001E6D36" w:rsidRPr="00C978B9" w:rsidRDefault="001E6D36" w:rsidP="0065584C">
            <w:pPr>
              <w:pStyle w:val="TableText"/>
              <w:rPr>
                <w:b/>
              </w:rPr>
            </w:pPr>
            <w:bookmarkStart w:id="26" w:name="PeopleMan_Develop_Adv"/>
            <w:bookmarkEnd w:id="25"/>
            <w:r w:rsidRPr="00C978B9">
              <w:rPr>
                <w:b/>
              </w:rPr>
              <w:t>People Management</w:t>
            </w:r>
          </w:p>
          <w:p w:rsidR="001E6D36" w:rsidRPr="00C978B9" w:rsidRDefault="001E6D36" w:rsidP="0065584C">
            <w:pPr>
              <w:pStyle w:val="TableText"/>
            </w:pPr>
            <w:r w:rsidRPr="00C978B9">
              <w:t>Manage and Develop People</w:t>
            </w:r>
          </w:p>
        </w:tc>
        <w:tc>
          <w:tcPr>
            <w:tcW w:w="1843" w:type="dxa"/>
          </w:tcPr>
          <w:p w:rsidR="001E6D36" w:rsidRPr="00C978B9" w:rsidRDefault="001E6D36" w:rsidP="0065584C">
            <w:pPr>
              <w:pStyle w:val="TableText"/>
              <w:rPr>
                <w:rFonts w:cs="Arial"/>
                <w:color w:val="000000"/>
              </w:rPr>
            </w:pPr>
            <w:r w:rsidRPr="00C978B9">
              <w:rPr>
                <w:rFonts w:cs="Arial"/>
                <w:color w:val="000000"/>
              </w:rPr>
              <w:t>Advanced</w:t>
            </w:r>
          </w:p>
        </w:tc>
        <w:tc>
          <w:tcPr>
            <w:tcW w:w="6378" w:type="dxa"/>
          </w:tcPr>
          <w:p w:rsidR="001E6D36" w:rsidRPr="00C978B9" w:rsidRDefault="001E6D36" w:rsidP="0065584C">
            <w:pPr>
              <w:pStyle w:val="TableBullet"/>
            </w:pPr>
            <w:r w:rsidRPr="00C978B9">
              <w:t>Refine roles and responsibilities over time to achieve better business outcomes</w:t>
            </w:r>
          </w:p>
          <w:p w:rsidR="001E6D36" w:rsidRPr="00C978B9" w:rsidRDefault="001E6D36" w:rsidP="0065584C">
            <w:pPr>
              <w:pStyle w:val="TableBullet"/>
            </w:pPr>
            <w:r w:rsidRPr="00C978B9">
              <w:t xml:space="preserve">Recognise talent, develop team capability and undertake succession planning </w:t>
            </w:r>
          </w:p>
          <w:p w:rsidR="001E6D36" w:rsidRPr="00C978B9" w:rsidRDefault="001E6D36" w:rsidP="0065584C">
            <w:pPr>
              <w:pStyle w:val="TableBullet"/>
            </w:pPr>
            <w:r w:rsidRPr="00C978B9">
              <w:t>Coach and mentor staff and encourage professional development and continuous learning</w:t>
            </w:r>
          </w:p>
          <w:p w:rsidR="001E6D36" w:rsidRPr="00C978B9" w:rsidRDefault="001E6D36" w:rsidP="0065584C">
            <w:pPr>
              <w:pStyle w:val="TableBullet"/>
            </w:pPr>
            <w:r w:rsidRPr="00C978B9">
              <w:t>Provide timely, constructive and objective feedback to staff</w:t>
            </w:r>
          </w:p>
          <w:p w:rsidR="001E6D36" w:rsidRPr="00C978B9" w:rsidRDefault="001E6D36" w:rsidP="0065584C">
            <w:pPr>
              <w:pStyle w:val="TableBullet"/>
            </w:pPr>
            <w:r w:rsidRPr="00C978B9">
              <w:t>Address and resolve team and individual performance issues, including serious unsatisfactory performance, in a timely and effective way</w:t>
            </w:r>
          </w:p>
          <w:p w:rsidR="001E6D36" w:rsidRPr="00C978B9" w:rsidRDefault="001E6D36" w:rsidP="0065584C">
            <w:pPr>
              <w:pStyle w:val="TableBullet"/>
            </w:pPr>
            <w:r w:rsidRPr="00C978B9">
              <w:lastRenderedPageBreak/>
              <w:t>Implement performance development frameworks to align workforce capability with the organisation's current and future priorities and objectives</w:t>
            </w:r>
          </w:p>
        </w:tc>
      </w:tr>
      <w:bookmarkEnd w:id="26"/>
    </w:tbl>
    <w:p w:rsidR="001E6D36" w:rsidRDefault="001E6D36" w:rsidP="00355D04">
      <w:pPr>
        <w:spacing w:line="276" w:lineRule="auto"/>
      </w:pPr>
    </w:p>
    <w:p w:rsidR="001E6D36" w:rsidRDefault="001E6D36" w:rsidP="00355D04">
      <w:pPr>
        <w:spacing w:line="276" w:lineRule="auto"/>
      </w:pPr>
    </w:p>
    <w:p w:rsidR="001E6D36" w:rsidRDefault="001E6D36" w:rsidP="00355D04">
      <w:pPr>
        <w:spacing w:line="276" w:lineRule="auto"/>
      </w:pPr>
    </w:p>
    <w:tbl>
      <w:tblPr>
        <w:tblStyle w:val="PSCPurple"/>
        <w:tblW w:w="0" w:type="auto"/>
        <w:tblLook w:val="04A0" w:firstRow="1" w:lastRow="0" w:firstColumn="1" w:lastColumn="0" w:noHBand="0" w:noVBand="1"/>
      </w:tblPr>
      <w:tblGrid>
        <w:gridCol w:w="2324"/>
        <w:gridCol w:w="1843"/>
        <w:gridCol w:w="6378"/>
      </w:tblGrid>
      <w:tr w:rsidR="001E6D36" w:rsidRPr="00803E47" w:rsidTr="001E6D36">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Pr>
          <w:p w:rsidR="001E6D36" w:rsidRPr="00803E47" w:rsidRDefault="001E6D36" w:rsidP="0065584C">
            <w:pPr>
              <w:pStyle w:val="TableTextWhite0"/>
              <w:keepNext/>
            </w:pPr>
            <w:bookmarkStart w:id="27" w:name="SFIA_OccupTable2"/>
            <w:r w:rsidRPr="00803E47">
              <w:t xml:space="preserve">Occupation </w:t>
            </w:r>
            <w:r>
              <w:t xml:space="preserve">/ profession </w:t>
            </w:r>
            <w:r w:rsidRPr="00803E47">
              <w:t>specific capabilit</w:t>
            </w:r>
            <w:r>
              <w:t>ies (Finance Professionals)</w:t>
            </w:r>
          </w:p>
        </w:tc>
      </w:tr>
      <w:tr w:rsidR="001E6D36" w:rsidRPr="0003077E" w:rsidTr="001E6D36">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1E6D36" w:rsidRPr="00021C23" w:rsidRDefault="001E6D36" w:rsidP="0065584C">
            <w:pPr>
              <w:pStyle w:val="TableText"/>
              <w:rPr>
                <w:rFonts w:ascii="Arial Bold" w:hAnsi="Arial Bold"/>
                <w:b/>
              </w:rPr>
            </w:pPr>
            <w:r w:rsidRPr="001875E2">
              <w:rPr>
                <w:rFonts w:ascii="Arial Bold" w:hAnsi="Arial Bold"/>
                <w:b/>
              </w:rPr>
              <w:t xml:space="preserve">Category, </w:t>
            </w:r>
            <w:r>
              <w:rPr>
                <w:rFonts w:ascii="Arial Bold" w:hAnsi="Arial Bold"/>
                <w:b/>
              </w:rPr>
              <w:br/>
            </w:r>
            <w:r w:rsidRPr="001875E2">
              <w:rPr>
                <w:rFonts w:ascii="Arial Bold" w:hAnsi="Arial Bold"/>
                <w:b/>
              </w:rPr>
              <w:t>Sub-category</w:t>
            </w:r>
          </w:p>
        </w:tc>
        <w:tc>
          <w:tcPr>
            <w:tcW w:w="1843" w:type="dxa"/>
            <w:tcBorders>
              <w:top w:val="single" w:sz="8" w:space="0" w:color="BCBEC0"/>
              <w:bottom w:val="single" w:sz="8" w:space="0" w:color="BCBEC0"/>
            </w:tcBorders>
            <w:shd w:val="clear" w:color="auto" w:fill="BCBEC0"/>
          </w:tcPr>
          <w:p w:rsidR="001E6D36" w:rsidRPr="0003077E" w:rsidRDefault="001E6D36" w:rsidP="0065584C">
            <w:pPr>
              <w:pStyle w:val="TableText"/>
              <w:rPr>
                <w:b/>
              </w:rPr>
            </w:pPr>
            <w:r w:rsidRPr="0003077E">
              <w:rPr>
                <w:b/>
              </w:rPr>
              <w:t>Level and Code</w:t>
            </w:r>
          </w:p>
        </w:tc>
        <w:tc>
          <w:tcPr>
            <w:tcW w:w="6378" w:type="dxa"/>
            <w:tcBorders>
              <w:top w:val="single" w:sz="8" w:space="0" w:color="BCBEC0"/>
              <w:bottom w:val="single" w:sz="8" w:space="0" w:color="BCBEC0"/>
            </w:tcBorders>
            <w:shd w:val="clear" w:color="auto" w:fill="BCBEC0"/>
          </w:tcPr>
          <w:p w:rsidR="001E6D36" w:rsidRPr="0003077E" w:rsidRDefault="001E6D36" w:rsidP="0065584C">
            <w:pPr>
              <w:pStyle w:val="TableText"/>
              <w:rPr>
                <w:b/>
              </w:rPr>
            </w:pPr>
            <w:r>
              <w:rPr>
                <w:b/>
              </w:rPr>
              <w:t>Skill and Level Description</w:t>
            </w:r>
          </w:p>
        </w:tc>
      </w:tr>
      <w:tr w:rsidR="001E6D36" w:rsidRPr="00673E9B" w:rsidTr="001E6D36">
        <w:trPr>
          <w:cantSplit/>
        </w:trPr>
        <w:tc>
          <w:tcPr>
            <w:tcW w:w="2324" w:type="dxa"/>
          </w:tcPr>
          <w:p w:rsidR="001E6D36" w:rsidRPr="00C978B9" w:rsidRDefault="001E6D36" w:rsidP="0065584C">
            <w:pPr>
              <w:pStyle w:val="TableText"/>
            </w:pPr>
            <w:r>
              <w:t>Financial Accounting &amp; Statutory Reporting</w:t>
            </w:r>
          </w:p>
        </w:tc>
        <w:tc>
          <w:tcPr>
            <w:tcW w:w="1843" w:type="dxa"/>
          </w:tcPr>
          <w:p w:rsidR="001E6D36" w:rsidRPr="00C978B9" w:rsidRDefault="001E6D36" w:rsidP="0065584C">
            <w:pPr>
              <w:pStyle w:val="TableText"/>
              <w:rPr>
                <w:rFonts w:cs="Arial"/>
                <w:color w:val="000000"/>
              </w:rPr>
            </w:pPr>
            <w:r>
              <w:rPr>
                <w:rFonts w:cs="Arial"/>
                <w:color w:val="000000"/>
              </w:rPr>
              <w:t>Level 4</w:t>
            </w:r>
          </w:p>
        </w:tc>
        <w:tc>
          <w:tcPr>
            <w:tcW w:w="6378" w:type="dxa"/>
          </w:tcPr>
          <w:p w:rsidR="001E6D36" w:rsidRDefault="001E6D36" w:rsidP="001E6D36">
            <w:pPr>
              <w:pStyle w:val="TableText"/>
              <w:numPr>
                <w:ilvl w:val="0"/>
                <w:numId w:val="46"/>
              </w:numPr>
            </w:pPr>
            <w:r w:rsidRPr="001E6D36">
              <w:t xml:space="preserve">Provide expert technical interpretation of legislation, accounting policies and standards and develop organisation specific policies </w:t>
            </w:r>
          </w:p>
          <w:p w:rsidR="001E6D36" w:rsidRDefault="001E6D36" w:rsidP="001E6D36">
            <w:pPr>
              <w:pStyle w:val="TableText"/>
              <w:numPr>
                <w:ilvl w:val="0"/>
                <w:numId w:val="46"/>
              </w:numPr>
            </w:pPr>
            <w:r w:rsidRPr="001E6D36">
              <w:t xml:space="preserve">Monitor and anticipate the impact of NSW Treasury Policy, Audit Office guidelines and AASB standards and guidance on the organisation and direct appropriate action </w:t>
            </w:r>
          </w:p>
          <w:p w:rsidR="001E6D36" w:rsidRDefault="001E6D36" w:rsidP="001E6D36">
            <w:pPr>
              <w:pStyle w:val="TableText"/>
              <w:numPr>
                <w:ilvl w:val="0"/>
                <w:numId w:val="46"/>
              </w:numPr>
            </w:pPr>
            <w:r w:rsidRPr="001E6D36">
              <w:t xml:space="preserve">Approve financial (including cash management and forecasting) reports, briefs and proposals relating to the organisation’s financial position </w:t>
            </w:r>
          </w:p>
          <w:p w:rsidR="001E6D36" w:rsidRDefault="001E6D36" w:rsidP="001E6D36">
            <w:pPr>
              <w:pStyle w:val="TableText"/>
              <w:numPr>
                <w:ilvl w:val="0"/>
                <w:numId w:val="46"/>
              </w:numPr>
            </w:pPr>
            <w:r w:rsidRPr="001E6D36">
              <w:t xml:space="preserve">Communicate financial results that are compliant with NSW Treasury policies and external regulatory requirements and which are easily interpreted by stakeholders </w:t>
            </w:r>
          </w:p>
          <w:p w:rsidR="001E6D36" w:rsidRPr="00673E9B" w:rsidRDefault="001E6D36" w:rsidP="001E6D36">
            <w:pPr>
              <w:pStyle w:val="TableText"/>
              <w:numPr>
                <w:ilvl w:val="0"/>
                <w:numId w:val="46"/>
              </w:numPr>
            </w:pPr>
            <w:r w:rsidRPr="001E6D36">
              <w:t>Provide strategic financial accounting advice and commentary to business leadership so that strategic business planning processes and the consideration of new business initiatives are fully informed on financial/accounting implications</w:t>
            </w:r>
          </w:p>
        </w:tc>
      </w:tr>
      <w:bookmarkEnd w:id="27"/>
    </w:tbl>
    <w:p w:rsidR="001E6D36" w:rsidRDefault="001E6D36" w:rsidP="00355D04">
      <w:pPr>
        <w:spacing w:line="276" w:lineRule="auto"/>
      </w:pPr>
    </w:p>
    <w:p w:rsidR="001E6D36" w:rsidRDefault="001E6D36" w:rsidP="00355D04">
      <w:pPr>
        <w:spacing w:line="276" w:lineRule="auto"/>
      </w:pPr>
    </w:p>
    <w:p w:rsidR="00B37EC4" w:rsidRPr="00C978B9" w:rsidRDefault="00B37EC4" w:rsidP="00355D04">
      <w:pPr>
        <w:spacing w:line="276" w:lineRule="auto"/>
        <w:rPr>
          <w:noProof/>
          <w:lang w:eastAsia="en-AU"/>
        </w:rPr>
      </w:pPr>
    </w:p>
    <w:sectPr w:rsidR="00B37EC4" w:rsidRPr="00C978B9" w:rsidSect="009A1B9B">
      <w:footerReference w:type="default" r:id="rId17"/>
      <w:headerReference w:type="first" r:id="rId18"/>
      <w:footerReference w:type="first" r:id="rId19"/>
      <w:pgSz w:w="11906" w:h="16838"/>
      <w:pgMar w:top="1134" w:right="709" w:bottom="1418" w:left="709" w:header="99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1F" w:rsidRDefault="002D341F" w:rsidP="00AC273D">
      <w:pPr>
        <w:spacing w:after="0" w:line="240" w:lineRule="auto"/>
      </w:pPr>
      <w:r>
        <w:separator/>
      </w:r>
    </w:p>
  </w:endnote>
  <w:endnote w:type="continuationSeparator" w:id="0">
    <w:p w:rsidR="002D341F" w:rsidRDefault="002D341F"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113B2" w:rsidTr="00CD6BA6">
      <w:tc>
        <w:tcPr>
          <w:tcW w:w="9709" w:type="dxa"/>
          <w:vAlign w:val="bottom"/>
        </w:tcPr>
        <w:p w:rsidR="003113B2" w:rsidRPr="00051237" w:rsidRDefault="003113B2" w:rsidP="00051237">
          <w:pPr>
            <w:pStyle w:val="Footer"/>
            <w:rPr>
              <w:noProof/>
              <w:vanish/>
              <w:lang w:eastAsia="en-AU"/>
              <w:specVanish/>
            </w:rPr>
          </w:pPr>
          <w:r>
            <w:t xml:space="preserve">Role Description </w:t>
          </w:r>
        </w:p>
        <w:p w:rsidR="003113B2" w:rsidRPr="00051237" w:rsidRDefault="003113B2" w:rsidP="00F555F6">
          <w:pPr>
            <w:pStyle w:val="Footer"/>
            <w:tabs>
              <w:tab w:val="clear" w:pos="4513"/>
              <w:tab w:val="center" w:pos="5315"/>
            </w:tabs>
          </w:pPr>
          <w:r w:rsidRPr="00051237">
            <w:rPr>
              <w:color w:val="000000" w:themeColor="text1"/>
            </w:rPr>
            <w:t xml:space="preserve"> </w:t>
          </w:r>
          <w:bookmarkStart w:id="28" w:name="Footer_Title"/>
          <w:bookmarkEnd w:id="28"/>
          <w:r w:rsidR="00F555F6">
            <w:rPr>
              <w:color w:val="000000" w:themeColor="text1"/>
            </w:rPr>
            <w:t>Manager Financial</w:t>
          </w:r>
          <w:r w:rsidR="008F24BC">
            <w:rPr>
              <w:color w:val="000000" w:themeColor="text1"/>
            </w:rPr>
            <w:t xml:space="preserve"> Administration</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6668F">
            <w:rPr>
              <w:noProof/>
              <w:lang w:eastAsia="en-AU"/>
            </w:rPr>
            <w:t>2</w:t>
          </w:r>
          <w:r>
            <w:rPr>
              <w:noProof/>
              <w:lang w:eastAsia="en-AU"/>
            </w:rPr>
            <w:fldChar w:fldCharType="end"/>
          </w:r>
        </w:p>
      </w:tc>
      <w:tc>
        <w:tcPr>
          <w:tcW w:w="851" w:type="dxa"/>
        </w:tcPr>
        <w:p w:rsidR="003113B2" w:rsidRDefault="003113B2" w:rsidP="00CD6BA6">
          <w:pPr>
            <w:pStyle w:val="Footer"/>
            <w:jc w:val="right"/>
          </w:pPr>
          <w:r>
            <w:rPr>
              <w:noProof/>
              <w:lang w:eastAsia="en-AU"/>
            </w:rPr>
            <w:drawing>
              <wp:inline distT="0" distB="0" distL="0" distR="0" wp14:anchorId="0F460687" wp14:editId="0C751F85">
                <wp:extent cx="432000" cy="479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3113B2" w:rsidRPr="001E2B26" w:rsidRDefault="003113B2"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3113B2" w:rsidTr="00732229">
      <w:tc>
        <w:tcPr>
          <w:tcW w:w="9709" w:type="dxa"/>
          <w:vAlign w:val="bottom"/>
        </w:tcPr>
        <w:p w:rsidR="003113B2" w:rsidRPr="00051237" w:rsidRDefault="00F360CB" w:rsidP="00732229">
          <w:pPr>
            <w:pStyle w:val="Footer"/>
            <w:tabs>
              <w:tab w:val="clear" w:pos="4513"/>
              <w:tab w:val="center" w:pos="5315"/>
            </w:tabs>
          </w:pPr>
          <w:r w:rsidRPr="00F360CB">
            <w:rPr>
              <w:color w:val="000000" w:themeColor="text1"/>
            </w:rPr>
            <w:t>INT16/29106</w:t>
          </w:r>
          <w:r w:rsidR="003113B2">
            <w:rPr>
              <w:color w:val="000000" w:themeColor="text1"/>
            </w:rPr>
            <w:tab/>
          </w:r>
          <w:r w:rsidR="003113B2">
            <w:rPr>
              <w:noProof/>
              <w:lang w:eastAsia="en-AU"/>
            </w:rPr>
            <w:fldChar w:fldCharType="begin"/>
          </w:r>
          <w:r w:rsidR="003113B2">
            <w:rPr>
              <w:noProof/>
              <w:lang w:eastAsia="en-AU"/>
            </w:rPr>
            <w:instrText xml:space="preserve"> PAGE  \* Arabic </w:instrText>
          </w:r>
          <w:r w:rsidR="003113B2">
            <w:rPr>
              <w:noProof/>
              <w:lang w:eastAsia="en-AU"/>
            </w:rPr>
            <w:fldChar w:fldCharType="separate"/>
          </w:r>
          <w:r w:rsidR="0016668F">
            <w:rPr>
              <w:noProof/>
              <w:lang w:eastAsia="en-AU"/>
            </w:rPr>
            <w:t>1</w:t>
          </w:r>
          <w:r w:rsidR="003113B2">
            <w:rPr>
              <w:noProof/>
              <w:lang w:eastAsia="en-AU"/>
            </w:rPr>
            <w:fldChar w:fldCharType="end"/>
          </w:r>
        </w:p>
      </w:tc>
      <w:tc>
        <w:tcPr>
          <w:tcW w:w="851" w:type="dxa"/>
        </w:tcPr>
        <w:p w:rsidR="003113B2" w:rsidRDefault="003113B2" w:rsidP="00732229">
          <w:pPr>
            <w:pStyle w:val="Footer"/>
            <w:jc w:val="right"/>
          </w:pPr>
          <w:r>
            <w:rPr>
              <w:noProof/>
              <w:lang w:eastAsia="en-AU"/>
            </w:rPr>
            <w:drawing>
              <wp:inline distT="0" distB="0" distL="0" distR="0" wp14:anchorId="4DC05CFA" wp14:editId="67BBB850">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3113B2" w:rsidRDefault="0031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1F" w:rsidRDefault="002D341F" w:rsidP="00AC273D">
      <w:pPr>
        <w:spacing w:after="0" w:line="240" w:lineRule="auto"/>
      </w:pPr>
      <w:r>
        <w:separator/>
      </w:r>
    </w:p>
  </w:footnote>
  <w:footnote w:type="continuationSeparator" w:id="0">
    <w:p w:rsidR="002D341F" w:rsidRDefault="002D341F"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3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5"/>
      <w:gridCol w:w="5103"/>
      <w:gridCol w:w="2889"/>
    </w:tblGrid>
    <w:tr w:rsidR="00FF277E" w:rsidTr="00FF277E">
      <w:trPr>
        <w:cnfStyle w:val="100000000000" w:firstRow="1" w:lastRow="0" w:firstColumn="0" w:lastColumn="0" w:oddVBand="0" w:evenVBand="0" w:oddHBand="0" w:evenHBand="0" w:firstRowFirstColumn="0" w:firstRowLastColumn="0" w:lastRowFirstColumn="0" w:lastRowLastColumn="0"/>
        <w:trHeight w:val="1134"/>
      </w:trPr>
      <w:tc>
        <w:tcPr>
          <w:tcW w:w="2026" w:type="pct"/>
        </w:tcPr>
        <w:p w:rsidR="00FF277E" w:rsidRPr="001E49B2" w:rsidRDefault="00FF277E" w:rsidP="0065584C">
          <w:pPr>
            <w:pStyle w:val="TitleSub"/>
            <w:spacing w:after="0"/>
            <w:rPr>
              <w:rFonts w:cs="Arial"/>
            </w:rPr>
          </w:pPr>
          <w:r w:rsidRPr="001E49B2">
            <w:rPr>
              <w:rFonts w:cs="Arial"/>
            </w:rPr>
            <w:t xml:space="preserve">Role Description </w:t>
          </w:r>
        </w:p>
        <w:p w:rsidR="00FF277E" w:rsidRPr="001E49B2" w:rsidRDefault="00292EA3" w:rsidP="00F555F6">
          <w:pPr>
            <w:pStyle w:val="TitleSub"/>
            <w:spacing w:after="0"/>
            <w:rPr>
              <w:rFonts w:cs="Arial"/>
              <w:b/>
            </w:rPr>
          </w:pPr>
          <w:r>
            <w:rPr>
              <w:rFonts w:cs="Arial"/>
              <w:b/>
            </w:rPr>
            <w:t>Manager Financ</w:t>
          </w:r>
          <w:r w:rsidR="00F555F6">
            <w:rPr>
              <w:rFonts w:cs="Arial"/>
              <w:b/>
            </w:rPr>
            <w:t xml:space="preserve">ial </w:t>
          </w:r>
          <w:r>
            <w:rPr>
              <w:rFonts w:cs="Arial"/>
              <w:b/>
            </w:rPr>
            <w:t>Administration</w:t>
          </w:r>
        </w:p>
      </w:tc>
      <w:tc>
        <w:tcPr>
          <w:tcW w:w="1899" w:type="pct"/>
          <w:noWrap/>
        </w:tcPr>
        <w:p w:rsidR="00FF277E" w:rsidRDefault="00FF277E" w:rsidP="000B23B1">
          <w:pPr>
            <w:pStyle w:val="Title"/>
          </w:pPr>
          <w:r>
            <w:rPr>
              <w:noProof/>
              <w:lang w:eastAsia="en-AU"/>
            </w:rPr>
            <w:drawing>
              <wp:inline distT="0" distB="0" distL="0" distR="0" wp14:anchorId="178EDAED" wp14:editId="5E717FFA">
                <wp:extent cx="3086100" cy="642322"/>
                <wp:effectExtent l="0" t="0" r="0" b="5715"/>
                <wp:docPr id="5" name="Picture 5" descr="C:\Users\asgillm\AppData\Local\Microsoft\Windows\Temporary Internet Files\Content.Word\DPI RA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gillm\AppData\Local\Microsoft\Windows\Temporary Internet Files\Content.Word\DPI RAA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42322"/>
                        </a:xfrm>
                        <a:prstGeom prst="rect">
                          <a:avLst/>
                        </a:prstGeom>
                        <a:noFill/>
                        <a:ln>
                          <a:noFill/>
                        </a:ln>
                      </pic:spPr>
                    </pic:pic>
                  </a:graphicData>
                </a:graphic>
              </wp:inline>
            </w:drawing>
          </w:r>
        </w:p>
      </w:tc>
      <w:tc>
        <w:tcPr>
          <w:tcW w:w="1075" w:type="pct"/>
        </w:tcPr>
        <w:p w:rsidR="00FF277E" w:rsidRPr="00753C8C" w:rsidRDefault="00FF277E" w:rsidP="0043710E">
          <w:pPr>
            <w:pStyle w:val="HelpText"/>
          </w:pPr>
          <w:r w:rsidRPr="00753C8C">
            <w:fldChar w:fldCharType="begin"/>
          </w:r>
          <w:r w:rsidRPr="00753C8C">
            <w:instrText xml:space="preserve"> MACROBUTTON  InsertPicture</w:instrText>
          </w:r>
          <w:r>
            <w:instrText>3</w:instrText>
          </w:r>
          <w:r w:rsidRPr="00753C8C">
            <w:instrText xml:space="preserve"> Double click here to insert logo.</w:instrText>
          </w:r>
          <w:r w:rsidRPr="00753C8C">
            <w:fldChar w:fldCharType="end"/>
          </w:r>
        </w:p>
      </w:tc>
    </w:tr>
  </w:tbl>
  <w:p w:rsidR="003113B2" w:rsidRPr="00057CB3" w:rsidRDefault="003113B2"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2pt;height:24.6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867DC3"/>
    <w:multiLevelType w:val="hybridMultilevel"/>
    <w:tmpl w:val="DD00E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017665"/>
    <w:multiLevelType w:val="hybridMultilevel"/>
    <w:tmpl w:val="B88A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1E5CEA"/>
    <w:multiLevelType w:val="hybridMultilevel"/>
    <w:tmpl w:val="09BCF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3822FF"/>
    <w:multiLevelType w:val="hybridMultilevel"/>
    <w:tmpl w:val="AE4E6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AD54DFD"/>
    <w:multiLevelType w:val="hybridMultilevel"/>
    <w:tmpl w:val="7132E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3E074542"/>
    <w:multiLevelType w:val="hybridMultilevel"/>
    <w:tmpl w:val="2B221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214C5B"/>
    <w:multiLevelType w:val="hybridMultilevel"/>
    <w:tmpl w:val="F64A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652C47"/>
    <w:multiLevelType w:val="hybridMultilevel"/>
    <w:tmpl w:val="BDC6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B3559C"/>
    <w:multiLevelType w:val="hybridMultilevel"/>
    <w:tmpl w:val="FEDC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7B3F54"/>
    <w:multiLevelType w:val="hybridMultilevel"/>
    <w:tmpl w:val="4FA00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08249D6"/>
    <w:multiLevelType w:val="hybridMultilevel"/>
    <w:tmpl w:val="D5C43D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18E0151"/>
    <w:multiLevelType w:val="hybridMultilevel"/>
    <w:tmpl w:val="844CD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7DE24CA"/>
    <w:multiLevelType w:val="hybridMultilevel"/>
    <w:tmpl w:val="26C6E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C0E5C46"/>
    <w:multiLevelType w:val="hybridMultilevel"/>
    <w:tmpl w:val="2F543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2812A5B"/>
    <w:multiLevelType w:val="hybridMultilevel"/>
    <w:tmpl w:val="5BFE7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3480A46"/>
    <w:multiLevelType w:val="hybridMultilevel"/>
    <w:tmpl w:val="87A8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65182814"/>
    <w:multiLevelType w:val="hybridMultilevel"/>
    <w:tmpl w:val="7F88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2619EA"/>
    <w:multiLevelType w:val="hybridMultilevel"/>
    <w:tmpl w:val="C0726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5"/>
  </w:num>
  <w:num w:numId="13">
    <w:abstractNumId w:val="35"/>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38"/>
  </w:num>
  <w:num w:numId="21">
    <w:abstractNumId w:val="31"/>
  </w:num>
  <w:num w:numId="22">
    <w:abstractNumId w:val="21"/>
  </w:num>
  <w:num w:numId="23">
    <w:abstractNumId w:val="24"/>
  </w:num>
  <w:num w:numId="24">
    <w:abstractNumId w:val="18"/>
  </w:num>
  <w:num w:numId="25">
    <w:abstractNumId w:val="39"/>
  </w:num>
  <w:num w:numId="26">
    <w:abstractNumId w:val="19"/>
  </w:num>
  <w:num w:numId="27">
    <w:abstractNumId w:val="32"/>
  </w:num>
  <w:num w:numId="28">
    <w:abstractNumId w:val="15"/>
  </w:num>
  <w:num w:numId="29">
    <w:abstractNumId w:val="28"/>
  </w:num>
  <w:num w:numId="30">
    <w:abstractNumId w:val="29"/>
  </w:num>
  <w:num w:numId="31">
    <w:abstractNumId w:val="25"/>
  </w:num>
  <w:num w:numId="32">
    <w:abstractNumId w:val="33"/>
  </w:num>
  <w:num w:numId="33">
    <w:abstractNumId w:val="27"/>
  </w:num>
  <w:num w:numId="34">
    <w:abstractNumId w:val="23"/>
  </w:num>
  <w:num w:numId="35">
    <w:abstractNumId w:val="20"/>
  </w:num>
  <w:num w:numId="36">
    <w:abstractNumId w:val="26"/>
  </w:num>
  <w:num w:numId="37">
    <w:abstractNumId w:val="36"/>
  </w:num>
  <w:num w:numId="38">
    <w:abstractNumId w:val="34"/>
  </w:num>
  <w:num w:numId="39">
    <w:abstractNumId w:val="14"/>
  </w:num>
  <w:num w:numId="40">
    <w:abstractNumId w:val="10"/>
  </w:num>
  <w:num w:numId="41">
    <w:abstractNumId w:val="17"/>
  </w:num>
  <w:num w:numId="42">
    <w:abstractNumId w:val="22"/>
  </w:num>
  <w:num w:numId="43">
    <w:abstractNumId w:val="30"/>
  </w:num>
  <w:num w:numId="44">
    <w:abstractNumId w:val="13"/>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zNjI1MjOxsDQ2NTZW0lEKTi0uzszPAykwrAUABZKZzywAAAA="/>
  </w:docVars>
  <w:rsids>
    <w:rsidRoot w:val="005D5207"/>
    <w:rsid w:val="000004A7"/>
    <w:rsid w:val="0000267F"/>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2681"/>
    <w:rsid w:val="00042AAA"/>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23B1"/>
    <w:rsid w:val="000B370C"/>
    <w:rsid w:val="000B6008"/>
    <w:rsid w:val="000C1464"/>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5277"/>
    <w:rsid w:val="0014725A"/>
    <w:rsid w:val="001612BF"/>
    <w:rsid w:val="00162154"/>
    <w:rsid w:val="00162275"/>
    <w:rsid w:val="0016668F"/>
    <w:rsid w:val="001677CE"/>
    <w:rsid w:val="001708F4"/>
    <w:rsid w:val="0017252E"/>
    <w:rsid w:val="00172A22"/>
    <w:rsid w:val="00173FD1"/>
    <w:rsid w:val="00174755"/>
    <w:rsid w:val="0017588F"/>
    <w:rsid w:val="00176E9A"/>
    <w:rsid w:val="001772A3"/>
    <w:rsid w:val="00186C79"/>
    <w:rsid w:val="00186F6C"/>
    <w:rsid w:val="001875E2"/>
    <w:rsid w:val="00187715"/>
    <w:rsid w:val="00190510"/>
    <w:rsid w:val="00191ACA"/>
    <w:rsid w:val="00191F05"/>
    <w:rsid w:val="001945A8"/>
    <w:rsid w:val="00194E0A"/>
    <w:rsid w:val="00197236"/>
    <w:rsid w:val="001A1637"/>
    <w:rsid w:val="001A3DF5"/>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6D36"/>
    <w:rsid w:val="001E7CA4"/>
    <w:rsid w:val="001F0E79"/>
    <w:rsid w:val="001F3B8E"/>
    <w:rsid w:val="001F57B6"/>
    <w:rsid w:val="001F5938"/>
    <w:rsid w:val="001F618B"/>
    <w:rsid w:val="00202CD4"/>
    <w:rsid w:val="00203E4E"/>
    <w:rsid w:val="0020728D"/>
    <w:rsid w:val="00213ED7"/>
    <w:rsid w:val="00222CC4"/>
    <w:rsid w:val="002256A0"/>
    <w:rsid w:val="002347AA"/>
    <w:rsid w:val="00237136"/>
    <w:rsid w:val="00237CFF"/>
    <w:rsid w:val="002423D1"/>
    <w:rsid w:val="00252BF9"/>
    <w:rsid w:val="00271FAE"/>
    <w:rsid w:val="002735A9"/>
    <w:rsid w:val="0028049D"/>
    <w:rsid w:val="00280676"/>
    <w:rsid w:val="00284FE6"/>
    <w:rsid w:val="00285EA6"/>
    <w:rsid w:val="00285EF8"/>
    <w:rsid w:val="002863B5"/>
    <w:rsid w:val="00286B47"/>
    <w:rsid w:val="002872F7"/>
    <w:rsid w:val="002901B8"/>
    <w:rsid w:val="00291612"/>
    <w:rsid w:val="00292EA3"/>
    <w:rsid w:val="00294E56"/>
    <w:rsid w:val="00297CDF"/>
    <w:rsid w:val="002A18A8"/>
    <w:rsid w:val="002A41AA"/>
    <w:rsid w:val="002A60C2"/>
    <w:rsid w:val="002B1773"/>
    <w:rsid w:val="002B27D4"/>
    <w:rsid w:val="002B4E95"/>
    <w:rsid w:val="002C458A"/>
    <w:rsid w:val="002C4F5B"/>
    <w:rsid w:val="002D0251"/>
    <w:rsid w:val="002D341F"/>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13B2"/>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5D04"/>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68E9"/>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17179"/>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4114"/>
    <w:rsid w:val="00454B08"/>
    <w:rsid w:val="004562EC"/>
    <w:rsid w:val="0045640E"/>
    <w:rsid w:val="00456590"/>
    <w:rsid w:val="00456937"/>
    <w:rsid w:val="00460C8B"/>
    <w:rsid w:val="004629AB"/>
    <w:rsid w:val="004652B0"/>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5C5A"/>
    <w:rsid w:val="005360FF"/>
    <w:rsid w:val="00536F6F"/>
    <w:rsid w:val="00540C8A"/>
    <w:rsid w:val="00546A7D"/>
    <w:rsid w:val="005472AC"/>
    <w:rsid w:val="00550F81"/>
    <w:rsid w:val="0055213E"/>
    <w:rsid w:val="00552A7A"/>
    <w:rsid w:val="00553980"/>
    <w:rsid w:val="00554A2C"/>
    <w:rsid w:val="00556960"/>
    <w:rsid w:val="0056018B"/>
    <w:rsid w:val="005612AD"/>
    <w:rsid w:val="00566E7B"/>
    <w:rsid w:val="0056725F"/>
    <w:rsid w:val="00567F5B"/>
    <w:rsid w:val="00570E7B"/>
    <w:rsid w:val="005713D4"/>
    <w:rsid w:val="005741B0"/>
    <w:rsid w:val="00575E21"/>
    <w:rsid w:val="00576997"/>
    <w:rsid w:val="005829CE"/>
    <w:rsid w:val="00582E73"/>
    <w:rsid w:val="005830BB"/>
    <w:rsid w:val="005840AF"/>
    <w:rsid w:val="0058762A"/>
    <w:rsid w:val="00591804"/>
    <w:rsid w:val="00592AD0"/>
    <w:rsid w:val="00594A6C"/>
    <w:rsid w:val="0059575F"/>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207"/>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86C02"/>
    <w:rsid w:val="0069026D"/>
    <w:rsid w:val="00694BF2"/>
    <w:rsid w:val="00694F98"/>
    <w:rsid w:val="00695C95"/>
    <w:rsid w:val="00696D00"/>
    <w:rsid w:val="00697DF2"/>
    <w:rsid w:val="006A3245"/>
    <w:rsid w:val="006A38B2"/>
    <w:rsid w:val="006A6D25"/>
    <w:rsid w:val="006B2B4F"/>
    <w:rsid w:val="006B4035"/>
    <w:rsid w:val="006B673E"/>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1A70"/>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1AFF"/>
    <w:rsid w:val="008151FF"/>
    <w:rsid w:val="0081582E"/>
    <w:rsid w:val="00821C4C"/>
    <w:rsid w:val="00822DC8"/>
    <w:rsid w:val="008245C3"/>
    <w:rsid w:val="00824DB4"/>
    <w:rsid w:val="00825325"/>
    <w:rsid w:val="0082615A"/>
    <w:rsid w:val="008325D5"/>
    <w:rsid w:val="00835D24"/>
    <w:rsid w:val="008365F5"/>
    <w:rsid w:val="00840347"/>
    <w:rsid w:val="00842FBF"/>
    <w:rsid w:val="00844228"/>
    <w:rsid w:val="008478DA"/>
    <w:rsid w:val="008526DE"/>
    <w:rsid w:val="0085463A"/>
    <w:rsid w:val="008558A1"/>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185"/>
    <w:rsid w:val="008A043A"/>
    <w:rsid w:val="008A09CE"/>
    <w:rsid w:val="008A33F0"/>
    <w:rsid w:val="008A5136"/>
    <w:rsid w:val="008A77FC"/>
    <w:rsid w:val="008B1891"/>
    <w:rsid w:val="008B1D03"/>
    <w:rsid w:val="008B201D"/>
    <w:rsid w:val="008B243C"/>
    <w:rsid w:val="008B5322"/>
    <w:rsid w:val="008B79A8"/>
    <w:rsid w:val="008D21B4"/>
    <w:rsid w:val="008D774C"/>
    <w:rsid w:val="008E0207"/>
    <w:rsid w:val="008E2FD9"/>
    <w:rsid w:val="008E525F"/>
    <w:rsid w:val="008E52B8"/>
    <w:rsid w:val="008E562C"/>
    <w:rsid w:val="008E65A3"/>
    <w:rsid w:val="008E6C44"/>
    <w:rsid w:val="008F0E0C"/>
    <w:rsid w:val="008F12FD"/>
    <w:rsid w:val="008F24BC"/>
    <w:rsid w:val="008F52FC"/>
    <w:rsid w:val="00901B0A"/>
    <w:rsid w:val="00911600"/>
    <w:rsid w:val="0091160E"/>
    <w:rsid w:val="0091242F"/>
    <w:rsid w:val="00913641"/>
    <w:rsid w:val="00913836"/>
    <w:rsid w:val="00914D86"/>
    <w:rsid w:val="0092000E"/>
    <w:rsid w:val="00927BEC"/>
    <w:rsid w:val="00930255"/>
    <w:rsid w:val="009302D1"/>
    <w:rsid w:val="00930403"/>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204"/>
    <w:rsid w:val="00974FBE"/>
    <w:rsid w:val="0097549F"/>
    <w:rsid w:val="00975C70"/>
    <w:rsid w:val="00985833"/>
    <w:rsid w:val="009868FD"/>
    <w:rsid w:val="00993167"/>
    <w:rsid w:val="009933C0"/>
    <w:rsid w:val="00993AC0"/>
    <w:rsid w:val="00994854"/>
    <w:rsid w:val="009A0A5E"/>
    <w:rsid w:val="009A1B9B"/>
    <w:rsid w:val="009A3B8F"/>
    <w:rsid w:val="009A6996"/>
    <w:rsid w:val="009A7ABD"/>
    <w:rsid w:val="009B016F"/>
    <w:rsid w:val="009B3B93"/>
    <w:rsid w:val="009C0731"/>
    <w:rsid w:val="009C10F5"/>
    <w:rsid w:val="009C2A70"/>
    <w:rsid w:val="009C2D0D"/>
    <w:rsid w:val="009C726E"/>
    <w:rsid w:val="009D2ECB"/>
    <w:rsid w:val="009D32A7"/>
    <w:rsid w:val="009D3EB2"/>
    <w:rsid w:val="009D6339"/>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56C8C"/>
    <w:rsid w:val="00A60083"/>
    <w:rsid w:val="00A61EA7"/>
    <w:rsid w:val="00A62B4A"/>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4A26"/>
    <w:rsid w:val="00A96277"/>
    <w:rsid w:val="00AA00CD"/>
    <w:rsid w:val="00AA05B6"/>
    <w:rsid w:val="00AA3A8F"/>
    <w:rsid w:val="00AA65F1"/>
    <w:rsid w:val="00AB096C"/>
    <w:rsid w:val="00AB0B56"/>
    <w:rsid w:val="00AB11F3"/>
    <w:rsid w:val="00AB5DEE"/>
    <w:rsid w:val="00AB767C"/>
    <w:rsid w:val="00AC273D"/>
    <w:rsid w:val="00AC2BDF"/>
    <w:rsid w:val="00AC3EE2"/>
    <w:rsid w:val="00AC56BF"/>
    <w:rsid w:val="00AC7D9E"/>
    <w:rsid w:val="00AD4152"/>
    <w:rsid w:val="00AD5945"/>
    <w:rsid w:val="00AD67C3"/>
    <w:rsid w:val="00AE2222"/>
    <w:rsid w:val="00AE75EA"/>
    <w:rsid w:val="00AF0507"/>
    <w:rsid w:val="00AF6C3D"/>
    <w:rsid w:val="00AF6C63"/>
    <w:rsid w:val="00B0402F"/>
    <w:rsid w:val="00B04165"/>
    <w:rsid w:val="00B04E23"/>
    <w:rsid w:val="00B0703F"/>
    <w:rsid w:val="00B07555"/>
    <w:rsid w:val="00B1410C"/>
    <w:rsid w:val="00B2131F"/>
    <w:rsid w:val="00B223FE"/>
    <w:rsid w:val="00B229B3"/>
    <w:rsid w:val="00B24067"/>
    <w:rsid w:val="00B2603F"/>
    <w:rsid w:val="00B3444D"/>
    <w:rsid w:val="00B3490C"/>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4D7C"/>
    <w:rsid w:val="00B75918"/>
    <w:rsid w:val="00B80BAB"/>
    <w:rsid w:val="00B81F30"/>
    <w:rsid w:val="00B92BA2"/>
    <w:rsid w:val="00B92D96"/>
    <w:rsid w:val="00B93AF5"/>
    <w:rsid w:val="00BA2FCB"/>
    <w:rsid w:val="00BA36ED"/>
    <w:rsid w:val="00BA3815"/>
    <w:rsid w:val="00BA5174"/>
    <w:rsid w:val="00BA6905"/>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4FE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3536"/>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E17D7"/>
    <w:rsid w:val="00CE2C94"/>
    <w:rsid w:val="00CE3415"/>
    <w:rsid w:val="00CE45F3"/>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1E55"/>
    <w:rsid w:val="00D34DFE"/>
    <w:rsid w:val="00D35E99"/>
    <w:rsid w:val="00D41B3C"/>
    <w:rsid w:val="00D50088"/>
    <w:rsid w:val="00D57BC6"/>
    <w:rsid w:val="00D57BD0"/>
    <w:rsid w:val="00D60597"/>
    <w:rsid w:val="00D6122E"/>
    <w:rsid w:val="00D6282F"/>
    <w:rsid w:val="00D64C06"/>
    <w:rsid w:val="00D64DCD"/>
    <w:rsid w:val="00D66802"/>
    <w:rsid w:val="00D672BE"/>
    <w:rsid w:val="00D67A8B"/>
    <w:rsid w:val="00D7204C"/>
    <w:rsid w:val="00D74850"/>
    <w:rsid w:val="00D77D7D"/>
    <w:rsid w:val="00D80B07"/>
    <w:rsid w:val="00D83555"/>
    <w:rsid w:val="00D87288"/>
    <w:rsid w:val="00D903AB"/>
    <w:rsid w:val="00D904C8"/>
    <w:rsid w:val="00D90D31"/>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D41F4"/>
    <w:rsid w:val="00DE276C"/>
    <w:rsid w:val="00DE405D"/>
    <w:rsid w:val="00DE54F9"/>
    <w:rsid w:val="00DE6AF8"/>
    <w:rsid w:val="00DF3DC9"/>
    <w:rsid w:val="00DF3F93"/>
    <w:rsid w:val="00DF42A4"/>
    <w:rsid w:val="00DF59CB"/>
    <w:rsid w:val="00E04F5B"/>
    <w:rsid w:val="00E058FB"/>
    <w:rsid w:val="00E05AA1"/>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08B"/>
    <w:rsid w:val="00E8261F"/>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211"/>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60CB"/>
    <w:rsid w:val="00F37DDA"/>
    <w:rsid w:val="00F410B1"/>
    <w:rsid w:val="00F4142A"/>
    <w:rsid w:val="00F41DC7"/>
    <w:rsid w:val="00F4354F"/>
    <w:rsid w:val="00F444BA"/>
    <w:rsid w:val="00F4708C"/>
    <w:rsid w:val="00F47559"/>
    <w:rsid w:val="00F53A24"/>
    <w:rsid w:val="00F548BF"/>
    <w:rsid w:val="00F555D8"/>
    <w:rsid w:val="00F555F6"/>
    <w:rsid w:val="00F603F5"/>
    <w:rsid w:val="00F617C7"/>
    <w:rsid w:val="00F63E26"/>
    <w:rsid w:val="00F66266"/>
    <w:rsid w:val="00F66D56"/>
    <w:rsid w:val="00F67852"/>
    <w:rsid w:val="00F72BA5"/>
    <w:rsid w:val="00F749A4"/>
    <w:rsid w:val="00F74BFF"/>
    <w:rsid w:val="00F75EF9"/>
    <w:rsid w:val="00F80197"/>
    <w:rsid w:val="00F82237"/>
    <w:rsid w:val="00F82662"/>
    <w:rsid w:val="00F83022"/>
    <w:rsid w:val="00F83A7A"/>
    <w:rsid w:val="00F84AE8"/>
    <w:rsid w:val="00F84D18"/>
    <w:rsid w:val="00F8592D"/>
    <w:rsid w:val="00F943D7"/>
    <w:rsid w:val="00F9774A"/>
    <w:rsid w:val="00FA1399"/>
    <w:rsid w:val="00FA3A77"/>
    <w:rsid w:val="00FA7304"/>
    <w:rsid w:val="00FB0070"/>
    <w:rsid w:val="00FB048D"/>
    <w:rsid w:val="00FB1347"/>
    <w:rsid w:val="00FC0B5C"/>
    <w:rsid w:val="00FC1BDC"/>
    <w:rsid w:val="00FC1D6A"/>
    <w:rsid w:val="00FC2FCD"/>
    <w:rsid w:val="00FC3181"/>
    <w:rsid w:val="00FC41C4"/>
    <w:rsid w:val="00FE270A"/>
    <w:rsid w:val="00FE5C48"/>
    <w:rsid w:val="00FE6656"/>
    <w:rsid w:val="00FF191E"/>
    <w:rsid w:val="00FF1C52"/>
    <w:rsid w:val="00FF277E"/>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semiHidden="0" w:uiPriority="3" w:unhideWhenUsed="0" w:qFormat="1"/>
    <w:lsdException w:name="List 2" w:uiPriority="4"/>
    <w:lsdException w:name="List 3" w:uiPriority="4"/>
    <w:lsdException w:name="List 4" w:semiHidden="0" w:uiPriority="4" w:unhideWhenUsed="0"/>
    <w:lsdException w:name="List 5" w:semiHidden="0" w:uiPriority="4" w:unhideWhenUsed="0"/>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semiHidden="0" w:uiPriority="14" w:unhideWhenUsed="0"/>
    <w:lsdException w:name="Closing" w:uiPriority="97"/>
    <w:lsdException w:name="Signature" w:uiPriority="97"/>
    <w:lsdException w:name="Default Paragraph Font" w:uiPriority="97"/>
    <w:lsdException w:name="Body Text" w:uiPriority="97"/>
    <w:lsdException w:name="Body Text Indent" w:uiPriority="97"/>
    <w:lsdException w:name="List Continue 2" w:uiPriority="10"/>
    <w:lsdException w:name="List Continue 3" w:uiPriority="10"/>
    <w:lsdException w:name="List Continue 4" w:uiPriority="10"/>
    <w:lsdException w:name="List Continue 5" w:uiPriority="10"/>
    <w:lsdException w:name="Message Header" w:uiPriority="97"/>
    <w:lsdException w:name="Subtitle" w:semiHidden="0" w:uiPriority="97" w:unhideWhenUsed="0"/>
    <w:lsdException w:name="Salutation" w:semiHidden="0" w:uiPriority="97" w:unhideWhenUsed="0"/>
    <w:lsdException w:name="Date" w:semiHidden="0" w:uiPriority="97" w:unhideWhenUsed="0"/>
    <w:lsdException w:name="Body Text First Indent" w:semiHidden="0" w:uiPriority="97" w:unhideWhenUsed="0"/>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semiHidden="0" w:unhideWhenUsed="0"/>
    <w:lsdException w:name="Placeholder Text" w:uiPriority="97"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97" w:unhideWhenUsed="0"/>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97" w:qFormat="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1"/>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semiHidden="0" w:uiPriority="3" w:unhideWhenUsed="0" w:qFormat="1"/>
    <w:lsdException w:name="List 2" w:uiPriority="4"/>
    <w:lsdException w:name="List 3" w:uiPriority="4"/>
    <w:lsdException w:name="List 4" w:semiHidden="0" w:uiPriority="4" w:unhideWhenUsed="0"/>
    <w:lsdException w:name="List 5" w:semiHidden="0" w:uiPriority="4" w:unhideWhenUsed="0"/>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semiHidden="0" w:uiPriority="14" w:unhideWhenUsed="0"/>
    <w:lsdException w:name="Closing" w:uiPriority="97"/>
    <w:lsdException w:name="Signature" w:uiPriority="97"/>
    <w:lsdException w:name="Default Paragraph Font" w:uiPriority="97"/>
    <w:lsdException w:name="Body Text" w:uiPriority="97"/>
    <w:lsdException w:name="Body Text Indent" w:uiPriority="97"/>
    <w:lsdException w:name="List Continue 2" w:uiPriority="10"/>
    <w:lsdException w:name="List Continue 3" w:uiPriority="10"/>
    <w:lsdException w:name="List Continue 4" w:uiPriority="10"/>
    <w:lsdException w:name="List Continue 5" w:uiPriority="10"/>
    <w:lsdException w:name="Message Header" w:uiPriority="97"/>
    <w:lsdException w:name="Subtitle" w:semiHidden="0" w:uiPriority="97" w:unhideWhenUsed="0"/>
    <w:lsdException w:name="Salutation" w:semiHidden="0" w:uiPriority="97" w:unhideWhenUsed="0"/>
    <w:lsdException w:name="Date" w:semiHidden="0" w:uiPriority="97" w:unhideWhenUsed="0"/>
    <w:lsdException w:name="Body Text First Indent" w:semiHidden="0" w:uiPriority="97" w:unhideWhenUsed="0"/>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Table Grid" w:semiHidden="0" w:unhideWhenUsed="0"/>
    <w:lsdException w:name="Placeholder Text" w:uiPriority="97"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97" w:unhideWhenUsed="0"/>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97" w:qFormat="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1"/>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psc.nsw.gov.au/workforce-management/capability-framework/occupation-specific-capability-set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DNS-323\Volume_1\Clients\2014\Folk\PSC\v16_12March2014\www.psc.nsw.gov.au\capabilityframework"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yd\Downloads\20140822%20Role%20Description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659D-F91C-4569-95B9-8F3BCB5B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 Role Description_Template (1).DOTM</Template>
  <TotalTime>1</TotalTime>
  <Pages>7</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Dray</dc:creator>
  <cp:lastModifiedBy>Jodi Arthur</cp:lastModifiedBy>
  <cp:revision>2</cp:revision>
  <cp:lastPrinted>2016-05-11T00:55:00Z</cp:lastPrinted>
  <dcterms:created xsi:type="dcterms:W3CDTF">2019-01-11T00:18:00Z</dcterms:created>
  <dcterms:modified xsi:type="dcterms:W3CDTF">2019-01-11T00:18:00Z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