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49018A" w:rsidP="009E6312">
            <w:pPr>
              <w:pStyle w:val="TableTextWhite"/>
              <w:rPr>
                <w:b/>
                <w:color w:val="000000"/>
                <w:sz w:val="24"/>
                <w:szCs w:val="24"/>
              </w:rPr>
            </w:pPr>
            <w:r>
              <w:rPr>
                <w:b/>
              </w:rPr>
              <w:t>Agency</w:t>
            </w:r>
          </w:p>
        </w:tc>
        <w:tc>
          <w:tcPr>
            <w:tcW w:w="6530" w:type="dxa"/>
          </w:tcPr>
          <w:p w:rsidR="00A76532" w:rsidRPr="0033590A" w:rsidRDefault="009027BE" w:rsidP="0033590A">
            <w:pPr>
              <w:pStyle w:val="TableTextWhite"/>
            </w:pPr>
            <w:bookmarkStart w:id="0" w:name="Cluster"/>
            <w:bookmarkEnd w:id="0"/>
            <w:r>
              <w:t>NSW Rural Fire Service</w:t>
            </w:r>
          </w:p>
        </w:tc>
      </w:tr>
      <w:tr w:rsidR="00A76532" w:rsidRPr="00C978B9" w:rsidTr="00A76532">
        <w:tc>
          <w:tcPr>
            <w:tcW w:w="4026" w:type="dxa"/>
            <w:vAlign w:val="center"/>
          </w:tcPr>
          <w:p w:rsidR="00A76532" w:rsidRPr="009E6312" w:rsidRDefault="0014725A" w:rsidP="009027BE">
            <w:pPr>
              <w:pStyle w:val="TableTextWhite"/>
              <w:rPr>
                <w:b/>
                <w:color w:val="000000"/>
                <w:sz w:val="24"/>
                <w:szCs w:val="24"/>
              </w:rPr>
            </w:pPr>
            <w:bookmarkStart w:id="1" w:name="DeptAgency"/>
            <w:bookmarkEnd w:id="1"/>
            <w:r>
              <w:rPr>
                <w:b/>
              </w:rPr>
              <w:t>Division</w:t>
            </w:r>
            <w:r w:rsidR="00A76532" w:rsidRPr="009E6312">
              <w:rPr>
                <w:b/>
              </w:rPr>
              <w:t>/Unit</w:t>
            </w:r>
          </w:p>
        </w:tc>
        <w:tc>
          <w:tcPr>
            <w:tcW w:w="6530" w:type="dxa"/>
          </w:tcPr>
          <w:p w:rsidR="00A76532" w:rsidRPr="0033590A" w:rsidRDefault="000E61ED" w:rsidP="0033590A">
            <w:pPr>
              <w:pStyle w:val="TableTextWhite"/>
            </w:pPr>
            <w:bookmarkStart w:id="2" w:name="Branch"/>
            <w:bookmarkEnd w:id="2"/>
            <w:r>
              <w:t>Finance Branch</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142D10" w:rsidP="0033590A">
            <w:pPr>
              <w:pStyle w:val="TableTextWhite"/>
            </w:pPr>
            <w:bookmarkStart w:id="3" w:name="Location"/>
            <w:bookmarkEnd w:id="3"/>
            <w:r>
              <w:t>Sydney Olympic Park/HQ</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Grade</w:t>
            </w:r>
          </w:p>
        </w:tc>
        <w:tc>
          <w:tcPr>
            <w:tcW w:w="6530" w:type="dxa"/>
          </w:tcPr>
          <w:p w:rsidR="00A76532" w:rsidRPr="0033590A" w:rsidRDefault="00F84946" w:rsidP="00176201">
            <w:pPr>
              <w:pStyle w:val="TableTextWhite"/>
            </w:pPr>
            <w:bookmarkStart w:id="4" w:name="Grade"/>
            <w:bookmarkEnd w:id="4"/>
            <w:r>
              <w:t xml:space="preserve">RFS Level </w:t>
            </w:r>
            <w:r w:rsidR="00176201">
              <w:t>1</w:t>
            </w:r>
            <w:r w:rsidR="002526DA">
              <w:t>0/11</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bookmarkStart w:id="5" w:name="_GoBack"/>
            <w:bookmarkEnd w:id="5"/>
            <w:r w:rsidRPr="009E6312">
              <w:rPr>
                <w:b/>
              </w:rPr>
              <w:t>ANZSCO Code</w:t>
            </w:r>
          </w:p>
        </w:tc>
        <w:tc>
          <w:tcPr>
            <w:tcW w:w="6530" w:type="dxa"/>
          </w:tcPr>
          <w:p w:rsidR="00A76532" w:rsidRPr="0033590A" w:rsidRDefault="001A1CF1" w:rsidP="00176201">
            <w:pPr>
              <w:pStyle w:val="TableTextWhite"/>
            </w:pPr>
            <w:bookmarkStart w:id="6" w:name="ANZSCO"/>
            <w:bookmarkEnd w:id="6"/>
            <w:r>
              <w:t>221112</w:t>
            </w:r>
          </w:p>
        </w:tc>
      </w:tr>
      <w:tr w:rsidR="00E31B30" w:rsidRPr="00C978B9" w:rsidTr="00A76532">
        <w:tc>
          <w:tcPr>
            <w:tcW w:w="4026" w:type="dxa"/>
            <w:vAlign w:val="center"/>
          </w:tcPr>
          <w:p w:rsidR="00E31B30" w:rsidRPr="009E6312" w:rsidRDefault="00E31B30" w:rsidP="009E6312">
            <w:pPr>
              <w:pStyle w:val="TableTextWhite"/>
              <w:rPr>
                <w:b/>
              </w:rPr>
            </w:pPr>
            <w:r w:rsidRPr="009E6312">
              <w:rPr>
                <w:b/>
              </w:rPr>
              <w:t>Role Number</w:t>
            </w:r>
          </w:p>
        </w:tc>
        <w:tc>
          <w:tcPr>
            <w:tcW w:w="6530" w:type="dxa"/>
          </w:tcPr>
          <w:p w:rsidR="00E31B30" w:rsidRPr="0033590A" w:rsidRDefault="001A1CF1" w:rsidP="00B932E1">
            <w:pPr>
              <w:pStyle w:val="TableTextWhite"/>
            </w:pPr>
            <w:bookmarkStart w:id="7" w:name="RoleNum"/>
            <w:bookmarkEnd w:id="7"/>
            <w:r>
              <w:t>52014990</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PCAT Code</w:t>
            </w:r>
          </w:p>
        </w:tc>
        <w:tc>
          <w:tcPr>
            <w:tcW w:w="6530" w:type="dxa"/>
          </w:tcPr>
          <w:p w:rsidR="00A76532" w:rsidRPr="0033590A" w:rsidRDefault="001A1CF1" w:rsidP="0033590A">
            <w:pPr>
              <w:pStyle w:val="TableTextWhite"/>
            </w:pPr>
            <w:bookmarkStart w:id="8" w:name="PCAT"/>
            <w:bookmarkEnd w:id="8"/>
            <w:r>
              <w:t>1223331</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Date of Approval</w:t>
            </w:r>
          </w:p>
        </w:tc>
        <w:tc>
          <w:tcPr>
            <w:tcW w:w="6530" w:type="dxa"/>
          </w:tcPr>
          <w:p w:rsidR="00A76532" w:rsidRPr="0033590A" w:rsidRDefault="001A1CF1" w:rsidP="0033590A">
            <w:pPr>
              <w:pStyle w:val="TableTextWhite"/>
            </w:pPr>
            <w:bookmarkStart w:id="9" w:name="Date"/>
            <w:bookmarkEnd w:id="9"/>
            <w:r>
              <w:t>23 November</w:t>
            </w:r>
            <w:r w:rsidR="00523BAD">
              <w:t xml:space="preserve"> 201</w:t>
            </w:r>
            <w:r w:rsidR="000E61ED">
              <w:t>7</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bookmarkStart w:id="10" w:name="AgencyURL"/>
        <w:bookmarkEnd w:id="10"/>
        <w:tc>
          <w:tcPr>
            <w:tcW w:w="6530" w:type="dxa"/>
          </w:tcPr>
          <w:p w:rsidR="00A76532" w:rsidRPr="002D26BC" w:rsidRDefault="00BF76C6" w:rsidP="0033590A">
            <w:pPr>
              <w:pStyle w:val="TableTextWhite"/>
              <w:rPr>
                <w:color w:val="FFFFFF" w:themeColor="background1"/>
              </w:rPr>
            </w:pPr>
            <w:r w:rsidRPr="002D26BC">
              <w:rPr>
                <w:color w:val="FFFFFF" w:themeColor="background1"/>
              </w:rPr>
              <w:fldChar w:fldCharType="begin"/>
            </w:r>
            <w:r w:rsidR="00F84946" w:rsidRPr="002D26BC">
              <w:rPr>
                <w:color w:val="FFFFFF" w:themeColor="background1"/>
              </w:rPr>
              <w:instrText xml:space="preserve"> HYPERLINK "http://www.rfs.nsw.gov.au" </w:instrText>
            </w:r>
            <w:r w:rsidRPr="002D26BC">
              <w:rPr>
                <w:color w:val="FFFFFF" w:themeColor="background1"/>
              </w:rPr>
              <w:fldChar w:fldCharType="separate"/>
            </w:r>
            <w:r w:rsidR="00F84946" w:rsidRPr="002D26BC">
              <w:rPr>
                <w:rStyle w:val="Hyperlink"/>
                <w:color w:val="FFFFFF" w:themeColor="background1"/>
              </w:rPr>
              <w:t>www.rfs.nsw.gov.au</w:t>
            </w:r>
            <w:r w:rsidRPr="002D26BC">
              <w:rPr>
                <w:color w:val="FFFFFF" w:themeColor="background1"/>
              </w:rPr>
              <w:fldChar w:fldCharType="end"/>
            </w:r>
            <w:r w:rsidR="00F84946" w:rsidRPr="002D26BC">
              <w:rPr>
                <w:color w:val="FFFFFF" w:themeColor="background1"/>
              </w:rPr>
              <w:t xml:space="preserve"> </w:t>
            </w:r>
          </w:p>
        </w:tc>
      </w:tr>
    </w:tbl>
    <w:p w:rsidR="00A76532" w:rsidRPr="00C978B9" w:rsidRDefault="00B947C6" w:rsidP="00791ADD">
      <w:pPr>
        <w:pStyle w:val="Heading1"/>
        <w:spacing w:before="40" w:line="280" w:lineRule="atLeast"/>
      </w:pPr>
      <w:bookmarkStart w:id="11" w:name="DeptAgency2"/>
      <w:bookmarkEnd w:id="11"/>
      <w:r>
        <w:t xml:space="preserve">Agency </w:t>
      </w:r>
      <w:r w:rsidR="0003659D" w:rsidRPr="00C978B9">
        <w:t>overview</w:t>
      </w:r>
    </w:p>
    <w:p w:rsidR="00B947C6" w:rsidRPr="0005153A" w:rsidRDefault="00B947C6" w:rsidP="00791ADD">
      <w:pPr>
        <w:pStyle w:val="TableText"/>
        <w:rPr>
          <w:lang w:val="en-US"/>
        </w:rPr>
      </w:pPr>
      <w:bookmarkStart w:id="12" w:name="DeptOverview"/>
      <w:bookmarkEnd w:id="12"/>
      <w:r w:rsidRPr="0005153A">
        <w:rPr>
          <w:lang w:val="en-US"/>
        </w:rPr>
        <w:t xml:space="preserve">The NSW Rural Fire Service (NSW RFS) plays a key coordinating and strategic role in the overall planning and management of fire prevention, protection and suppression in NSW.  The NSW RFS is the lead combat agency for bush fires in NSW and also provides resources and support to other emergency service </w:t>
      </w:r>
      <w:proofErr w:type="spellStart"/>
      <w:r w:rsidRPr="0005153A">
        <w:rPr>
          <w:lang w:val="en-US"/>
        </w:rPr>
        <w:t>organisations</w:t>
      </w:r>
      <w:proofErr w:type="spellEnd"/>
      <w:r w:rsidRPr="0005153A">
        <w:rPr>
          <w:lang w:val="en-US"/>
        </w:rPr>
        <w:t xml:space="preserve">. The Commissioner of the NSW RFS has ultimate responsibility for bush fire suppression across the State.  </w:t>
      </w:r>
    </w:p>
    <w:p w:rsidR="00A76532" w:rsidRPr="00B947C6" w:rsidRDefault="00B947C6" w:rsidP="00791ADD">
      <w:pPr>
        <w:pStyle w:val="TableText"/>
        <w:rPr>
          <w:lang w:val="en-US"/>
        </w:rPr>
      </w:pPr>
      <w:r w:rsidRPr="0005153A">
        <w:rPr>
          <w:lang w:val="en-US"/>
        </w:rPr>
        <w:t>The NSW RFS is the world’s largest volunteer-based fire service.  Volunteers fulfill the incident response role of the NSW RFS with over 2,000 rural fire brigades and more than 73,000 volunteer members protecting rural areas, villages, small towns and some outer urban fringes across the State.  The NSW RFS employs around 858 staff to manage its day to day operations and administration, and to develop and implement programs, strategies and initiatives to assist the organisation to achieve its strategic objectives.</w:t>
      </w:r>
    </w:p>
    <w:p w:rsidR="00057CB3" w:rsidRPr="00C978B9" w:rsidRDefault="00057CB3" w:rsidP="00791ADD">
      <w:pPr>
        <w:pStyle w:val="Heading1"/>
        <w:spacing w:line="280" w:lineRule="atLeast"/>
      </w:pPr>
      <w:r w:rsidRPr="00C978B9">
        <w:t>Primary purpose of the role</w:t>
      </w:r>
    </w:p>
    <w:p w:rsidR="00057CB3" w:rsidRPr="00C27AAF" w:rsidRDefault="00176201" w:rsidP="00791ADD">
      <w:pPr>
        <w:spacing w:line="280" w:lineRule="atLeast"/>
        <w:rPr>
          <w:sz w:val="20"/>
        </w:rPr>
      </w:pPr>
      <w:bookmarkStart w:id="13" w:name="Purpose"/>
      <w:bookmarkEnd w:id="13"/>
      <w:r w:rsidRPr="00D710EC">
        <w:rPr>
          <w:sz w:val="20"/>
        </w:rPr>
        <w:t xml:space="preserve">The primary </w:t>
      </w:r>
      <w:r w:rsidR="003A1C17" w:rsidRPr="00D710EC">
        <w:rPr>
          <w:sz w:val="20"/>
        </w:rPr>
        <w:t xml:space="preserve">purpose of the role is to </w:t>
      </w:r>
      <w:r w:rsidR="006C748A">
        <w:rPr>
          <w:sz w:val="20"/>
        </w:rPr>
        <w:t>undertake budget development, internal reporting and preparation of</w:t>
      </w:r>
      <w:r w:rsidR="007E730D">
        <w:rPr>
          <w:sz w:val="20"/>
        </w:rPr>
        <w:t xml:space="preserve"> </w:t>
      </w:r>
      <w:r w:rsidR="0015445F">
        <w:rPr>
          <w:sz w:val="20"/>
        </w:rPr>
        <w:t>business cases to support the implementation of corporate goals and objectives and provide forecasts of the projected financial performance</w:t>
      </w:r>
      <w:r w:rsidR="00D710EC">
        <w:rPr>
          <w:sz w:val="20"/>
        </w:rPr>
        <w:t>.</w:t>
      </w:r>
    </w:p>
    <w:p w:rsidR="00057CB3" w:rsidRPr="00C978B9" w:rsidRDefault="00057CB3" w:rsidP="00791ADD">
      <w:pPr>
        <w:pStyle w:val="Heading1"/>
        <w:spacing w:line="280" w:lineRule="atLeast"/>
      </w:pPr>
      <w:r w:rsidRPr="00C978B9">
        <w:t xml:space="preserve">Key </w:t>
      </w:r>
      <w:r w:rsidR="00043B92">
        <w:t>a</w:t>
      </w:r>
      <w:r w:rsidRPr="00C978B9">
        <w:t>ccountabilities</w:t>
      </w:r>
    </w:p>
    <w:p w:rsidR="00FC45D4" w:rsidRPr="00377486" w:rsidRDefault="00377486" w:rsidP="00791ADD">
      <w:pPr>
        <w:pStyle w:val="ListBullet"/>
        <w:numPr>
          <w:ilvl w:val="0"/>
          <w:numId w:val="33"/>
        </w:numPr>
        <w:spacing w:before="60" w:after="60"/>
        <w:rPr>
          <w:sz w:val="20"/>
        </w:rPr>
      </w:pPr>
      <w:bookmarkStart w:id="14" w:name="Accountabilities"/>
      <w:bookmarkEnd w:id="14"/>
      <w:r w:rsidRPr="00377486">
        <w:rPr>
          <w:sz w:val="20"/>
        </w:rPr>
        <w:t>Develop, implement and monitor the corporate annual and forward five year budgets to ensure the effective coordination and alignment of programs with the strategic direction and priorities of the RFS.</w:t>
      </w:r>
    </w:p>
    <w:p w:rsidR="00B93976" w:rsidRDefault="00B93976" w:rsidP="00791ADD">
      <w:pPr>
        <w:pStyle w:val="ListBullet"/>
        <w:numPr>
          <w:ilvl w:val="0"/>
          <w:numId w:val="33"/>
        </w:numPr>
        <w:spacing w:before="60" w:after="60"/>
        <w:rPr>
          <w:sz w:val="20"/>
        </w:rPr>
      </w:pPr>
      <w:r>
        <w:rPr>
          <w:sz w:val="20"/>
        </w:rPr>
        <w:t>Coordinate the organisation’s relation</w:t>
      </w:r>
      <w:r w:rsidR="006B5D72">
        <w:rPr>
          <w:sz w:val="20"/>
        </w:rPr>
        <w:t>ship with NSW Treasury so that</w:t>
      </w:r>
      <w:r>
        <w:rPr>
          <w:sz w:val="20"/>
        </w:rPr>
        <w:t xml:space="preserve"> preparation of inputs into the annual NSW Treasury budget process, </w:t>
      </w:r>
      <w:r w:rsidR="00C45B8E">
        <w:rPr>
          <w:sz w:val="20"/>
        </w:rPr>
        <w:t>Treasury on-line Entry System (</w:t>
      </w:r>
      <w:r>
        <w:rPr>
          <w:sz w:val="20"/>
        </w:rPr>
        <w:t>TOES</w:t>
      </w:r>
      <w:r w:rsidR="00C45B8E">
        <w:rPr>
          <w:sz w:val="20"/>
        </w:rPr>
        <w:t>)</w:t>
      </w:r>
      <w:r w:rsidR="006B5D72">
        <w:rPr>
          <w:sz w:val="20"/>
        </w:rPr>
        <w:t xml:space="preserve"> </w:t>
      </w:r>
      <w:r w:rsidR="005F3D84">
        <w:rPr>
          <w:sz w:val="20"/>
        </w:rPr>
        <w:t xml:space="preserve">to enable reporting and meet ad </w:t>
      </w:r>
      <w:r>
        <w:rPr>
          <w:sz w:val="20"/>
        </w:rPr>
        <w:t>hoc NSW Treasury requirements.</w:t>
      </w:r>
    </w:p>
    <w:p w:rsidR="003A1C17" w:rsidRDefault="00B93976" w:rsidP="00791ADD">
      <w:pPr>
        <w:pStyle w:val="ListBullet"/>
        <w:numPr>
          <w:ilvl w:val="0"/>
          <w:numId w:val="33"/>
        </w:numPr>
        <w:spacing w:before="60" w:after="60"/>
        <w:rPr>
          <w:sz w:val="20"/>
        </w:rPr>
      </w:pPr>
      <w:r>
        <w:rPr>
          <w:sz w:val="20"/>
        </w:rPr>
        <w:t xml:space="preserve">Develop and coach RFS staff to improve financial management knowledge and skills; </w:t>
      </w:r>
      <w:r w:rsidR="003109FD">
        <w:rPr>
          <w:sz w:val="20"/>
        </w:rPr>
        <w:t>so</w:t>
      </w:r>
      <w:r>
        <w:rPr>
          <w:sz w:val="20"/>
        </w:rPr>
        <w:t xml:space="preserve"> they have the necessary capability to operate competently within budgeting and reporting frameworks.</w:t>
      </w:r>
    </w:p>
    <w:p w:rsidR="00E6739E" w:rsidRPr="002E26A7" w:rsidRDefault="005C6C21" w:rsidP="00791ADD">
      <w:pPr>
        <w:pStyle w:val="ListBullet"/>
        <w:numPr>
          <w:ilvl w:val="0"/>
          <w:numId w:val="33"/>
        </w:numPr>
        <w:spacing w:before="60" w:after="60"/>
        <w:rPr>
          <w:sz w:val="20"/>
        </w:rPr>
      </w:pPr>
      <w:r w:rsidRPr="00F20E3A">
        <w:rPr>
          <w:sz w:val="20"/>
        </w:rPr>
        <w:t xml:space="preserve">Develop and maintain an effective rolling projection of expenditure and revenue, </w:t>
      </w:r>
      <w:r w:rsidR="00F20E3A" w:rsidRPr="00F20E3A">
        <w:rPr>
          <w:sz w:val="20"/>
        </w:rPr>
        <w:t>to identify and manage variances.</w:t>
      </w:r>
    </w:p>
    <w:p w:rsidR="00C264F7" w:rsidRDefault="00C264F7" w:rsidP="00791ADD">
      <w:pPr>
        <w:pStyle w:val="ListBullet"/>
        <w:numPr>
          <w:ilvl w:val="0"/>
          <w:numId w:val="33"/>
        </w:numPr>
        <w:spacing w:before="60" w:after="60"/>
        <w:rPr>
          <w:sz w:val="20"/>
        </w:rPr>
      </w:pPr>
      <w:r w:rsidRPr="007D5B9F">
        <w:rPr>
          <w:sz w:val="20"/>
        </w:rPr>
        <w:t>Provide an effective and fit for purpose inter</w:t>
      </w:r>
      <w:r w:rsidR="007D5B9F" w:rsidRPr="007D5B9F">
        <w:rPr>
          <w:sz w:val="20"/>
        </w:rPr>
        <w:t>nal financial reporting systems to identify emerging issues and track and report</w:t>
      </w:r>
      <w:r w:rsidR="006C748A">
        <w:rPr>
          <w:sz w:val="20"/>
        </w:rPr>
        <w:t xml:space="preserve"> income and expenditure</w:t>
      </w:r>
      <w:r w:rsidR="007D5B9F" w:rsidRPr="007D5B9F">
        <w:rPr>
          <w:sz w:val="20"/>
        </w:rPr>
        <w:t>.</w:t>
      </w:r>
    </w:p>
    <w:p w:rsidR="006C748A" w:rsidRPr="007D5B9F" w:rsidRDefault="006C748A" w:rsidP="00791ADD">
      <w:pPr>
        <w:pStyle w:val="ListBullet"/>
        <w:numPr>
          <w:ilvl w:val="0"/>
          <w:numId w:val="33"/>
        </w:numPr>
        <w:spacing w:before="60" w:after="60"/>
        <w:rPr>
          <w:sz w:val="20"/>
        </w:rPr>
      </w:pPr>
      <w:r>
        <w:rPr>
          <w:sz w:val="20"/>
        </w:rPr>
        <w:t>Assist in internal and external reporting of emergency response expenditure</w:t>
      </w:r>
      <w:r w:rsidR="00A44667">
        <w:rPr>
          <w:sz w:val="20"/>
        </w:rPr>
        <w:t xml:space="preserve"> and the operation of the Deductible Gift Recipient Trust</w:t>
      </w:r>
      <w:r>
        <w:rPr>
          <w:sz w:val="20"/>
        </w:rPr>
        <w:t>.</w:t>
      </w:r>
    </w:p>
    <w:p w:rsidR="00C264F7" w:rsidRPr="00E40F74" w:rsidRDefault="00C264F7" w:rsidP="00791ADD">
      <w:pPr>
        <w:pStyle w:val="ListBullet"/>
        <w:numPr>
          <w:ilvl w:val="0"/>
          <w:numId w:val="33"/>
        </w:numPr>
        <w:spacing w:before="60" w:after="60"/>
        <w:rPr>
          <w:sz w:val="20"/>
        </w:rPr>
      </w:pPr>
      <w:r w:rsidRPr="00E40F74">
        <w:rPr>
          <w:sz w:val="20"/>
        </w:rPr>
        <w:lastRenderedPageBreak/>
        <w:t>Develop, implement and review financial management and accounting poli</w:t>
      </w:r>
      <w:r w:rsidR="00E40F74" w:rsidRPr="00E40F74">
        <w:rPr>
          <w:sz w:val="20"/>
        </w:rPr>
        <w:t>cies, procedures and guidelines so they are user friendly and readily available.</w:t>
      </w:r>
    </w:p>
    <w:p w:rsidR="00057CB3" w:rsidRDefault="00057CB3" w:rsidP="00791ADD">
      <w:pPr>
        <w:pStyle w:val="Heading1"/>
        <w:spacing w:line="280" w:lineRule="atLeast"/>
      </w:pPr>
      <w:r w:rsidRPr="00C978B9">
        <w:t>Key</w:t>
      </w:r>
      <w:r w:rsidR="00E31CD3" w:rsidRPr="00C978B9">
        <w:t xml:space="preserve"> </w:t>
      </w:r>
      <w:r w:rsidR="00043B92">
        <w:t>c</w:t>
      </w:r>
      <w:r w:rsidRPr="00C978B9">
        <w:t>hallenges</w:t>
      </w:r>
    </w:p>
    <w:p w:rsidR="007C5C38" w:rsidRPr="002B2FFF" w:rsidRDefault="002B2FFF" w:rsidP="00791ADD">
      <w:pPr>
        <w:pStyle w:val="ListParagraph"/>
        <w:numPr>
          <w:ilvl w:val="0"/>
          <w:numId w:val="29"/>
        </w:numPr>
        <w:spacing w:before="60" w:after="60" w:line="280" w:lineRule="atLeast"/>
        <w:rPr>
          <w:sz w:val="20"/>
        </w:rPr>
      </w:pPr>
      <w:r w:rsidRPr="002B2FFF">
        <w:rPr>
          <w:sz w:val="20"/>
        </w:rPr>
        <w:t>Provision of timely and accurate specialist advice and reports to the Executive, Commissioner, Cluster and Minister on budgetary strategy, financial performance and emerging financial management issues and the formulation of corrective actions and solutions.</w:t>
      </w:r>
    </w:p>
    <w:p w:rsidR="003E3F50" w:rsidRDefault="002C1CAB" w:rsidP="00791ADD">
      <w:pPr>
        <w:pStyle w:val="ListParagraph"/>
        <w:numPr>
          <w:ilvl w:val="0"/>
          <w:numId w:val="29"/>
        </w:numPr>
        <w:spacing w:before="60" w:after="60" w:line="280" w:lineRule="atLeast"/>
        <w:rPr>
          <w:sz w:val="20"/>
        </w:rPr>
      </w:pPr>
      <w:r w:rsidRPr="002C1CAB">
        <w:rPr>
          <w:sz w:val="20"/>
        </w:rPr>
        <w:t>Ensure strategies, analysis and specialist advice on financial/risk management to Business Unit managers are against objectives and targets for corporate or cost centre financial performance.</w:t>
      </w:r>
    </w:p>
    <w:p w:rsidR="00213783" w:rsidRPr="002C1CAB" w:rsidRDefault="00213783" w:rsidP="00791ADD">
      <w:pPr>
        <w:pStyle w:val="ListParagraph"/>
        <w:numPr>
          <w:ilvl w:val="0"/>
          <w:numId w:val="29"/>
        </w:numPr>
        <w:spacing w:before="60" w:after="60" w:line="280" w:lineRule="atLeast"/>
        <w:rPr>
          <w:sz w:val="20"/>
        </w:rPr>
      </w:pPr>
      <w:r>
        <w:rPr>
          <w:sz w:val="20"/>
        </w:rPr>
        <w:t>Develop and maintain an effective rolling projection of expenditure and revenue, including analysis of variances.</w:t>
      </w:r>
    </w:p>
    <w:p w:rsidR="00057CB3" w:rsidRDefault="00043B92" w:rsidP="00057CB3">
      <w:pPr>
        <w:pStyle w:val="Heading1"/>
      </w:pPr>
      <w:bookmarkStart w:id="15" w:name="Challenges"/>
      <w:bookmarkEnd w:id="15"/>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930DD8" w:rsidRPr="00C978B9" w:rsidTr="0067196E">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930DD8" w:rsidRPr="00C978B9" w:rsidRDefault="00930DD8" w:rsidP="0067196E">
            <w:pPr>
              <w:pStyle w:val="TableTextWhite0"/>
            </w:pPr>
            <w:r w:rsidRPr="00C978B9">
              <w:t>Who</w:t>
            </w:r>
          </w:p>
        </w:tc>
        <w:tc>
          <w:tcPr>
            <w:tcW w:w="6946" w:type="dxa"/>
          </w:tcPr>
          <w:p w:rsidR="00930DD8" w:rsidRPr="00C978B9" w:rsidRDefault="00930DD8" w:rsidP="0067196E">
            <w:pPr>
              <w:pStyle w:val="TableTextWhite0"/>
            </w:pPr>
            <w:r w:rsidRPr="00C978B9">
              <w:t>Why</w:t>
            </w:r>
          </w:p>
        </w:tc>
      </w:tr>
      <w:tr w:rsidR="00930DD8" w:rsidRPr="00A8245E" w:rsidTr="0067196E">
        <w:trPr>
          <w:cantSplit/>
        </w:trPr>
        <w:tc>
          <w:tcPr>
            <w:tcW w:w="3601" w:type="dxa"/>
            <w:tcBorders>
              <w:top w:val="single" w:sz="8" w:space="0" w:color="auto"/>
              <w:bottom w:val="single" w:sz="8" w:space="0" w:color="auto"/>
            </w:tcBorders>
            <w:shd w:val="clear" w:color="auto" w:fill="BCBEC0"/>
          </w:tcPr>
          <w:p w:rsidR="00930DD8" w:rsidRPr="00A8245E" w:rsidRDefault="00930DD8" w:rsidP="0067196E">
            <w:pPr>
              <w:pStyle w:val="TableText"/>
              <w:keepNext/>
              <w:rPr>
                <w:b/>
              </w:rPr>
            </w:pPr>
            <w:r w:rsidRPr="00A8245E">
              <w:rPr>
                <w:b/>
              </w:rPr>
              <w:t>Internal</w:t>
            </w:r>
          </w:p>
        </w:tc>
        <w:tc>
          <w:tcPr>
            <w:tcW w:w="6946" w:type="dxa"/>
            <w:tcBorders>
              <w:top w:val="single" w:sz="8" w:space="0" w:color="auto"/>
              <w:bottom w:val="single" w:sz="8" w:space="0" w:color="auto"/>
            </w:tcBorders>
            <w:shd w:val="clear" w:color="auto" w:fill="BCBEC0"/>
          </w:tcPr>
          <w:p w:rsidR="00930DD8" w:rsidRPr="00A8245E" w:rsidRDefault="00930DD8" w:rsidP="0067196E">
            <w:pPr>
              <w:pStyle w:val="TableText"/>
              <w:keepNext/>
              <w:rPr>
                <w:b/>
              </w:rPr>
            </w:pPr>
          </w:p>
        </w:tc>
      </w:tr>
      <w:tr w:rsidR="00930DD8" w:rsidRPr="009178FD" w:rsidTr="0067196E">
        <w:tc>
          <w:tcPr>
            <w:tcW w:w="3601" w:type="dxa"/>
            <w:tcBorders>
              <w:top w:val="single" w:sz="8" w:space="0" w:color="auto"/>
              <w:bottom w:val="single" w:sz="8" w:space="0" w:color="BCBEC0"/>
            </w:tcBorders>
          </w:tcPr>
          <w:p w:rsidR="00930DD8" w:rsidRPr="009178FD" w:rsidRDefault="00930DD8" w:rsidP="0067196E">
            <w:pPr>
              <w:pStyle w:val="TableText"/>
            </w:pPr>
            <w:r w:rsidRPr="009178FD">
              <w:t>Chief Financial Officer and other members of the NSW RFS Senior Executive</w:t>
            </w:r>
          </w:p>
        </w:tc>
        <w:tc>
          <w:tcPr>
            <w:tcW w:w="6946" w:type="dxa"/>
            <w:tcBorders>
              <w:top w:val="single" w:sz="8" w:space="0" w:color="auto"/>
              <w:bottom w:val="single" w:sz="8" w:space="0" w:color="BCBEC0"/>
            </w:tcBorders>
          </w:tcPr>
          <w:p w:rsidR="00930DD8" w:rsidRPr="009178FD" w:rsidRDefault="00930DD8" w:rsidP="0067196E">
            <w:pPr>
              <w:rPr>
                <w:rFonts w:eastAsia="Arial" w:cs="Arial"/>
                <w:color w:val="000000"/>
                <w:sz w:val="20"/>
              </w:rPr>
            </w:pPr>
            <w:r>
              <w:rPr>
                <w:rFonts w:eastAsia="Arial" w:cs="Arial"/>
                <w:color w:val="000000"/>
                <w:sz w:val="20"/>
              </w:rPr>
              <w:t>Provide accurate specialist advice and reports on budgetary strategy, financial performance and emerging financial management issues.</w:t>
            </w:r>
          </w:p>
          <w:p w:rsidR="00930DD8" w:rsidRPr="009178FD" w:rsidRDefault="00930DD8" w:rsidP="0067196E">
            <w:pPr>
              <w:pStyle w:val="TableText"/>
            </w:pPr>
          </w:p>
        </w:tc>
      </w:tr>
      <w:tr w:rsidR="00930DD8" w:rsidRPr="00757D15" w:rsidTr="0067196E">
        <w:tc>
          <w:tcPr>
            <w:tcW w:w="3601" w:type="dxa"/>
            <w:tcBorders>
              <w:top w:val="single" w:sz="8" w:space="0" w:color="A6A6A6" w:themeColor="background1" w:themeShade="A6"/>
              <w:bottom w:val="single" w:sz="4" w:space="0" w:color="A6A6A6" w:themeColor="background1" w:themeShade="A6"/>
            </w:tcBorders>
          </w:tcPr>
          <w:p w:rsidR="00930DD8" w:rsidRDefault="00930DD8" w:rsidP="0067196E">
            <w:pPr>
              <w:pStyle w:val="TableText"/>
            </w:pPr>
            <w:r w:rsidRPr="009178FD">
              <w:t xml:space="preserve">NSW RFS members </w:t>
            </w:r>
          </w:p>
          <w:p w:rsidR="00930DD8" w:rsidRPr="009178FD" w:rsidRDefault="00930DD8" w:rsidP="0067196E">
            <w:pPr>
              <w:pStyle w:val="TableText"/>
            </w:pPr>
            <w:r w:rsidRPr="009178FD">
              <w:t>(staff and volunteer)</w:t>
            </w:r>
          </w:p>
        </w:tc>
        <w:tc>
          <w:tcPr>
            <w:tcW w:w="6946" w:type="dxa"/>
            <w:tcBorders>
              <w:top w:val="single" w:sz="8" w:space="0" w:color="A6A6A6" w:themeColor="background1" w:themeShade="A6"/>
              <w:bottom w:val="single" w:sz="4" w:space="0" w:color="A6A6A6" w:themeColor="background1" w:themeShade="A6"/>
            </w:tcBorders>
          </w:tcPr>
          <w:p w:rsidR="00930DD8" w:rsidRPr="00757D15" w:rsidRDefault="00930DD8" w:rsidP="00CE73E3">
            <w:pPr>
              <w:rPr>
                <w:rFonts w:eastAsia="Arial" w:cs="Arial"/>
                <w:color w:val="000000"/>
                <w:sz w:val="20"/>
              </w:rPr>
            </w:pPr>
            <w:r w:rsidRPr="009178FD">
              <w:rPr>
                <w:rFonts w:eastAsia="Arial" w:cs="Arial"/>
                <w:color w:val="000000"/>
                <w:sz w:val="20"/>
              </w:rPr>
              <w:t xml:space="preserve">Provide support, advice and information </w:t>
            </w:r>
            <w:r w:rsidR="00CE73E3">
              <w:rPr>
                <w:rFonts w:eastAsia="Arial" w:cs="Arial"/>
                <w:color w:val="000000"/>
                <w:sz w:val="20"/>
              </w:rPr>
              <w:t>to staff in respect of financial information</w:t>
            </w:r>
            <w:r>
              <w:rPr>
                <w:rFonts w:eastAsia="Arial" w:cs="Arial"/>
                <w:color w:val="000000"/>
                <w:sz w:val="20"/>
              </w:rPr>
              <w:t>.</w:t>
            </w:r>
          </w:p>
        </w:tc>
      </w:tr>
      <w:tr w:rsidR="00930DD8" w:rsidRPr="009178FD" w:rsidTr="0067196E">
        <w:tc>
          <w:tcPr>
            <w:tcW w:w="3601" w:type="dxa"/>
            <w:tcBorders>
              <w:top w:val="single" w:sz="4" w:space="0" w:color="A6A6A6" w:themeColor="background1" w:themeShade="A6"/>
              <w:bottom w:val="single" w:sz="8" w:space="0" w:color="auto"/>
            </w:tcBorders>
          </w:tcPr>
          <w:p w:rsidR="00930DD8" w:rsidRPr="009178FD" w:rsidRDefault="00930DD8" w:rsidP="0067196E">
            <w:pPr>
              <w:pStyle w:val="TableText"/>
            </w:pPr>
            <w:r>
              <w:t>Regional/ District Managers and Local Government</w:t>
            </w:r>
          </w:p>
        </w:tc>
        <w:tc>
          <w:tcPr>
            <w:tcW w:w="6946" w:type="dxa"/>
            <w:tcBorders>
              <w:top w:val="single" w:sz="4" w:space="0" w:color="A6A6A6" w:themeColor="background1" w:themeShade="A6"/>
              <w:bottom w:val="single" w:sz="8" w:space="0" w:color="auto"/>
            </w:tcBorders>
          </w:tcPr>
          <w:p w:rsidR="00930DD8" w:rsidRPr="009178FD" w:rsidRDefault="00930DD8" w:rsidP="0067196E">
            <w:pPr>
              <w:rPr>
                <w:rFonts w:eastAsia="Arial" w:cs="Arial"/>
                <w:color w:val="000000"/>
                <w:sz w:val="20"/>
              </w:rPr>
            </w:pPr>
            <w:r>
              <w:rPr>
                <w:rFonts w:eastAsia="Arial" w:cs="Arial"/>
                <w:color w:val="000000"/>
                <w:sz w:val="20"/>
              </w:rPr>
              <w:t>Liaise with respect to the development of and enquiries about District allocations.</w:t>
            </w:r>
          </w:p>
        </w:tc>
      </w:tr>
      <w:tr w:rsidR="00930DD8" w:rsidRPr="00A8245E" w:rsidTr="0067196E">
        <w:tc>
          <w:tcPr>
            <w:tcW w:w="3601" w:type="dxa"/>
            <w:tcBorders>
              <w:top w:val="single" w:sz="8" w:space="0" w:color="auto"/>
              <w:bottom w:val="single" w:sz="8" w:space="0" w:color="auto"/>
            </w:tcBorders>
            <w:shd w:val="clear" w:color="auto" w:fill="BCBEC0"/>
          </w:tcPr>
          <w:p w:rsidR="00930DD8" w:rsidRPr="00A8245E" w:rsidRDefault="00930DD8" w:rsidP="0067196E">
            <w:pPr>
              <w:pStyle w:val="TableText"/>
              <w:rPr>
                <w:b/>
              </w:rPr>
            </w:pPr>
            <w:r w:rsidRPr="00A8245E">
              <w:rPr>
                <w:b/>
              </w:rPr>
              <w:t>External</w:t>
            </w:r>
          </w:p>
        </w:tc>
        <w:tc>
          <w:tcPr>
            <w:tcW w:w="6946" w:type="dxa"/>
            <w:tcBorders>
              <w:top w:val="single" w:sz="8" w:space="0" w:color="auto"/>
              <w:bottom w:val="single" w:sz="8" w:space="0" w:color="auto"/>
            </w:tcBorders>
            <w:shd w:val="clear" w:color="auto" w:fill="BCBEC0"/>
          </w:tcPr>
          <w:p w:rsidR="00930DD8" w:rsidRPr="00A8245E" w:rsidRDefault="00930DD8" w:rsidP="0067196E">
            <w:pPr>
              <w:pStyle w:val="TableText"/>
              <w:rPr>
                <w:b/>
              </w:rPr>
            </w:pPr>
          </w:p>
        </w:tc>
      </w:tr>
      <w:tr w:rsidR="00930DD8" w:rsidRPr="002905EB" w:rsidTr="0067196E">
        <w:tc>
          <w:tcPr>
            <w:tcW w:w="3601" w:type="dxa"/>
            <w:tcBorders>
              <w:top w:val="single" w:sz="8" w:space="0" w:color="auto"/>
              <w:bottom w:val="single" w:sz="8" w:space="0" w:color="BFBFBF" w:themeColor="background1" w:themeShade="BF"/>
            </w:tcBorders>
          </w:tcPr>
          <w:p w:rsidR="00930DD8" w:rsidRDefault="00930DD8" w:rsidP="0067196E">
            <w:pPr>
              <w:pStyle w:val="TableText"/>
            </w:pPr>
            <w:r>
              <w:t>NSW Treasury/Audit Office</w:t>
            </w:r>
          </w:p>
        </w:tc>
        <w:tc>
          <w:tcPr>
            <w:tcW w:w="6946" w:type="dxa"/>
            <w:tcBorders>
              <w:top w:val="single" w:sz="8" w:space="0" w:color="auto"/>
              <w:bottom w:val="single" w:sz="8" w:space="0" w:color="BFBFBF" w:themeColor="background1" w:themeShade="BF"/>
            </w:tcBorders>
          </w:tcPr>
          <w:p w:rsidR="00930DD8" w:rsidRPr="002905EB" w:rsidRDefault="00930DD8" w:rsidP="0067196E">
            <w:pPr>
              <w:pStyle w:val="TableText"/>
              <w:rPr>
                <w:rFonts w:eastAsia="Arial" w:cs="Arial"/>
                <w:color w:val="000000"/>
              </w:rPr>
            </w:pPr>
            <w:r>
              <w:rPr>
                <w:rFonts w:eastAsia="Arial" w:cs="Arial"/>
                <w:color w:val="000000"/>
              </w:rPr>
              <w:t>Provide financial reports and ensure compliance.</w:t>
            </w:r>
          </w:p>
        </w:tc>
      </w:tr>
      <w:tr w:rsidR="00930DD8" w:rsidRPr="00A15CDB" w:rsidTr="0067196E">
        <w:tc>
          <w:tcPr>
            <w:tcW w:w="3601" w:type="dxa"/>
            <w:tcBorders>
              <w:top w:val="single" w:sz="8" w:space="0" w:color="BFBFBF" w:themeColor="background1" w:themeShade="BF"/>
              <w:bottom w:val="single" w:sz="4" w:space="0" w:color="auto"/>
            </w:tcBorders>
          </w:tcPr>
          <w:p w:rsidR="00930DD8" w:rsidRPr="00A15CDB" w:rsidRDefault="00930DD8" w:rsidP="0067196E">
            <w:pPr>
              <w:pStyle w:val="TableText"/>
            </w:pPr>
            <w:r>
              <w:t>Other Government Departments and Emergency Services Agencies</w:t>
            </w:r>
          </w:p>
        </w:tc>
        <w:tc>
          <w:tcPr>
            <w:tcW w:w="6946" w:type="dxa"/>
            <w:tcBorders>
              <w:top w:val="single" w:sz="8" w:space="0" w:color="BFBFBF" w:themeColor="background1" w:themeShade="BF"/>
              <w:bottom w:val="single" w:sz="4" w:space="0" w:color="auto"/>
            </w:tcBorders>
          </w:tcPr>
          <w:p w:rsidR="00930DD8" w:rsidRPr="00A15CDB" w:rsidRDefault="00930DD8" w:rsidP="0067196E">
            <w:pPr>
              <w:pStyle w:val="TableText"/>
            </w:pPr>
            <w:r w:rsidRPr="002905EB">
              <w:rPr>
                <w:rFonts w:eastAsia="Arial" w:cs="Arial"/>
                <w:color w:val="000000"/>
              </w:rPr>
              <w:t xml:space="preserve">The incumbent communicates with </w:t>
            </w:r>
            <w:r>
              <w:rPr>
                <w:rFonts w:eastAsia="Arial" w:cs="Arial"/>
                <w:color w:val="000000"/>
              </w:rPr>
              <w:t>other government agencies and kindred organisations about routine matters.</w:t>
            </w:r>
          </w:p>
        </w:tc>
      </w:tr>
    </w:tbl>
    <w:p w:rsidR="00930DD8" w:rsidRDefault="00930DD8" w:rsidP="00930DD8"/>
    <w:p w:rsidR="00057CB3" w:rsidRPr="00C978B9" w:rsidRDefault="0002436B" w:rsidP="00791ADD">
      <w:pPr>
        <w:pStyle w:val="Heading1"/>
        <w:spacing w:line="280" w:lineRule="atLeast"/>
      </w:pPr>
      <w:r w:rsidRPr="00C978B9">
        <w:t xml:space="preserve">Role </w:t>
      </w:r>
      <w:r w:rsidR="00043B92">
        <w:t>d</w:t>
      </w:r>
      <w:r w:rsidRPr="00C978B9">
        <w:t>imensions</w:t>
      </w:r>
    </w:p>
    <w:p w:rsidR="0002436B" w:rsidRDefault="001D133A" w:rsidP="00791ADD">
      <w:pPr>
        <w:pStyle w:val="Heading2"/>
        <w:spacing w:line="280" w:lineRule="atLeast"/>
      </w:pPr>
      <w:r w:rsidRPr="00C978B9">
        <w:t>Decision making</w:t>
      </w:r>
    </w:p>
    <w:p w:rsidR="00C956CC" w:rsidRPr="00C956CC" w:rsidRDefault="00C956CC" w:rsidP="00791ADD">
      <w:pPr>
        <w:pStyle w:val="ListParagraph"/>
        <w:numPr>
          <w:ilvl w:val="0"/>
          <w:numId w:val="37"/>
        </w:numPr>
        <w:spacing w:line="280" w:lineRule="atLeast"/>
        <w:ind w:left="284" w:hanging="284"/>
        <w:jc w:val="both"/>
        <w:rPr>
          <w:sz w:val="20"/>
        </w:rPr>
      </w:pPr>
      <w:bookmarkStart w:id="16" w:name="DecisionMaking"/>
      <w:bookmarkEnd w:id="16"/>
      <w:r>
        <w:rPr>
          <w:bCs/>
          <w:sz w:val="20"/>
        </w:rPr>
        <w:t>The incumbent is expected to comply with the Work Health and Safety Act and associated legislation in the performance of all duties.</w:t>
      </w:r>
    </w:p>
    <w:p w:rsidR="00E91AE0" w:rsidRPr="00AD394A" w:rsidRDefault="00E91AE0" w:rsidP="00791ADD">
      <w:pPr>
        <w:numPr>
          <w:ilvl w:val="0"/>
          <w:numId w:val="37"/>
        </w:numPr>
        <w:spacing w:before="120" w:after="0" w:line="280" w:lineRule="atLeast"/>
        <w:ind w:left="284" w:hanging="218"/>
        <w:rPr>
          <w:rFonts w:eastAsia="Arial" w:cs="Arial"/>
          <w:color w:val="000000"/>
          <w:sz w:val="20"/>
        </w:rPr>
      </w:pPr>
      <w:r w:rsidRPr="00AD394A">
        <w:rPr>
          <w:rFonts w:eastAsia="Arial" w:cs="Arial"/>
          <w:color w:val="000000"/>
          <w:sz w:val="20"/>
        </w:rPr>
        <w:t>The incumbent routinely makes their own decisions concerning assigned work and related matters based on audit outcomes and operating within standards, policies, procedures, best practice and relevant legislation.</w:t>
      </w:r>
    </w:p>
    <w:p w:rsidR="00E91AE0" w:rsidRPr="00AD394A" w:rsidRDefault="00E91AE0" w:rsidP="00791ADD">
      <w:pPr>
        <w:numPr>
          <w:ilvl w:val="0"/>
          <w:numId w:val="37"/>
        </w:numPr>
        <w:spacing w:before="120" w:after="0" w:line="280" w:lineRule="atLeast"/>
        <w:ind w:left="284" w:hanging="218"/>
        <w:rPr>
          <w:rFonts w:eastAsia="Arial" w:cs="Arial"/>
          <w:color w:val="000000"/>
          <w:sz w:val="20"/>
        </w:rPr>
      </w:pPr>
      <w:r w:rsidRPr="00AD394A">
        <w:rPr>
          <w:rFonts w:eastAsia="Arial" w:cs="Arial"/>
          <w:color w:val="000000"/>
          <w:sz w:val="20"/>
        </w:rPr>
        <w:t xml:space="preserve">It is expected that the </w:t>
      </w:r>
      <w:r>
        <w:rPr>
          <w:rFonts w:eastAsia="Arial" w:cs="Arial"/>
          <w:color w:val="000000"/>
          <w:sz w:val="20"/>
        </w:rPr>
        <w:t>incumbent</w:t>
      </w:r>
      <w:r w:rsidRPr="00AD394A">
        <w:rPr>
          <w:rFonts w:eastAsia="Arial" w:cs="Arial"/>
          <w:color w:val="000000"/>
          <w:sz w:val="20"/>
        </w:rPr>
        <w:t xml:space="preserve"> will research, identify, implement and validate appropriate responses to routine matters within their area of responsibility.</w:t>
      </w:r>
    </w:p>
    <w:p w:rsidR="00E91AE0" w:rsidRPr="00AD394A" w:rsidRDefault="00E91AE0" w:rsidP="00791ADD">
      <w:pPr>
        <w:numPr>
          <w:ilvl w:val="0"/>
          <w:numId w:val="37"/>
        </w:numPr>
        <w:spacing w:before="120" w:after="0" w:line="280" w:lineRule="atLeast"/>
        <w:ind w:left="284" w:hanging="218"/>
        <w:rPr>
          <w:rFonts w:eastAsia="Arial" w:cs="Arial"/>
          <w:color w:val="000000"/>
          <w:sz w:val="20"/>
        </w:rPr>
      </w:pPr>
      <w:r w:rsidRPr="00AD394A">
        <w:rPr>
          <w:rFonts w:eastAsia="Arial" w:cs="Arial"/>
          <w:color w:val="000000"/>
          <w:sz w:val="20"/>
        </w:rPr>
        <w:t>The role seeks advice about matters that may be outside the scope of their normal activities or that might attract significant criticism or concern.</w:t>
      </w:r>
    </w:p>
    <w:p w:rsidR="00E91AE0" w:rsidRDefault="00E91AE0" w:rsidP="00791ADD">
      <w:pPr>
        <w:pStyle w:val="Heading2"/>
        <w:spacing w:line="280" w:lineRule="atLeast"/>
      </w:pPr>
    </w:p>
    <w:p w:rsidR="001D133A" w:rsidRDefault="001D133A" w:rsidP="00791ADD">
      <w:pPr>
        <w:pStyle w:val="Heading2"/>
        <w:spacing w:line="280" w:lineRule="atLeast"/>
      </w:pPr>
      <w:r w:rsidRPr="00C978B9">
        <w:t>Reporting line</w:t>
      </w:r>
    </w:p>
    <w:p w:rsidR="001D133A" w:rsidRPr="00953CDE" w:rsidRDefault="00746AFD" w:rsidP="00791ADD">
      <w:pPr>
        <w:spacing w:line="280" w:lineRule="atLeast"/>
        <w:rPr>
          <w:sz w:val="20"/>
        </w:rPr>
      </w:pPr>
      <w:bookmarkStart w:id="17" w:name="ReportingLine"/>
      <w:bookmarkEnd w:id="17"/>
      <w:r w:rsidRPr="00953CDE">
        <w:rPr>
          <w:sz w:val="20"/>
        </w:rPr>
        <w:t>This role reports to the</w:t>
      </w:r>
      <w:r w:rsidR="00953CDE" w:rsidRPr="00953CDE">
        <w:rPr>
          <w:sz w:val="20"/>
        </w:rPr>
        <w:t xml:space="preserve"> Manager Management Accounting.</w:t>
      </w:r>
    </w:p>
    <w:p w:rsidR="001D133A" w:rsidRPr="00953CDE" w:rsidRDefault="001D133A" w:rsidP="00791ADD">
      <w:pPr>
        <w:pStyle w:val="Heading2"/>
        <w:spacing w:line="280" w:lineRule="atLeast"/>
      </w:pPr>
      <w:r w:rsidRPr="00953CDE">
        <w:t>Direct reports</w:t>
      </w:r>
    </w:p>
    <w:p w:rsidR="001D133A" w:rsidRPr="00746AFD" w:rsidRDefault="006C1CEC" w:rsidP="00791ADD">
      <w:pPr>
        <w:spacing w:line="280" w:lineRule="atLeast"/>
        <w:rPr>
          <w:sz w:val="20"/>
        </w:rPr>
      </w:pPr>
      <w:bookmarkStart w:id="18" w:name="DirectReports"/>
      <w:bookmarkEnd w:id="18"/>
      <w:r w:rsidRPr="00953CDE">
        <w:rPr>
          <w:sz w:val="20"/>
        </w:rPr>
        <w:t xml:space="preserve">The </w:t>
      </w:r>
      <w:r w:rsidR="00953CDE" w:rsidRPr="00953CDE">
        <w:rPr>
          <w:sz w:val="20"/>
        </w:rPr>
        <w:t xml:space="preserve">Management Accountant </w:t>
      </w:r>
      <w:r w:rsidR="0048231F" w:rsidRPr="00953CDE">
        <w:rPr>
          <w:sz w:val="20"/>
        </w:rPr>
        <w:t>has 1 direct report</w:t>
      </w:r>
      <w:r w:rsidRPr="00953CDE">
        <w:rPr>
          <w:sz w:val="20"/>
        </w:rPr>
        <w:t>.</w:t>
      </w:r>
    </w:p>
    <w:p w:rsidR="001D133A" w:rsidRDefault="001D133A" w:rsidP="00791ADD">
      <w:pPr>
        <w:pStyle w:val="Heading2"/>
        <w:spacing w:line="280" w:lineRule="atLeast"/>
      </w:pPr>
      <w:r w:rsidRPr="00C978B9">
        <w:lastRenderedPageBreak/>
        <w:t>Budget/Expenditure</w:t>
      </w:r>
    </w:p>
    <w:p w:rsidR="001D133A" w:rsidRPr="00746AFD" w:rsidRDefault="001A55B2" w:rsidP="00791ADD">
      <w:pPr>
        <w:spacing w:line="280" w:lineRule="atLeast"/>
        <w:rPr>
          <w:sz w:val="20"/>
        </w:rPr>
      </w:pPr>
      <w:bookmarkStart w:id="19" w:name="Budget"/>
      <w:bookmarkEnd w:id="19"/>
      <w:r w:rsidRPr="001A55B2">
        <w:rPr>
          <w:sz w:val="20"/>
        </w:rPr>
        <w:t>Nil</w:t>
      </w:r>
    </w:p>
    <w:p w:rsidR="001D133A" w:rsidRDefault="001D133A" w:rsidP="00791ADD">
      <w:pPr>
        <w:pStyle w:val="Heading1"/>
        <w:spacing w:line="280" w:lineRule="atLeast"/>
      </w:pPr>
      <w:r w:rsidRPr="00C978B9">
        <w:t>Essential requir</w:t>
      </w:r>
      <w:r w:rsidR="00E31CD3" w:rsidRPr="00C978B9">
        <w:t>e</w:t>
      </w:r>
      <w:r w:rsidRPr="00C978B9">
        <w:t>ments</w:t>
      </w:r>
    </w:p>
    <w:p w:rsidR="00AB5AB8" w:rsidRPr="00552A0B" w:rsidRDefault="00AB5AB8" w:rsidP="00791ADD">
      <w:pPr>
        <w:pStyle w:val="ListParagraph"/>
        <w:numPr>
          <w:ilvl w:val="0"/>
          <w:numId w:val="27"/>
        </w:numPr>
        <w:spacing w:line="280" w:lineRule="atLeast"/>
      </w:pPr>
      <w:bookmarkStart w:id="20" w:name="EssentialReqs"/>
      <w:bookmarkEnd w:id="20"/>
      <w:r>
        <w:rPr>
          <w:sz w:val="20"/>
        </w:rPr>
        <w:t xml:space="preserve">A Degree or Graduate Certificate </w:t>
      </w:r>
      <w:r w:rsidRPr="00BD4F35">
        <w:rPr>
          <w:sz w:val="20"/>
        </w:rPr>
        <w:t>in a relevant discipline</w:t>
      </w:r>
      <w:r>
        <w:rPr>
          <w:sz w:val="20"/>
        </w:rPr>
        <w:t>.</w:t>
      </w:r>
    </w:p>
    <w:p w:rsidR="00AB5AB8" w:rsidRPr="00954CB6" w:rsidRDefault="00AB5AB8" w:rsidP="00791ADD">
      <w:pPr>
        <w:pStyle w:val="ListParagraph"/>
        <w:numPr>
          <w:ilvl w:val="0"/>
          <w:numId w:val="27"/>
        </w:numPr>
        <w:spacing w:line="280" w:lineRule="atLeast"/>
      </w:pPr>
      <w:r>
        <w:rPr>
          <w:sz w:val="20"/>
        </w:rPr>
        <w:t>Current full membership of a professional accounting body.</w:t>
      </w:r>
    </w:p>
    <w:p w:rsidR="00E52902" w:rsidRPr="00E52902" w:rsidRDefault="00E52902" w:rsidP="00791ADD">
      <w:pPr>
        <w:pStyle w:val="ListParagraph"/>
        <w:numPr>
          <w:ilvl w:val="0"/>
          <w:numId w:val="27"/>
        </w:numPr>
        <w:spacing w:line="280" w:lineRule="atLeast"/>
      </w:pPr>
      <w:r>
        <w:rPr>
          <w:sz w:val="20"/>
        </w:rPr>
        <w:t>During periods of major fire activity, the incumbent may be required to support operational management activities consistent with their skills and background.</w:t>
      </w:r>
    </w:p>
    <w:p w:rsidR="001D133A" w:rsidRPr="00C978B9" w:rsidRDefault="001D133A" w:rsidP="00791ADD">
      <w:pPr>
        <w:pStyle w:val="Heading1"/>
        <w:spacing w:line="280" w:lineRule="atLeast"/>
      </w:pPr>
      <w:r w:rsidRPr="00C978B9">
        <w:t>Capabilities for the role</w:t>
      </w:r>
    </w:p>
    <w:p w:rsidR="00566E7B" w:rsidRDefault="00566E7B" w:rsidP="00791ADD">
      <w:pPr>
        <w:spacing w:line="280" w:lineRule="atLeast"/>
        <w:rPr>
          <w:rStyle w:val="Hyperlink"/>
        </w:rPr>
      </w:pPr>
      <w:r w:rsidRPr="00351685">
        <w:rPr>
          <w:sz w:val="20"/>
        </w:rPr>
        <w:t xml:space="preserve">The NSW Public Sector Capability Framework applies to all NSW public sector employees. The Capability Framework is available at </w:t>
      </w:r>
      <w:hyperlink r:id="rId8" w:history="1">
        <w:r w:rsidRPr="00351685">
          <w:rPr>
            <w:rStyle w:val="Hyperlink"/>
          </w:rPr>
          <w:t>www.psc.nsw.gov.au/capabilityframework</w:t>
        </w:r>
      </w:hyperlink>
    </w:p>
    <w:p w:rsidR="00F92DD1" w:rsidRPr="00351685" w:rsidRDefault="00F92DD1" w:rsidP="00F92DD1">
      <w:pPr>
        <w:spacing w:line="320" w:lineRule="atLeast"/>
        <w:jc w:val="both"/>
        <w:rPr>
          <w:sz w:val="20"/>
        </w:rPr>
      </w:pPr>
      <w:r>
        <w:rPr>
          <w:sz w:val="20"/>
        </w:rPr>
        <w:t xml:space="preserve">This role also utilises an occupation specific capability set </w:t>
      </w:r>
      <w:r>
        <w:rPr>
          <w:i/>
          <w:sz w:val="20"/>
        </w:rPr>
        <w:t xml:space="preserve">Finance </w:t>
      </w:r>
      <w:r>
        <w:t>-</w:t>
      </w:r>
      <w:r>
        <w:rPr>
          <w:sz w:val="20"/>
        </w:rPr>
        <w:t xml:space="preserve"> </w:t>
      </w:r>
      <w:hyperlink r:id="rId9" w:history="1">
        <w:r>
          <w:rPr>
            <w:rStyle w:val="Hyperlink"/>
          </w:rPr>
          <w:t>https://www.psc.nsw.gov.au/workforce-management/capability-framework/access-the-capability-framework/occupation-specific</w:t>
        </w:r>
      </w:hyperlink>
      <w:r>
        <w:rPr>
          <w:sz w:val="20"/>
        </w:rPr>
        <w:t xml:space="preserve"> </w:t>
      </w:r>
    </w:p>
    <w:p w:rsidR="001D133A" w:rsidRPr="00C978B9" w:rsidRDefault="001D133A" w:rsidP="00791ADD">
      <w:pPr>
        <w:pStyle w:val="Heading2"/>
        <w:spacing w:line="280" w:lineRule="atLeast"/>
      </w:pPr>
      <w:r w:rsidRPr="00C978B9">
        <w:t xml:space="preserve">Capability </w:t>
      </w:r>
      <w:r w:rsidR="00043B92">
        <w:t>s</w:t>
      </w:r>
      <w:r w:rsidRPr="00C978B9">
        <w:t>ummary</w:t>
      </w:r>
    </w:p>
    <w:p w:rsidR="00A82CC7" w:rsidRPr="00351685" w:rsidRDefault="00A82CC7" w:rsidP="00791ADD">
      <w:pPr>
        <w:spacing w:line="280" w:lineRule="atLeast"/>
        <w:rPr>
          <w:sz w:val="20"/>
        </w:rPr>
      </w:pPr>
      <w:r w:rsidRPr="00351685">
        <w:rPr>
          <w:sz w:val="20"/>
        </w:rPr>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78"/>
        <w:gridCol w:w="4815"/>
        <w:gridCol w:w="3495"/>
      </w:tblGrid>
      <w:tr w:rsidR="00F1011F" w:rsidRPr="00C978B9" w:rsidTr="00F1011F">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F1011F" w:rsidRPr="00C978B9" w:rsidRDefault="00F1011F" w:rsidP="00F1011F">
            <w:pPr>
              <w:pStyle w:val="TableTextWhite0"/>
            </w:pPr>
            <w:r w:rsidRPr="00C978B9">
              <w:t>NSW Public Sector Capability Framework</w:t>
            </w:r>
          </w:p>
        </w:tc>
      </w:tr>
      <w:tr w:rsidR="00F1011F" w:rsidRPr="00582E73" w:rsidTr="00F1011F">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F1011F" w:rsidRPr="00582E73" w:rsidRDefault="00F1011F" w:rsidP="00F1011F">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F1011F" w:rsidRPr="00582E73" w:rsidRDefault="00F1011F" w:rsidP="00F1011F">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F1011F" w:rsidRPr="00582E73" w:rsidRDefault="00F1011F" w:rsidP="00F1011F">
            <w:pPr>
              <w:pStyle w:val="TableText"/>
              <w:keepNext/>
              <w:rPr>
                <w:b/>
              </w:rPr>
            </w:pPr>
            <w:r w:rsidRPr="00582E73">
              <w:rPr>
                <w:b/>
              </w:rPr>
              <w:t>Level</w:t>
            </w:r>
          </w:p>
        </w:tc>
      </w:tr>
      <w:tr w:rsidR="00F1011F" w:rsidRPr="00C978B9" w:rsidTr="00F1011F">
        <w:tc>
          <w:tcPr>
            <w:tcW w:w="2184" w:type="dxa"/>
            <w:vMerge w:val="restart"/>
            <w:tcBorders>
              <w:top w:val="single" w:sz="8" w:space="0" w:color="BCBEC0"/>
            </w:tcBorders>
          </w:tcPr>
          <w:p w:rsidR="00F1011F" w:rsidRPr="00C978B9" w:rsidRDefault="00F1011F" w:rsidP="00F1011F">
            <w:pPr>
              <w:keepNext/>
            </w:pPr>
            <w:bookmarkStart w:id="21" w:name="Resilience" w:colFirst="1" w:colLast="2"/>
            <w:r w:rsidRPr="00C978B9">
              <w:rPr>
                <w:noProof/>
                <w:lang w:eastAsia="en-AU"/>
              </w:rPr>
              <w:drawing>
                <wp:inline distT="0" distB="0" distL="0" distR="0">
                  <wp:extent cx="885825" cy="8858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F1011F" w:rsidRPr="00C978B9" w:rsidRDefault="00F1011F" w:rsidP="00F1011F">
            <w:pPr>
              <w:pStyle w:val="TableText"/>
              <w:keepNext/>
              <w:rPr>
                <w:sz w:val="24"/>
                <w:szCs w:val="24"/>
              </w:rPr>
            </w:pPr>
            <w:r w:rsidRPr="00C978B9">
              <w:t>Display Resilience and Courage</w:t>
            </w:r>
          </w:p>
        </w:tc>
        <w:tc>
          <w:tcPr>
            <w:tcW w:w="3515" w:type="dxa"/>
            <w:tcBorders>
              <w:top w:val="single" w:sz="8" w:space="0" w:color="BCBEC0"/>
            </w:tcBorders>
          </w:tcPr>
          <w:p w:rsidR="00F1011F" w:rsidRPr="006B7D52" w:rsidRDefault="007A6CC6" w:rsidP="00F1011F">
            <w:pPr>
              <w:pStyle w:val="TableText"/>
              <w:keepNext/>
              <w:rPr>
                <w:b/>
              </w:rPr>
            </w:pPr>
            <w:bookmarkStart w:id="22" w:name="Resilience_Level"/>
            <w:bookmarkEnd w:id="22"/>
            <w:r>
              <w:t>Adept</w:t>
            </w:r>
          </w:p>
        </w:tc>
      </w:tr>
      <w:tr w:rsidR="00F1011F" w:rsidRPr="00C978B9" w:rsidTr="00F1011F">
        <w:tc>
          <w:tcPr>
            <w:tcW w:w="2184" w:type="dxa"/>
            <w:vMerge/>
          </w:tcPr>
          <w:p w:rsidR="00F1011F" w:rsidRPr="00C978B9" w:rsidRDefault="00F1011F" w:rsidP="00F1011F">
            <w:pPr>
              <w:keepNext/>
            </w:pPr>
            <w:bookmarkStart w:id="23" w:name="Integrity" w:colFirst="1" w:colLast="2"/>
            <w:bookmarkEnd w:id="21"/>
          </w:p>
        </w:tc>
        <w:tc>
          <w:tcPr>
            <w:tcW w:w="4846" w:type="dxa"/>
          </w:tcPr>
          <w:p w:rsidR="00F1011F" w:rsidRPr="00C978B9" w:rsidRDefault="00F1011F" w:rsidP="00F1011F">
            <w:pPr>
              <w:pStyle w:val="TableText"/>
              <w:keepNext/>
              <w:rPr>
                <w:sz w:val="24"/>
                <w:szCs w:val="24"/>
              </w:rPr>
            </w:pPr>
            <w:r w:rsidRPr="00C978B9">
              <w:t>Act with Integrity</w:t>
            </w:r>
          </w:p>
        </w:tc>
        <w:tc>
          <w:tcPr>
            <w:tcW w:w="3515" w:type="dxa"/>
          </w:tcPr>
          <w:p w:rsidR="00F1011F" w:rsidRPr="00A15CDB" w:rsidRDefault="007A6CC6" w:rsidP="00F1011F">
            <w:pPr>
              <w:pStyle w:val="TableText"/>
              <w:keepNext/>
            </w:pPr>
            <w:bookmarkStart w:id="24" w:name="Integrity_Level"/>
            <w:bookmarkEnd w:id="24"/>
            <w:r>
              <w:t>Intermediate</w:t>
            </w:r>
          </w:p>
        </w:tc>
      </w:tr>
      <w:tr w:rsidR="00F1011F" w:rsidRPr="00C978B9" w:rsidTr="00F1011F">
        <w:tc>
          <w:tcPr>
            <w:tcW w:w="2184" w:type="dxa"/>
            <w:vMerge/>
          </w:tcPr>
          <w:p w:rsidR="00F1011F" w:rsidRPr="00C978B9" w:rsidRDefault="00F1011F" w:rsidP="00F1011F">
            <w:pPr>
              <w:keepNext/>
            </w:pPr>
            <w:bookmarkStart w:id="25" w:name="Self" w:colFirst="1" w:colLast="2"/>
            <w:bookmarkEnd w:id="23"/>
          </w:p>
        </w:tc>
        <w:tc>
          <w:tcPr>
            <w:tcW w:w="4846" w:type="dxa"/>
          </w:tcPr>
          <w:p w:rsidR="00F1011F" w:rsidRPr="007D0EFD" w:rsidRDefault="00F1011F" w:rsidP="00F1011F">
            <w:pPr>
              <w:pStyle w:val="TableText"/>
              <w:keepNext/>
              <w:rPr>
                <w:b/>
                <w:sz w:val="24"/>
                <w:szCs w:val="24"/>
              </w:rPr>
            </w:pPr>
            <w:r w:rsidRPr="007D0EFD">
              <w:rPr>
                <w:b/>
              </w:rPr>
              <w:t>Manage Self</w:t>
            </w:r>
          </w:p>
        </w:tc>
        <w:tc>
          <w:tcPr>
            <w:tcW w:w="3515" w:type="dxa"/>
          </w:tcPr>
          <w:p w:rsidR="00F1011F" w:rsidRPr="00F720F9" w:rsidRDefault="002F705D" w:rsidP="00F1011F">
            <w:pPr>
              <w:pStyle w:val="TableText"/>
              <w:keepNext/>
              <w:rPr>
                <w:b/>
              </w:rPr>
            </w:pPr>
            <w:bookmarkStart w:id="26" w:name="Self_Level"/>
            <w:bookmarkEnd w:id="26"/>
            <w:r w:rsidRPr="00F720F9">
              <w:rPr>
                <w:b/>
              </w:rPr>
              <w:t>Ad</w:t>
            </w:r>
            <w:r w:rsidR="000B0D03" w:rsidRPr="00F720F9">
              <w:rPr>
                <w:b/>
              </w:rPr>
              <w:t>ept</w:t>
            </w:r>
          </w:p>
        </w:tc>
      </w:tr>
      <w:tr w:rsidR="00F1011F" w:rsidRPr="00C978B9" w:rsidTr="00F1011F">
        <w:tc>
          <w:tcPr>
            <w:tcW w:w="2184" w:type="dxa"/>
            <w:vMerge/>
            <w:tcBorders>
              <w:bottom w:val="single" w:sz="8" w:space="0" w:color="auto"/>
            </w:tcBorders>
          </w:tcPr>
          <w:p w:rsidR="00F1011F" w:rsidRPr="00C978B9" w:rsidRDefault="00F1011F" w:rsidP="00F1011F">
            <w:bookmarkStart w:id="27" w:name="Value" w:colFirst="1" w:colLast="2"/>
            <w:bookmarkEnd w:id="25"/>
          </w:p>
        </w:tc>
        <w:tc>
          <w:tcPr>
            <w:tcW w:w="4846" w:type="dxa"/>
            <w:tcBorders>
              <w:bottom w:val="single" w:sz="8" w:space="0" w:color="auto"/>
            </w:tcBorders>
          </w:tcPr>
          <w:p w:rsidR="00F1011F" w:rsidRPr="00C978B9" w:rsidRDefault="00F1011F" w:rsidP="00F1011F">
            <w:pPr>
              <w:pStyle w:val="TableText"/>
              <w:rPr>
                <w:sz w:val="24"/>
                <w:szCs w:val="24"/>
              </w:rPr>
            </w:pPr>
            <w:r w:rsidRPr="00C978B9">
              <w:t>Value Diversity</w:t>
            </w:r>
          </w:p>
        </w:tc>
        <w:tc>
          <w:tcPr>
            <w:tcW w:w="3515" w:type="dxa"/>
            <w:tcBorders>
              <w:bottom w:val="single" w:sz="8" w:space="0" w:color="auto"/>
            </w:tcBorders>
          </w:tcPr>
          <w:p w:rsidR="00F1011F" w:rsidRPr="00A15CDB" w:rsidRDefault="000B0D03" w:rsidP="00F1011F">
            <w:pPr>
              <w:pStyle w:val="TableText"/>
            </w:pPr>
            <w:bookmarkStart w:id="28" w:name="Value_Level"/>
            <w:bookmarkEnd w:id="28"/>
            <w:r>
              <w:t>Intermediate</w:t>
            </w:r>
          </w:p>
        </w:tc>
      </w:tr>
      <w:tr w:rsidR="00F1011F" w:rsidRPr="00C978B9" w:rsidTr="00F1011F">
        <w:tc>
          <w:tcPr>
            <w:tcW w:w="2184" w:type="dxa"/>
            <w:vMerge w:val="restart"/>
            <w:tcBorders>
              <w:top w:val="single" w:sz="8" w:space="0" w:color="auto"/>
            </w:tcBorders>
          </w:tcPr>
          <w:p w:rsidR="00F1011F" w:rsidRPr="00C978B9" w:rsidRDefault="00F1011F" w:rsidP="00F1011F">
            <w:pPr>
              <w:keepNext/>
            </w:pPr>
            <w:bookmarkStart w:id="29" w:name="Comm" w:colFirst="1" w:colLast="2"/>
            <w:bookmarkEnd w:id="27"/>
            <w:r w:rsidRPr="00C978B9">
              <w:rPr>
                <w:noProof/>
                <w:lang w:eastAsia="en-AU"/>
              </w:rPr>
              <w:drawing>
                <wp:inline distT="0" distB="0" distL="0" distR="0">
                  <wp:extent cx="881037" cy="881037"/>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F1011F" w:rsidRPr="007D0EFD" w:rsidRDefault="00F1011F" w:rsidP="00F1011F">
            <w:pPr>
              <w:pStyle w:val="TableText"/>
              <w:keepNext/>
              <w:rPr>
                <w:b/>
                <w:sz w:val="24"/>
                <w:szCs w:val="24"/>
              </w:rPr>
            </w:pPr>
            <w:r w:rsidRPr="007D0EFD">
              <w:rPr>
                <w:b/>
              </w:rPr>
              <w:t>Communicate Effectively</w:t>
            </w:r>
          </w:p>
        </w:tc>
        <w:tc>
          <w:tcPr>
            <w:tcW w:w="3515" w:type="dxa"/>
            <w:tcBorders>
              <w:top w:val="single" w:sz="8" w:space="0" w:color="auto"/>
              <w:bottom w:val="single" w:sz="8" w:space="0" w:color="BCBEC0"/>
            </w:tcBorders>
          </w:tcPr>
          <w:p w:rsidR="00F1011F" w:rsidRPr="00F720F9" w:rsidRDefault="007A6CC6" w:rsidP="00F1011F">
            <w:pPr>
              <w:pStyle w:val="TableText"/>
              <w:keepNext/>
              <w:rPr>
                <w:b/>
              </w:rPr>
            </w:pPr>
            <w:bookmarkStart w:id="30" w:name="Comm_Level"/>
            <w:bookmarkEnd w:id="30"/>
            <w:r w:rsidRPr="00F720F9">
              <w:rPr>
                <w:b/>
              </w:rPr>
              <w:t>Adept</w:t>
            </w:r>
          </w:p>
        </w:tc>
      </w:tr>
      <w:tr w:rsidR="00F1011F" w:rsidRPr="00C978B9" w:rsidTr="00F1011F">
        <w:tc>
          <w:tcPr>
            <w:tcW w:w="2184" w:type="dxa"/>
            <w:vMerge/>
          </w:tcPr>
          <w:p w:rsidR="00F1011F" w:rsidRPr="00C978B9" w:rsidRDefault="00F1011F" w:rsidP="00F1011F">
            <w:pPr>
              <w:keepNext/>
            </w:pPr>
            <w:bookmarkStart w:id="31" w:name="CustServ" w:colFirst="1" w:colLast="2"/>
            <w:bookmarkEnd w:id="29"/>
          </w:p>
        </w:tc>
        <w:tc>
          <w:tcPr>
            <w:tcW w:w="4846" w:type="dxa"/>
            <w:tcBorders>
              <w:top w:val="single" w:sz="8" w:space="0" w:color="BCBEC0"/>
            </w:tcBorders>
          </w:tcPr>
          <w:p w:rsidR="00F1011F" w:rsidRPr="00C978B9" w:rsidRDefault="00F1011F" w:rsidP="00F1011F">
            <w:pPr>
              <w:pStyle w:val="TableText"/>
              <w:keepNext/>
              <w:rPr>
                <w:sz w:val="24"/>
                <w:szCs w:val="24"/>
              </w:rPr>
            </w:pPr>
            <w:r w:rsidRPr="00C978B9">
              <w:t>Commit to Customer Service</w:t>
            </w:r>
          </w:p>
        </w:tc>
        <w:tc>
          <w:tcPr>
            <w:tcW w:w="3515" w:type="dxa"/>
            <w:tcBorders>
              <w:top w:val="single" w:sz="8" w:space="0" w:color="BCBEC0"/>
            </w:tcBorders>
          </w:tcPr>
          <w:p w:rsidR="00F1011F" w:rsidRPr="0071565E" w:rsidRDefault="00C37C6D" w:rsidP="00F1011F">
            <w:pPr>
              <w:pStyle w:val="TableText"/>
              <w:keepNext/>
            </w:pPr>
            <w:bookmarkStart w:id="32" w:name="CustServ_Level"/>
            <w:bookmarkEnd w:id="32"/>
            <w:r>
              <w:t>Intermediate</w:t>
            </w:r>
          </w:p>
        </w:tc>
      </w:tr>
      <w:tr w:rsidR="00F1011F" w:rsidRPr="00C978B9" w:rsidTr="00F1011F">
        <w:tc>
          <w:tcPr>
            <w:tcW w:w="2184" w:type="dxa"/>
            <w:vMerge/>
          </w:tcPr>
          <w:p w:rsidR="00F1011F" w:rsidRPr="00C978B9" w:rsidRDefault="00F1011F" w:rsidP="00F1011F">
            <w:pPr>
              <w:keepNext/>
            </w:pPr>
            <w:bookmarkStart w:id="33" w:name="Work_Col" w:colFirst="1" w:colLast="2"/>
            <w:bookmarkEnd w:id="31"/>
          </w:p>
        </w:tc>
        <w:tc>
          <w:tcPr>
            <w:tcW w:w="4846" w:type="dxa"/>
          </w:tcPr>
          <w:p w:rsidR="00F1011F" w:rsidRPr="00C978B9" w:rsidRDefault="00F1011F" w:rsidP="00F1011F">
            <w:pPr>
              <w:pStyle w:val="TableText"/>
              <w:keepNext/>
              <w:rPr>
                <w:sz w:val="24"/>
                <w:szCs w:val="24"/>
              </w:rPr>
            </w:pPr>
            <w:r w:rsidRPr="00C978B9">
              <w:t>Work Collaboratively</w:t>
            </w:r>
          </w:p>
        </w:tc>
        <w:tc>
          <w:tcPr>
            <w:tcW w:w="3515" w:type="dxa"/>
          </w:tcPr>
          <w:p w:rsidR="00F1011F" w:rsidRPr="002F705D" w:rsidRDefault="002F705D" w:rsidP="00F1011F">
            <w:pPr>
              <w:pStyle w:val="TableText"/>
              <w:keepNext/>
            </w:pPr>
            <w:bookmarkStart w:id="34" w:name="Work_Col_Level"/>
            <w:bookmarkEnd w:id="34"/>
            <w:r>
              <w:t>Ad</w:t>
            </w:r>
            <w:r w:rsidR="00DE6241">
              <w:t>ept</w:t>
            </w:r>
          </w:p>
        </w:tc>
      </w:tr>
      <w:tr w:rsidR="00F1011F" w:rsidRPr="00C978B9" w:rsidTr="00F1011F">
        <w:tc>
          <w:tcPr>
            <w:tcW w:w="2184" w:type="dxa"/>
            <w:vMerge/>
            <w:tcBorders>
              <w:bottom w:val="single" w:sz="8" w:space="0" w:color="auto"/>
            </w:tcBorders>
          </w:tcPr>
          <w:p w:rsidR="00F1011F" w:rsidRPr="00C978B9" w:rsidRDefault="00F1011F" w:rsidP="00F1011F">
            <w:bookmarkStart w:id="35" w:name="Negotiate" w:colFirst="1" w:colLast="2"/>
            <w:bookmarkEnd w:id="33"/>
          </w:p>
        </w:tc>
        <w:tc>
          <w:tcPr>
            <w:tcW w:w="4846" w:type="dxa"/>
            <w:tcBorders>
              <w:bottom w:val="single" w:sz="8" w:space="0" w:color="auto"/>
            </w:tcBorders>
          </w:tcPr>
          <w:p w:rsidR="00F1011F" w:rsidRPr="00C978B9" w:rsidRDefault="00F1011F" w:rsidP="00F1011F">
            <w:pPr>
              <w:pStyle w:val="TableText"/>
              <w:rPr>
                <w:sz w:val="24"/>
                <w:szCs w:val="24"/>
              </w:rPr>
            </w:pPr>
            <w:r w:rsidRPr="00C978B9">
              <w:rPr>
                <w:bCs/>
              </w:rPr>
              <w:t>Influence and Negotiate</w:t>
            </w:r>
          </w:p>
        </w:tc>
        <w:tc>
          <w:tcPr>
            <w:tcW w:w="3515" w:type="dxa"/>
            <w:tcBorders>
              <w:bottom w:val="single" w:sz="8" w:space="0" w:color="auto"/>
            </w:tcBorders>
          </w:tcPr>
          <w:p w:rsidR="00F1011F" w:rsidRPr="00E52902" w:rsidRDefault="00C37C6D" w:rsidP="00F1011F">
            <w:pPr>
              <w:pStyle w:val="TableText"/>
            </w:pPr>
            <w:bookmarkStart w:id="36" w:name="Negotiate_Level"/>
            <w:bookmarkEnd w:id="36"/>
            <w:r>
              <w:t>Intermediate</w:t>
            </w:r>
          </w:p>
        </w:tc>
      </w:tr>
      <w:tr w:rsidR="00F1011F" w:rsidRPr="00C978B9" w:rsidTr="00F1011F">
        <w:tc>
          <w:tcPr>
            <w:tcW w:w="2184" w:type="dxa"/>
            <w:vMerge w:val="restart"/>
            <w:tcBorders>
              <w:top w:val="single" w:sz="8" w:space="0" w:color="auto"/>
            </w:tcBorders>
          </w:tcPr>
          <w:p w:rsidR="00F1011F" w:rsidRPr="00C978B9" w:rsidRDefault="00F1011F" w:rsidP="00F1011F">
            <w:pPr>
              <w:keepNext/>
            </w:pPr>
            <w:bookmarkStart w:id="37" w:name="Deliver" w:colFirst="1" w:colLast="2"/>
            <w:bookmarkEnd w:id="35"/>
            <w:r w:rsidRPr="00C978B9">
              <w:rPr>
                <w:noProof/>
                <w:lang w:eastAsia="en-AU"/>
              </w:rPr>
              <w:drawing>
                <wp:inline distT="0" distB="0" distL="0" distR="0">
                  <wp:extent cx="881037" cy="881037"/>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F1011F" w:rsidRPr="00C978B9" w:rsidRDefault="00F1011F" w:rsidP="00F1011F">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F1011F" w:rsidRPr="0071565E" w:rsidRDefault="002F705D" w:rsidP="00F1011F">
            <w:pPr>
              <w:pStyle w:val="TableText"/>
              <w:keepNext/>
            </w:pPr>
            <w:bookmarkStart w:id="38" w:name="Deliver_Level"/>
            <w:bookmarkEnd w:id="38"/>
            <w:r w:rsidRPr="0071565E">
              <w:t>Adept</w:t>
            </w:r>
          </w:p>
        </w:tc>
      </w:tr>
      <w:tr w:rsidR="00F1011F" w:rsidRPr="00C978B9" w:rsidTr="00F1011F">
        <w:tc>
          <w:tcPr>
            <w:tcW w:w="2184" w:type="dxa"/>
            <w:vMerge/>
          </w:tcPr>
          <w:p w:rsidR="00F1011F" w:rsidRPr="00C978B9" w:rsidRDefault="00F1011F" w:rsidP="00F1011F">
            <w:pPr>
              <w:keepNext/>
            </w:pPr>
            <w:bookmarkStart w:id="39" w:name="Plan" w:colFirst="1" w:colLast="2"/>
            <w:bookmarkEnd w:id="37"/>
          </w:p>
        </w:tc>
        <w:tc>
          <w:tcPr>
            <w:tcW w:w="4846" w:type="dxa"/>
            <w:tcBorders>
              <w:top w:val="single" w:sz="8" w:space="0" w:color="BCBEC0"/>
            </w:tcBorders>
          </w:tcPr>
          <w:p w:rsidR="00F1011F" w:rsidRPr="00C978B9" w:rsidRDefault="00F1011F" w:rsidP="00F1011F">
            <w:pPr>
              <w:pStyle w:val="TableText"/>
              <w:keepNext/>
              <w:rPr>
                <w:sz w:val="24"/>
                <w:szCs w:val="24"/>
              </w:rPr>
            </w:pPr>
            <w:r w:rsidRPr="00C978B9">
              <w:rPr>
                <w:bCs/>
              </w:rPr>
              <w:t>Plan and Prioritise</w:t>
            </w:r>
          </w:p>
        </w:tc>
        <w:tc>
          <w:tcPr>
            <w:tcW w:w="3515" w:type="dxa"/>
            <w:tcBorders>
              <w:top w:val="single" w:sz="8" w:space="0" w:color="BCBEC0"/>
            </w:tcBorders>
          </w:tcPr>
          <w:p w:rsidR="00F1011F" w:rsidRPr="002F705D" w:rsidRDefault="002F705D" w:rsidP="00F1011F">
            <w:pPr>
              <w:pStyle w:val="TableText"/>
              <w:keepNext/>
            </w:pPr>
            <w:bookmarkStart w:id="40" w:name="Plan_Level"/>
            <w:bookmarkEnd w:id="40"/>
            <w:r>
              <w:t>Adept</w:t>
            </w:r>
          </w:p>
        </w:tc>
      </w:tr>
      <w:tr w:rsidR="00F1011F" w:rsidRPr="00C978B9" w:rsidTr="00F1011F">
        <w:tc>
          <w:tcPr>
            <w:tcW w:w="2184" w:type="dxa"/>
            <w:vMerge/>
          </w:tcPr>
          <w:p w:rsidR="00F1011F" w:rsidRPr="00C978B9" w:rsidRDefault="00F1011F" w:rsidP="00F1011F">
            <w:pPr>
              <w:keepNext/>
            </w:pPr>
            <w:bookmarkStart w:id="41" w:name="Think" w:colFirst="1" w:colLast="2"/>
            <w:bookmarkEnd w:id="39"/>
          </w:p>
        </w:tc>
        <w:tc>
          <w:tcPr>
            <w:tcW w:w="4846" w:type="dxa"/>
          </w:tcPr>
          <w:p w:rsidR="00F1011F" w:rsidRPr="007D0EFD" w:rsidRDefault="00F1011F" w:rsidP="00F1011F">
            <w:pPr>
              <w:pStyle w:val="TableText"/>
              <w:keepNext/>
              <w:rPr>
                <w:b/>
                <w:sz w:val="24"/>
                <w:szCs w:val="24"/>
              </w:rPr>
            </w:pPr>
            <w:r w:rsidRPr="007D0EFD">
              <w:rPr>
                <w:b/>
                <w:bCs/>
              </w:rPr>
              <w:t>Think and Solve Problems</w:t>
            </w:r>
          </w:p>
        </w:tc>
        <w:tc>
          <w:tcPr>
            <w:tcW w:w="3515" w:type="dxa"/>
          </w:tcPr>
          <w:p w:rsidR="00F1011F" w:rsidRPr="0071565E" w:rsidRDefault="002F705D" w:rsidP="00F1011F">
            <w:pPr>
              <w:pStyle w:val="TableText"/>
              <w:keepNext/>
              <w:rPr>
                <w:b/>
              </w:rPr>
            </w:pPr>
            <w:bookmarkStart w:id="42" w:name="Think_Level"/>
            <w:bookmarkEnd w:id="42"/>
            <w:r w:rsidRPr="0071565E">
              <w:rPr>
                <w:b/>
              </w:rPr>
              <w:t>Ad</w:t>
            </w:r>
            <w:r w:rsidR="00C37C6D">
              <w:rPr>
                <w:b/>
              </w:rPr>
              <w:t>ept</w:t>
            </w:r>
          </w:p>
        </w:tc>
      </w:tr>
      <w:tr w:rsidR="00F1011F" w:rsidRPr="00C978B9" w:rsidTr="00F1011F">
        <w:tc>
          <w:tcPr>
            <w:tcW w:w="2184" w:type="dxa"/>
            <w:vMerge/>
            <w:tcBorders>
              <w:bottom w:val="single" w:sz="8" w:space="0" w:color="auto"/>
            </w:tcBorders>
          </w:tcPr>
          <w:p w:rsidR="00F1011F" w:rsidRPr="00C978B9" w:rsidRDefault="00F1011F" w:rsidP="00F1011F">
            <w:bookmarkStart w:id="43" w:name="Account" w:colFirst="1" w:colLast="2"/>
            <w:bookmarkEnd w:id="41"/>
          </w:p>
        </w:tc>
        <w:tc>
          <w:tcPr>
            <w:tcW w:w="4846" w:type="dxa"/>
            <w:tcBorders>
              <w:bottom w:val="single" w:sz="8" w:space="0" w:color="auto"/>
            </w:tcBorders>
          </w:tcPr>
          <w:p w:rsidR="00F1011F" w:rsidRPr="00C978B9" w:rsidRDefault="00F1011F" w:rsidP="00F1011F">
            <w:pPr>
              <w:pStyle w:val="TableText"/>
              <w:rPr>
                <w:sz w:val="24"/>
                <w:szCs w:val="24"/>
              </w:rPr>
            </w:pPr>
            <w:r w:rsidRPr="00C978B9">
              <w:t>Demonstrate Accountability</w:t>
            </w:r>
          </w:p>
        </w:tc>
        <w:tc>
          <w:tcPr>
            <w:tcW w:w="3515" w:type="dxa"/>
            <w:tcBorders>
              <w:bottom w:val="single" w:sz="8" w:space="0" w:color="auto"/>
            </w:tcBorders>
          </w:tcPr>
          <w:p w:rsidR="00F1011F" w:rsidRPr="00C978B9" w:rsidRDefault="00C37C6D" w:rsidP="00F1011F">
            <w:pPr>
              <w:pStyle w:val="TableText"/>
            </w:pPr>
            <w:bookmarkStart w:id="44" w:name="Account_Level"/>
            <w:bookmarkEnd w:id="44"/>
            <w:r>
              <w:t>Intermediate</w:t>
            </w:r>
          </w:p>
        </w:tc>
      </w:tr>
      <w:tr w:rsidR="00F1011F" w:rsidRPr="00C978B9" w:rsidTr="00F1011F">
        <w:tc>
          <w:tcPr>
            <w:tcW w:w="2184" w:type="dxa"/>
            <w:vMerge w:val="restart"/>
            <w:tcBorders>
              <w:top w:val="single" w:sz="8" w:space="0" w:color="auto"/>
            </w:tcBorders>
          </w:tcPr>
          <w:p w:rsidR="00F1011F" w:rsidRPr="00C978B9" w:rsidRDefault="00F1011F" w:rsidP="00F1011F">
            <w:pPr>
              <w:keepNext/>
            </w:pPr>
            <w:bookmarkStart w:id="45" w:name="Fin" w:colFirst="1" w:colLast="2"/>
            <w:bookmarkEnd w:id="43"/>
            <w:r w:rsidRPr="00C978B9">
              <w:rPr>
                <w:noProof/>
                <w:lang w:eastAsia="en-AU"/>
              </w:rPr>
              <w:drawing>
                <wp:inline distT="0" distB="0" distL="0" distR="0">
                  <wp:extent cx="881037" cy="88103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F1011F" w:rsidRPr="007D0EFD" w:rsidRDefault="00F1011F" w:rsidP="00F1011F">
            <w:pPr>
              <w:pStyle w:val="TableText"/>
              <w:keepNext/>
              <w:rPr>
                <w:b/>
                <w:sz w:val="24"/>
                <w:szCs w:val="24"/>
              </w:rPr>
            </w:pPr>
            <w:r w:rsidRPr="007D0EFD">
              <w:rPr>
                <w:b/>
              </w:rPr>
              <w:t>Finance</w:t>
            </w:r>
          </w:p>
        </w:tc>
        <w:tc>
          <w:tcPr>
            <w:tcW w:w="3515" w:type="dxa"/>
            <w:tcBorders>
              <w:top w:val="single" w:sz="8" w:space="0" w:color="auto"/>
              <w:bottom w:val="single" w:sz="8" w:space="0" w:color="BCBEC0"/>
            </w:tcBorders>
          </w:tcPr>
          <w:p w:rsidR="00F1011F" w:rsidRPr="00C76A0C" w:rsidRDefault="00C76A0C" w:rsidP="00F1011F">
            <w:pPr>
              <w:pStyle w:val="TableText"/>
              <w:keepNext/>
              <w:rPr>
                <w:b/>
              </w:rPr>
            </w:pPr>
            <w:bookmarkStart w:id="46" w:name="Fin_Level"/>
            <w:bookmarkEnd w:id="46"/>
            <w:r w:rsidRPr="00C76A0C">
              <w:rPr>
                <w:b/>
              </w:rPr>
              <w:t>Ad</w:t>
            </w:r>
            <w:r w:rsidR="00C37C6D">
              <w:rPr>
                <w:b/>
              </w:rPr>
              <w:t>ept</w:t>
            </w:r>
          </w:p>
        </w:tc>
      </w:tr>
      <w:tr w:rsidR="00F1011F" w:rsidRPr="00C978B9" w:rsidTr="00F1011F">
        <w:tc>
          <w:tcPr>
            <w:tcW w:w="2184" w:type="dxa"/>
            <w:vMerge/>
          </w:tcPr>
          <w:p w:rsidR="00F1011F" w:rsidRPr="00C978B9" w:rsidRDefault="00F1011F" w:rsidP="00F1011F">
            <w:pPr>
              <w:keepNext/>
            </w:pPr>
            <w:bookmarkStart w:id="47" w:name="Tech" w:colFirst="1" w:colLast="2"/>
            <w:bookmarkEnd w:id="45"/>
          </w:p>
        </w:tc>
        <w:tc>
          <w:tcPr>
            <w:tcW w:w="4846" w:type="dxa"/>
            <w:tcBorders>
              <w:top w:val="single" w:sz="8" w:space="0" w:color="BCBEC0"/>
            </w:tcBorders>
          </w:tcPr>
          <w:p w:rsidR="00F1011F" w:rsidRPr="007D0EFD" w:rsidRDefault="00F1011F" w:rsidP="00F1011F">
            <w:pPr>
              <w:pStyle w:val="TableText"/>
              <w:keepNext/>
              <w:rPr>
                <w:b/>
                <w:sz w:val="24"/>
                <w:szCs w:val="24"/>
              </w:rPr>
            </w:pPr>
            <w:r w:rsidRPr="007D0EFD">
              <w:rPr>
                <w:b/>
                <w:bCs/>
              </w:rPr>
              <w:t>Technology</w:t>
            </w:r>
          </w:p>
        </w:tc>
        <w:tc>
          <w:tcPr>
            <w:tcW w:w="3515" w:type="dxa"/>
            <w:tcBorders>
              <w:top w:val="single" w:sz="8" w:space="0" w:color="BCBEC0"/>
            </w:tcBorders>
          </w:tcPr>
          <w:p w:rsidR="00F1011F" w:rsidRPr="00F720F9" w:rsidRDefault="007A6CC6" w:rsidP="00F1011F">
            <w:pPr>
              <w:pStyle w:val="TableText"/>
              <w:keepNext/>
              <w:rPr>
                <w:b/>
              </w:rPr>
            </w:pPr>
            <w:bookmarkStart w:id="48" w:name="Tech_Level"/>
            <w:bookmarkEnd w:id="48"/>
            <w:r w:rsidRPr="00F720F9">
              <w:rPr>
                <w:b/>
              </w:rPr>
              <w:t>Adept</w:t>
            </w:r>
          </w:p>
        </w:tc>
      </w:tr>
      <w:tr w:rsidR="007A6CC6" w:rsidRPr="00C978B9" w:rsidTr="00F1011F">
        <w:tc>
          <w:tcPr>
            <w:tcW w:w="2184" w:type="dxa"/>
            <w:vMerge/>
          </w:tcPr>
          <w:p w:rsidR="007A6CC6" w:rsidRPr="00C978B9" w:rsidRDefault="007A6CC6" w:rsidP="00F1011F">
            <w:pPr>
              <w:keepNext/>
            </w:pPr>
            <w:bookmarkStart w:id="49" w:name="Procure" w:colFirst="1" w:colLast="2"/>
            <w:bookmarkEnd w:id="47"/>
          </w:p>
        </w:tc>
        <w:tc>
          <w:tcPr>
            <w:tcW w:w="4846" w:type="dxa"/>
          </w:tcPr>
          <w:p w:rsidR="007A6CC6" w:rsidRPr="00C978B9" w:rsidRDefault="007A6CC6" w:rsidP="00F1011F">
            <w:pPr>
              <w:pStyle w:val="TableText"/>
              <w:keepNext/>
              <w:rPr>
                <w:sz w:val="24"/>
                <w:szCs w:val="24"/>
              </w:rPr>
            </w:pPr>
            <w:r w:rsidRPr="00C978B9">
              <w:t>Procurement and Contract Management</w:t>
            </w:r>
          </w:p>
        </w:tc>
        <w:tc>
          <w:tcPr>
            <w:tcW w:w="3515" w:type="dxa"/>
          </w:tcPr>
          <w:p w:rsidR="007A6CC6" w:rsidRPr="007A6CC6" w:rsidRDefault="007A6CC6">
            <w:pPr>
              <w:rPr>
                <w:sz w:val="20"/>
              </w:rPr>
            </w:pPr>
            <w:bookmarkStart w:id="50" w:name="Procure_Level"/>
            <w:bookmarkEnd w:id="50"/>
            <w:r w:rsidRPr="007A6CC6">
              <w:rPr>
                <w:sz w:val="20"/>
              </w:rPr>
              <w:t>Intermediate</w:t>
            </w:r>
          </w:p>
        </w:tc>
      </w:tr>
      <w:tr w:rsidR="007A6CC6" w:rsidRPr="00C978B9" w:rsidTr="00F1011F">
        <w:tc>
          <w:tcPr>
            <w:tcW w:w="2184" w:type="dxa"/>
            <w:vMerge/>
            <w:tcBorders>
              <w:bottom w:val="single" w:sz="8" w:space="0" w:color="auto"/>
            </w:tcBorders>
          </w:tcPr>
          <w:p w:rsidR="007A6CC6" w:rsidRPr="00C978B9" w:rsidRDefault="007A6CC6" w:rsidP="00F1011F">
            <w:bookmarkStart w:id="51" w:name="Project" w:colFirst="1" w:colLast="2"/>
            <w:bookmarkEnd w:id="49"/>
          </w:p>
        </w:tc>
        <w:tc>
          <w:tcPr>
            <w:tcW w:w="4846" w:type="dxa"/>
            <w:tcBorders>
              <w:bottom w:val="single" w:sz="8" w:space="0" w:color="auto"/>
            </w:tcBorders>
          </w:tcPr>
          <w:p w:rsidR="007A6CC6" w:rsidRPr="00C978B9" w:rsidRDefault="007A6CC6" w:rsidP="00F1011F">
            <w:pPr>
              <w:pStyle w:val="TableText"/>
              <w:rPr>
                <w:sz w:val="24"/>
                <w:szCs w:val="24"/>
              </w:rPr>
            </w:pPr>
            <w:r w:rsidRPr="00C978B9">
              <w:t>Project Management</w:t>
            </w:r>
          </w:p>
        </w:tc>
        <w:tc>
          <w:tcPr>
            <w:tcW w:w="3515" w:type="dxa"/>
            <w:tcBorders>
              <w:bottom w:val="single" w:sz="8" w:space="0" w:color="auto"/>
            </w:tcBorders>
          </w:tcPr>
          <w:p w:rsidR="007A6CC6" w:rsidRPr="007A6CC6" w:rsidRDefault="007A6CC6">
            <w:pPr>
              <w:rPr>
                <w:sz w:val="20"/>
              </w:rPr>
            </w:pPr>
            <w:bookmarkStart w:id="52" w:name="Project_Level"/>
            <w:bookmarkEnd w:id="52"/>
            <w:r w:rsidRPr="007A6CC6">
              <w:rPr>
                <w:sz w:val="20"/>
              </w:rPr>
              <w:t>Intermediate</w:t>
            </w:r>
          </w:p>
        </w:tc>
      </w:tr>
      <w:bookmarkEnd w:id="51"/>
      <w:tr w:rsidR="0044530A" w:rsidRPr="00B345B2" w:rsidTr="0044530A">
        <w:tc>
          <w:tcPr>
            <w:tcW w:w="2184" w:type="dxa"/>
            <w:vMerge w:val="restart"/>
          </w:tcPr>
          <w:p w:rsidR="0044530A" w:rsidRPr="00F1011F" w:rsidRDefault="0044530A" w:rsidP="00E6739E">
            <w:pPr>
              <w:keepNext/>
            </w:pPr>
            <w:r w:rsidRPr="00F1011F">
              <w:rPr>
                <w:noProof/>
                <w:lang w:eastAsia="en-AU"/>
              </w:rPr>
              <w:lastRenderedPageBreak/>
              <w:drawing>
                <wp:inline distT="0" distB="0" distL="0" distR="0">
                  <wp:extent cx="881037" cy="881037"/>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Pr>
          <w:p w:rsidR="0044530A" w:rsidRPr="00C978B9" w:rsidRDefault="0044530A" w:rsidP="00E6739E">
            <w:pPr>
              <w:pStyle w:val="TableText"/>
              <w:keepNext/>
              <w:rPr>
                <w:sz w:val="24"/>
                <w:szCs w:val="24"/>
              </w:rPr>
            </w:pPr>
            <w:r w:rsidRPr="00F1011F">
              <w:t>Manage and Develop People</w:t>
            </w:r>
          </w:p>
        </w:tc>
        <w:tc>
          <w:tcPr>
            <w:tcW w:w="3515" w:type="dxa"/>
          </w:tcPr>
          <w:p w:rsidR="0044530A" w:rsidRPr="00B345B2" w:rsidRDefault="0044530A" w:rsidP="00E6739E">
            <w:pPr>
              <w:pStyle w:val="TableText"/>
              <w:keepNext/>
            </w:pPr>
            <w:bookmarkStart w:id="53" w:name="Develop_Level"/>
            <w:bookmarkEnd w:id="53"/>
            <w:r w:rsidRPr="00B345B2">
              <w:t>Intermediate</w:t>
            </w:r>
          </w:p>
        </w:tc>
      </w:tr>
      <w:tr w:rsidR="0044530A" w:rsidRPr="00C978B9" w:rsidTr="0044530A">
        <w:tc>
          <w:tcPr>
            <w:tcW w:w="2184" w:type="dxa"/>
            <w:vMerge/>
          </w:tcPr>
          <w:p w:rsidR="0044530A" w:rsidRPr="00C978B9" w:rsidRDefault="0044530A" w:rsidP="00E6739E">
            <w:pPr>
              <w:keepNext/>
            </w:pPr>
          </w:p>
        </w:tc>
        <w:tc>
          <w:tcPr>
            <w:tcW w:w="4846" w:type="dxa"/>
          </w:tcPr>
          <w:p w:rsidR="0044530A" w:rsidRPr="00C978B9" w:rsidRDefault="0044530A" w:rsidP="00E6739E">
            <w:pPr>
              <w:pStyle w:val="TableText"/>
              <w:keepNext/>
              <w:rPr>
                <w:sz w:val="24"/>
                <w:szCs w:val="24"/>
              </w:rPr>
            </w:pPr>
            <w:r w:rsidRPr="00C978B9">
              <w:t>Inspire Direction and Purpose</w:t>
            </w:r>
          </w:p>
        </w:tc>
        <w:tc>
          <w:tcPr>
            <w:tcW w:w="3515" w:type="dxa"/>
          </w:tcPr>
          <w:p w:rsidR="0044530A" w:rsidRPr="00C978B9" w:rsidRDefault="00C37C6D" w:rsidP="00E6739E">
            <w:pPr>
              <w:pStyle w:val="TableText"/>
              <w:keepNext/>
            </w:pPr>
            <w:bookmarkStart w:id="54" w:name="Direct_Level"/>
            <w:bookmarkEnd w:id="54"/>
            <w:r>
              <w:t>Intermediate</w:t>
            </w:r>
          </w:p>
        </w:tc>
      </w:tr>
      <w:tr w:rsidR="0044530A" w:rsidRPr="00B345B2" w:rsidTr="0044530A">
        <w:tc>
          <w:tcPr>
            <w:tcW w:w="2184" w:type="dxa"/>
            <w:vMerge/>
          </w:tcPr>
          <w:p w:rsidR="0044530A" w:rsidRPr="00C978B9" w:rsidRDefault="0044530A" w:rsidP="00E6739E">
            <w:pPr>
              <w:keepNext/>
            </w:pPr>
          </w:p>
        </w:tc>
        <w:tc>
          <w:tcPr>
            <w:tcW w:w="4846" w:type="dxa"/>
          </w:tcPr>
          <w:p w:rsidR="0044530A" w:rsidRPr="007D0EFD" w:rsidRDefault="0044530A" w:rsidP="00E6739E">
            <w:pPr>
              <w:pStyle w:val="TableText"/>
              <w:keepNext/>
              <w:rPr>
                <w:b/>
                <w:sz w:val="24"/>
                <w:szCs w:val="24"/>
              </w:rPr>
            </w:pPr>
            <w:r w:rsidRPr="007D0EFD">
              <w:rPr>
                <w:b/>
                <w:bCs/>
              </w:rPr>
              <w:t>Optimise Business Outcomes</w:t>
            </w:r>
          </w:p>
        </w:tc>
        <w:tc>
          <w:tcPr>
            <w:tcW w:w="3515" w:type="dxa"/>
          </w:tcPr>
          <w:p w:rsidR="0044530A" w:rsidRPr="00B345B2" w:rsidRDefault="0044530A" w:rsidP="00E6739E">
            <w:pPr>
              <w:pStyle w:val="TableText"/>
              <w:keepNext/>
              <w:rPr>
                <w:b/>
              </w:rPr>
            </w:pPr>
            <w:bookmarkStart w:id="55" w:name="Outcomes_Level"/>
            <w:bookmarkEnd w:id="55"/>
            <w:r w:rsidRPr="00B345B2">
              <w:rPr>
                <w:b/>
              </w:rPr>
              <w:t>Intermediate</w:t>
            </w:r>
          </w:p>
        </w:tc>
      </w:tr>
      <w:tr w:rsidR="0044530A" w:rsidRPr="00C978B9" w:rsidTr="0044530A">
        <w:tc>
          <w:tcPr>
            <w:tcW w:w="2184" w:type="dxa"/>
            <w:vMerge/>
            <w:tcBorders>
              <w:bottom w:val="single" w:sz="8" w:space="0" w:color="auto"/>
            </w:tcBorders>
          </w:tcPr>
          <w:p w:rsidR="0044530A" w:rsidRPr="00C978B9" w:rsidRDefault="0044530A" w:rsidP="00E6739E"/>
        </w:tc>
        <w:tc>
          <w:tcPr>
            <w:tcW w:w="4846" w:type="dxa"/>
            <w:tcBorders>
              <w:bottom w:val="single" w:sz="8" w:space="0" w:color="auto"/>
            </w:tcBorders>
          </w:tcPr>
          <w:p w:rsidR="0044530A" w:rsidRPr="00C978B9" w:rsidRDefault="0044530A" w:rsidP="00E6739E">
            <w:pPr>
              <w:pStyle w:val="TableText"/>
              <w:rPr>
                <w:sz w:val="24"/>
                <w:szCs w:val="24"/>
              </w:rPr>
            </w:pPr>
            <w:r w:rsidRPr="00C978B9">
              <w:t>Manage Reform and Change</w:t>
            </w:r>
          </w:p>
        </w:tc>
        <w:tc>
          <w:tcPr>
            <w:tcW w:w="3515" w:type="dxa"/>
            <w:tcBorders>
              <w:bottom w:val="single" w:sz="8" w:space="0" w:color="auto"/>
            </w:tcBorders>
          </w:tcPr>
          <w:p w:rsidR="0044530A" w:rsidRPr="00C978B9" w:rsidRDefault="0044530A" w:rsidP="00E6739E">
            <w:pPr>
              <w:pStyle w:val="TableText"/>
            </w:pPr>
            <w:bookmarkStart w:id="56" w:name="Reform_Level"/>
            <w:bookmarkEnd w:id="56"/>
            <w:r>
              <w:t>Intermediate</w:t>
            </w:r>
          </w:p>
        </w:tc>
      </w:tr>
    </w:tbl>
    <w:p w:rsidR="0046052F" w:rsidRDefault="0046052F" w:rsidP="00F1011F"/>
    <w:tbl>
      <w:tblPr>
        <w:tblStyle w:val="PSCPurple"/>
        <w:tblW w:w="0" w:type="auto"/>
        <w:tblLook w:val="04A0" w:firstRow="1" w:lastRow="0" w:firstColumn="1" w:lastColumn="0" w:noHBand="0" w:noVBand="1"/>
      </w:tblPr>
      <w:tblGrid>
        <w:gridCol w:w="2178"/>
        <w:gridCol w:w="4818"/>
        <w:gridCol w:w="3492"/>
      </w:tblGrid>
      <w:tr w:rsidR="0089495D" w:rsidRPr="00803E47" w:rsidTr="00E6739E">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89495D" w:rsidRPr="00803E47" w:rsidRDefault="0089495D" w:rsidP="00E6739E">
            <w:pPr>
              <w:pStyle w:val="TableTextWhite0"/>
              <w:jc w:val="both"/>
            </w:pPr>
            <w:r w:rsidRPr="00803E47">
              <w:t xml:space="preserve">Occupation </w:t>
            </w:r>
            <w:r>
              <w:t xml:space="preserve">Specific </w:t>
            </w:r>
            <w:r w:rsidRPr="00803E47">
              <w:t>/</w:t>
            </w:r>
            <w:r>
              <w:t xml:space="preserve"> Finance</w:t>
            </w:r>
          </w:p>
        </w:tc>
      </w:tr>
      <w:tr w:rsidR="0089495D" w:rsidRPr="00C267D4" w:rsidTr="00E6739E">
        <w:trPr>
          <w:cnfStyle w:val="100000000000" w:firstRow="1" w:lastRow="0" w:firstColumn="0" w:lastColumn="0" w:oddVBand="0" w:evenVBand="0" w:oddHBand="0" w:evenHBand="0" w:firstRowFirstColumn="0" w:firstRowLastColumn="0" w:lastRowFirstColumn="0" w:lastRowLastColumn="0"/>
          <w:cantSplit/>
          <w:tblHeader/>
        </w:trPr>
        <w:tc>
          <w:tcPr>
            <w:tcW w:w="2184" w:type="dxa"/>
            <w:tcBorders>
              <w:top w:val="single" w:sz="8" w:space="0" w:color="BCBEC0"/>
              <w:bottom w:val="single" w:sz="8" w:space="0" w:color="BCBEC0"/>
            </w:tcBorders>
            <w:shd w:val="clear" w:color="auto" w:fill="BCBEC0"/>
          </w:tcPr>
          <w:p w:rsidR="0089495D" w:rsidRPr="00C267D4" w:rsidRDefault="0089495D" w:rsidP="00E6739E">
            <w:pPr>
              <w:pStyle w:val="TableText"/>
              <w:jc w:val="both"/>
              <w:rPr>
                <w:b/>
              </w:rPr>
            </w:pPr>
            <w:r w:rsidRPr="00C267D4">
              <w:rPr>
                <w:b/>
              </w:rPr>
              <w:t>Capability Set</w:t>
            </w:r>
          </w:p>
        </w:tc>
        <w:tc>
          <w:tcPr>
            <w:tcW w:w="4846" w:type="dxa"/>
            <w:tcBorders>
              <w:top w:val="single" w:sz="8" w:space="0" w:color="BCBEC0"/>
              <w:bottom w:val="single" w:sz="8" w:space="0" w:color="BCBEC0"/>
            </w:tcBorders>
            <w:shd w:val="clear" w:color="auto" w:fill="BCBEC0"/>
          </w:tcPr>
          <w:p w:rsidR="0089495D" w:rsidRPr="00C267D4" w:rsidRDefault="0089495D" w:rsidP="00E6739E">
            <w:pPr>
              <w:pStyle w:val="TableText"/>
              <w:jc w:val="both"/>
              <w:rPr>
                <w:b/>
              </w:rPr>
            </w:pPr>
          </w:p>
        </w:tc>
        <w:tc>
          <w:tcPr>
            <w:tcW w:w="3515" w:type="dxa"/>
            <w:tcBorders>
              <w:top w:val="single" w:sz="8" w:space="0" w:color="BCBEC0"/>
              <w:bottom w:val="single" w:sz="8" w:space="0" w:color="BCBEC0"/>
            </w:tcBorders>
            <w:shd w:val="clear" w:color="auto" w:fill="BCBEC0"/>
          </w:tcPr>
          <w:p w:rsidR="0089495D" w:rsidRPr="00C267D4" w:rsidRDefault="0089495D" w:rsidP="00E6739E">
            <w:pPr>
              <w:pStyle w:val="TableText"/>
              <w:jc w:val="both"/>
              <w:rPr>
                <w:b/>
              </w:rPr>
            </w:pPr>
          </w:p>
        </w:tc>
      </w:tr>
      <w:tr w:rsidR="00173FB9" w:rsidRPr="00DF0B89" w:rsidTr="00284AB6">
        <w:trPr>
          <w:cantSplit/>
        </w:trPr>
        <w:tc>
          <w:tcPr>
            <w:tcW w:w="2184" w:type="dxa"/>
            <w:tcBorders>
              <w:top w:val="single" w:sz="8" w:space="0" w:color="BCBEC0"/>
              <w:bottom w:val="single" w:sz="8" w:space="0" w:color="FFFFFF" w:themeColor="background1"/>
            </w:tcBorders>
            <w:vAlign w:val="center"/>
          </w:tcPr>
          <w:p w:rsidR="00173FB9" w:rsidRDefault="00173FB9" w:rsidP="00E6739E">
            <w:pPr>
              <w:keepNext/>
              <w:jc w:val="both"/>
              <w:rPr>
                <w:noProof/>
                <w:lang w:eastAsia="en-AU"/>
              </w:rPr>
            </w:pPr>
          </w:p>
        </w:tc>
        <w:tc>
          <w:tcPr>
            <w:tcW w:w="4846" w:type="dxa"/>
            <w:tcBorders>
              <w:top w:val="single" w:sz="8" w:space="0" w:color="BCBEC0"/>
            </w:tcBorders>
          </w:tcPr>
          <w:p w:rsidR="00173FB9" w:rsidRPr="00707A7B" w:rsidRDefault="009977B3" w:rsidP="00E6739E">
            <w:pPr>
              <w:pStyle w:val="TableText"/>
              <w:jc w:val="both"/>
            </w:pPr>
            <w:r w:rsidRPr="00707A7B">
              <w:t xml:space="preserve">Financial Accounting and </w:t>
            </w:r>
            <w:r w:rsidR="008327A5" w:rsidRPr="00707A7B">
              <w:t>Statutory</w:t>
            </w:r>
            <w:r w:rsidRPr="00707A7B">
              <w:t xml:space="preserve"> Reporting</w:t>
            </w:r>
          </w:p>
        </w:tc>
        <w:tc>
          <w:tcPr>
            <w:tcW w:w="3515" w:type="dxa"/>
            <w:tcBorders>
              <w:top w:val="single" w:sz="8" w:space="0" w:color="BCBEC0"/>
            </w:tcBorders>
          </w:tcPr>
          <w:p w:rsidR="00173FB9" w:rsidRPr="00707A7B" w:rsidRDefault="009977B3" w:rsidP="00E6739E">
            <w:pPr>
              <w:pStyle w:val="TableText"/>
              <w:jc w:val="both"/>
            </w:pPr>
            <w:r w:rsidRPr="00707A7B">
              <w:t>Level 3</w:t>
            </w:r>
          </w:p>
        </w:tc>
      </w:tr>
      <w:tr w:rsidR="0089495D" w:rsidRPr="00DF0B89" w:rsidTr="00284AB6">
        <w:trPr>
          <w:cantSplit/>
        </w:trPr>
        <w:tc>
          <w:tcPr>
            <w:tcW w:w="2184" w:type="dxa"/>
            <w:vMerge w:val="restart"/>
            <w:tcBorders>
              <w:top w:val="single" w:sz="8" w:space="0" w:color="FFFFFF" w:themeColor="background1"/>
            </w:tcBorders>
            <w:vAlign w:val="center"/>
          </w:tcPr>
          <w:p w:rsidR="0089495D" w:rsidRPr="00C978B9" w:rsidRDefault="0089495D" w:rsidP="00E6739E">
            <w:pPr>
              <w:keepNext/>
              <w:jc w:val="both"/>
            </w:pPr>
            <w:r>
              <w:rPr>
                <w:noProof/>
                <w:lang w:eastAsia="en-AU"/>
              </w:rPr>
              <w:drawing>
                <wp:inline distT="0" distB="0" distL="0" distR="0">
                  <wp:extent cx="882000" cy="871200"/>
                  <wp:effectExtent l="0" t="0" r="0" b="571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Specif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2000" cy="871200"/>
                          </a:xfrm>
                          <a:prstGeom prst="rect">
                            <a:avLst/>
                          </a:prstGeom>
                        </pic:spPr>
                      </pic:pic>
                    </a:graphicData>
                  </a:graphic>
                </wp:inline>
              </w:drawing>
            </w:r>
          </w:p>
        </w:tc>
        <w:tc>
          <w:tcPr>
            <w:tcW w:w="4846" w:type="dxa"/>
            <w:tcBorders>
              <w:top w:val="single" w:sz="8" w:space="0" w:color="BCBEC0"/>
            </w:tcBorders>
          </w:tcPr>
          <w:p w:rsidR="0089495D" w:rsidRPr="00DF0B89" w:rsidRDefault="0089495D" w:rsidP="00E6739E">
            <w:pPr>
              <w:pStyle w:val="TableText"/>
              <w:jc w:val="both"/>
              <w:rPr>
                <w:b/>
              </w:rPr>
            </w:pPr>
            <w:r w:rsidRPr="00DF0B89">
              <w:rPr>
                <w:b/>
              </w:rPr>
              <w:t>Management Accounting</w:t>
            </w:r>
          </w:p>
        </w:tc>
        <w:tc>
          <w:tcPr>
            <w:tcW w:w="3515" w:type="dxa"/>
            <w:tcBorders>
              <w:top w:val="single" w:sz="8" w:space="0" w:color="BCBEC0"/>
            </w:tcBorders>
          </w:tcPr>
          <w:p w:rsidR="0089495D" w:rsidRPr="00DF0B89" w:rsidRDefault="0089495D" w:rsidP="00E6739E">
            <w:pPr>
              <w:pStyle w:val="TableText"/>
              <w:jc w:val="both"/>
              <w:rPr>
                <w:b/>
              </w:rPr>
            </w:pPr>
            <w:r w:rsidRPr="00DF0B89">
              <w:rPr>
                <w:b/>
              </w:rPr>
              <w:t xml:space="preserve">Level </w:t>
            </w:r>
            <w:r w:rsidR="00D21514">
              <w:rPr>
                <w:b/>
              </w:rPr>
              <w:t>4</w:t>
            </w:r>
          </w:p>
        </w:tc>
      </w:tr>
      <w:tr w:rsidR="0089495D" w:rsidRPr="0017012A" w:rsidTr="00E6739E">
        <w:trPr>
          <w:cantSplit/>
        </w:trPr>
        <w:tc>
          <w:tcPr>
            <w:tcW w:w="2184" w:type="dxa"/>
            <w:vMerge/>
          </w:tcPr>
          <w:p w:rsidR="0089495D" w:rsidRPr="00C978B9" w:rsidRDefault="0089495D" w:rsidP="00E6739E">
            <w:pPr>
              <w:keepNext/>
              <w:jc w:val="both"/>
            </w:pPr>
          </w:p>
        </w:tc>
        <w:tc>
          <w:tcPr>
            <w:tcW w:w="4846" w:type="dxa"/>
          </w:tcPr>
          <w:p w:rsidR="0089495D" w:rsidRPr="0017012A" w:rsidRDefault="0089495D" w:rsidP="00E6739E">
            <w:pPr>
              <w:pStyle w:val="TableText"/>
              <w:jc w:val="both"/>
              <w:rPr>
                <w:b/>
              </w:rPr>
            </w:pPr>
            <w:r w:rsidRPr="0017012A">
              <w:rPr>
                <w:b/>
              </w:rPr>
              <w:t>Finance Operations and Systems</w:t>
            </w:r>
          </w:p>
        </w:tc>
        <w:tc>
          <w:tcPr>
            <w:tcW w:w="3515" w:type="dxa"/>
          </w:tcPr>
          <w:p w:rsidR="0089495D" w:rsidRPr="0017012A" w:rsidRDefault="0089495D" w:rsidP="00E6739E">
            <w:pPr>
              <w:pStyle w:val="TableText"/>
              <w:jc w:val="both"/>
              <w:rPr>
                <w:b/>
              </w:rPr>
            </w:pPr>
            <w:r w:rsidRPr="0017012A">
              <w:rPr>
                <w:b/>
              </w:rPr>
              <w:t xml:space="preserve">Level </w:t>
            </w:r>
            <w:r w:rsidR="000E61ED">
              <w:rPr>
                <w:b/>
              </w:rPr>
              <w:t>3</w:t>
            </w:r>
          </w:p>
        </w:tc>
      </w:tr>
      <w:tr w:rsidR="0089495D" w:rsidRPr="00BE1B53" w:rsidTr="00E6739E">
        <w:trPr>
          <w:cantSplit/>
        </w:trPr>
        <w:tc>
          <w:tcPr>
            <w:tcW w:w="2184" w:type="dxa"/>
            <w:vMerge/>
          </w:tcPr>
          <w:p w:rsidR="0089495D" w:rsidRPr="00C978B9" w:rsidRDefault="0089495D" w:rsidP="00E6739E">
            <w:pPr>
              <w:keepNext/>
              <w:jc w:val="both"/>
            </w:pPr>
          </w:p>
        </w:tc>
        <w:tc>
          <w:tcPr>
            <w:tcW w:w="4846" w:type="dxa"/>
          </w:tcPr>
          <w:p w:rsidR="0089495D" w:rsidRPr="00BE1B53" w:rsidRDefault="0089495D" w:rsidP="00E6739E">
            <w:pPr>
              <w:pStyle w:val="TableText"/>
              <w:jc w:val="both"/>
            </w:pPr>
            <w:r>
              <w:t>Taxation</w:t>
            </w:r>
          </w:p>
        </w:tc>
        <w:tc>
          <w:tcPr>
            <w:tcW w:w="3515" w:type="dxa"/>
          </w:tcPr>
          <w:p w:rsidR="0089495D" w:rsidRPr="00BE1B53" w:rsidRDefault="0089495D" w:rsidP="00E6739E">
            <w:pPr>
              <w:pStyle w:val="TableText"/>
              <w:jc w:val="both"/>
            </w:pPr>
            <w:r w:rsidRPr="00BE1B53">
              <w:t xml:space="preserve">Level </w:t>
            </w:r>
            <w:r w:rsidR="00707A7B">
              <w:t>1</w:t>
            </w:r>
          </w:p>
        </w:tc>
      </w:tr>
      <w:tr w:rsidR="0089495D" w:rsidRPr="00BE1B53" w:rsidTr="00E6739E">
        <w:trPr>
          <w:cantSplit/>
        </w:trPr>
        <w:tc>
          <w:tcPr>
            <w:tcW w:w="2184" w:type="dxa"/>
            <w:vMerge/>
          </w:tcPr>
          <w:p w:rsidR="0089495D" w:rsidRPr="00C978B9" w:rsidRDefault="0089495D" w:rsidP="00E6739E">
            <w:pPr>
              <w:keepNext/>
              <w:jc w:val="both"/>
            </w:pPr>
          </w:p>
        </w:tc>
        <w:tc>
          <w:tcPr>
            <w:tcW w:w="4846" w:type="dxa"/>
          </w:tcPr>
          <w:p w:rsidR="0089495D" w:rsidRPr="00707A7B" w:rsidRDefault="00707A7B" w:rsidP="00E6739E">
            <w:pPr>
              <w:pStyle w:val="TableText"/>
              <w:jc w:val="both"/>
              <w:rPr>
                <w:b/>
              </w:rPr>
            </w:pPr>
            <w:r w:rsidRPr="00707A7B">
              <w:rPr>
                <w:b/>
              </w:rPr>
              <w:t>Finance Business Partnering</w:t>
            </w:r>
          </w:p>
        </w:tc>
        <w:tc>
          <w:tcPr>
            <w:tcW w:w="3515" w:type="dxa"/>
          </w:tcPr>
          <w:p w:rsidR="0089495D" w:rsidRPr="00707A7B" w:rsidRDefault="0089495D" w:rsidP="00E6739E">
            <w:pPr>
              <w:pStyle w:val="TableText"/>
              <w:jc w:val="both"/>
              <w:rPr>
                <w:b/>
              </w:rPr>
            </w:pPr>
            <w:r w:rsidRPr="00707A7B">
              <w:rPr>
                <w:b/>
              </w:rPr>
              <w:t>Level 3</w:t>
            </w:r>
          </w:p>
        </w:tc>
      </w:tr>
    </w:tbl>
    <w:p w:rsidR="0044530A" w:rsidRPr="00C978B9" w:rsidRDefault="0044530A" w:rsidP="00F1011F"/>
    <w:p w:rsidR="00F1011F" w:rsidRPr="00C978B9" w:rsidRDefault="00F1011F" w:rsidP="00F1011F">
      <w:pPr>
        <w:pStyle w:val="Heading2"/>
      </w:pPr>
      <w:r w:rsidRPr="00C978B9">
        <w:t xml:space="preserve">Focus </w:t>
      </w:r>
      <w:r>
        <w:t>c</w:t>
      </w:r>
      <w:r w:rsidRPr="00C978B9">
        <w:t>apabilities</w:t>
      </w:r>
    </w:p>
    <w:p w:rsidR="00F1011F" w:rsidRDefault="00F1011F" w:rsidP="00F1011F">
      <w:r w:rsidRPr="00B95125">
        <w:rPr>
          <w:sz w:val="20"/>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Pr="00822DC8">
        <w:t>.</w:t>
      </w:r>
    </w:p>
    <w:tbl>
      <w:tblPr>
        <w:tblStyle w:val="PSCPurple"/>
        <w:tblW w:w="0" w:type="auto"/>
        <w:tblLook w:val="04A0" w:firstRow="1" w:lastRow="0" w:firstColumn="1" w:lastColumn="0" w:noHBand="0" w:noVBand="1"/>
      </w:tblPr>
      <w:tblGrid>
        <w:gridCol w:w="2103"/>
        <w:gridCol w:w="10"/>
        <w:gridCol w:w="15"/>
        <w:gridCol w:w="15"/>
        <w:gridCol w:w="17"/>
        <w:gridCol w:w="155"/>
        <w:gridCol w:w="1457"/>
        <w:gridCol w:w="31"/>
        <w:gridCol w:w="9"/>
        <w:gridCol w:w="39"/>
        <w:gridCol w:w="17"/>
        <w:gridCol w:w="283"/>
        <w:gridCol w:w="5218"/>
        <w:gridCol w:w="1119"/>
      </w:tblGrid>
      <w:tr w:rsidR="00F1011F" w:rsidRPr="00C978B9" w:rsidTr="00F1011F">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14"/>
            <w:tcBorders>
              <w:top w:val="single" w:sz="8" w:space="0" w:color="BCBEC0"/>
              <w:bottom w:val="single" w:sz="8" w:space="0" w:color="BCBEC0"/>
            </w:tcBorders>
          </w:tcPr>
          <w:p w:rsidR="00F1011F" w:rsidRPr="00C978B9" w:rsidRDefault="00F1011F" w:rsidP="00F1011F">
            <w:pPr>
              <w:pStyle w:val="TableTextWhite0"/>
              <w:keepNext/>
            </w:pPr>
            <w:r w:rsidRPr="00C978B9">
              <w:t>NSW Public Sector Capability Framework</w:t>
            </w:r>
          </w:p>
        </w:tc>
      </w:tr>
      <w:tr w:rsidR="00F1011F" w:rsidRPr="00DA3502" w:rsidTr="00867060">
        <w:trPr>
          <w:cnfStyle w:val="100000000000" w:firstRow="1" w:lastRow="0" w:firstColumn="0" w:lastColumn="0" w:oddVBand="0" w:evenVBand="0" w:oddHBand="0" w:evenHBand="0" w:firstRowFirstColumn="0" w:firstRowLastColumn="0" w:lastRowFirstColumn="0" w:lastRowLastColumn="0"/>
          <w:cantSplit/>
          <w:tblHeader/>
        </w:trPr>
        <w:tc>
          <w:tcPr>
            <w:tcW w:w="2323" w:type="dxa"/>
            <w:gridSpan w:val="6"/>
            <w:tcBorders>
              <w:top w:val="single" w:sz="8" w:space="0" w:color="BCBEC0"/>
              <w:bottom w:val="single" w:sz="8" w:space="0" w:color="BCBEC0"/>
            </w:tcBorders>
            <w:shd w:val="clear" w:color="auto" w:fill="BCBEC0"/>
          </w:tcPr>
          <w:p w:rsidR="00F1011F" w:rsidRPr="00DA3502" w:rsidRDefault="00F1011F" w:rsidP="00F1011F">
            <w:pPr>
              <w:pStyle w:val="TableText"/>
              <w:rPr>
                <w:b/>
              </w:rPr>
            </w:pPr>
            <w:r w:rsidRPr="00DA3502">
              <w:rPr>
                <w:b/>
              </w:rPr>
              <w:t>Group and Capability</w:t>
            </w:r>
          </w:p>
        </w:tc>
        <w:tc>
          <w:tcPr>
            <w:tcW w:w="1843" w:type="dxa"/>
            <w:gridSpan w:val="6"/>
            <w:tcBorders>
              <w:top w:val="single" w:sz="8" w:space="0" w:color="BCBEC0"/>
              <w:bottom w:val="single" w:sz="8" w:space="0" w:color="BCBEC0"/>
            </w:tcBorders>
            <w:shd w:val="clear" w:color="auto" w:fill="BCBEC0"/>
          </w:tcPr>
          <w:p w:rsidR="00F1011F" w:rsidRPr="00DA3502" w:rsidRDefault="00F1011F" w:rsidP="00F1011F">
            <w:pPr>
              <w:pStyle w:val="TableText"/>
              <w:rPr>
                <w:b/>
              </w:rPr>
            </w:pPr>
            <w:r w:rsidRPr="00DA3502">
              <w:rPr>
                <w:b/>
              </w:rPr>
              <w:t>Level</w:t>
            </w:r>
          </w:p>
        </w:tc>
        <w:tc>
          <w:tcPr>
            <w:tcW w:w="6379" w:type="dxa"/>
            <w:gridSpan w:val="2"/>
            <w:tcBorders>
              <w:top w:val="single" w:sz="8" w:space="0" w:color="BCBEC0"/>
              <w:bottom w:val="single" w:sz="8" w:space="0" w:color="BCBEC0"/>
            </w:tcBorders>
            <w:shd w:val="clear" w:color="auto" w:fill="BCBEC0"/>
          </w:tcPr>
          <w:p w:rsidR="00F1011F" w:rsidRPr="00DA3502" w:rsidRDefault="00F1011F" w:rsidP="00F1011F">
            <w:pPr>
              <w:pStyle w:val="TableText"/>
              <w:rPr>
                <w:b/>
              </w:rPr>
            </w:pPr>
            <w:r w:rsidRPr="00DA3502">
              <w:rPr>
                <w:b/>
              </w:rPr>
              <w:t>Behavioural Indicators</w:t>
            </w:r>
          </w:p>
        </w:tc>
      </w:tr>
      <w:tr w:rsidR="00B345B2" w:rsidTr="00867060">
        <w:trPr>
          <w:gridAfter w:val="1"/>
          <w:wAfter w:w="1128" w:type="dxa"/>
        </w:trPr>
        <w:tc>
          <w:tcPr>
            <w:tcW w:w="2120" w:type="dxa"/>
            <w:gridSpan w:val="2"/>
            <w:tcBorders>
              <w:left w:val="nil"/>
              <w:right w:val="nil"/>
            </w:tcBorders>
            <w:hideMark/>
          </w:tcPr>
          <w:p w:rsidR="00B345B2" w:rsidRPr="00C978B9" w:rsidRDefault="00B345B2" w:rsidP="00E6739E">
            <w:pPr>
              <w:pStyle w:val="TableText"/>
              <w:rPr>
                <w:b/>
              </w:rPr>
            </w:pPr>
            <w:r w:rsidRPr="00C978B9">
              <w:rPr>
                <w:b/>
              </w:rPr>
              <w:t>Personal Attributes</w:t>
            </w:r>
          </w:p>
          <w:p w:rsidR="00B345B2" w:rsidRPr="00C978B9" w:rsidRDefault="00B345B2" w:rsidP="00E6739E">
            <w:pPr>
              <w:pStyle w:val="TableText"/>
            </w:pPr>
            <w:r w:rsidRPr="00C978B9">
              <w:t>Manage Self</w:t>
            </w:r>
          </w:p>
        </w:tc>
        <w:tc>
          <w:tcPr>
            <w:tcW w:w="1705" w:type="dxa"/>
            <w:gridSpan w:val="7"/>
            <w:tcBorders>
              <w:left w:val="nil"/>
              <w:right w:val="nil"/>
            </w:tcBorders>
            <w:hideMark/>
          </w:tcPr>
          <w:p w:rsidR="00B345B2" w:rsidRPr="00C978B9" w:rsidRDefault="00B345B2" w:rsidP="00E6739E">
            <w:pPr>
              <w:pStyle w:val="TableText"/>
              <w:rPr>
                <w:rFonts w:cs="Arial"/>
                <w:color w:val="000000"/>
              </w:rPr>
            </w:pPr>
            <w:r w:rsidRPr="00C978B9">
              <w:rPr>
                <w:rFonts w:cs="Arial"/>
                <w:color w:val="000000"/>
              </w:rPr>
              <w:t>Adept</w:t>
            </w:r>
          </w:p>
        </w:tc>
        <w:tc>
          <w:tcPr>
            <w:tcW w:w="5592" w:type="dxa"/>
            <w:gridSpan w:val="4"/>
            <w:tcBorders>
              <w:left w:val="nil"/>
              <w:right w:val="nil"/>
            </w:tcBorders>
            <w:hideMark/>
          </w:tcPr>
          <w:p w:rsidR="00B345B2" w:rsidRPr="00C978B9" w:rsidRDefault="00B345B2" w:rsidP="00E6739E">
            <w:pPr>
              <w:pStyle w:val="TableBullet"/>
            </w:pPr>
            <w:r w:rsidRPr="00C978B9">
              <w:t>Look for and take advantage of opportunities to learn new skills and develop strengths</w:t>
            </w:r>
          </w:p>
          <w:p w:rsidR="00B345B2" w:rsidRPr="00C978B9" w:rsidRDefault="00B345B2" w:rsidP="00E6739E">
            <w:pPr>
              <w:pStyle w:val="TableBullet"/>
            </w:pPr>
            <w:r w:rsidRPr="00C978B9">
              <w:t>Show commitment to achieving challenging goals</w:t>
            </w:r>
          </w:p>
          <w:p w:rsidR="00B345B2" w:rsidRPr="00C978B9" w:rsidRDefault="00B345B2" w:rsidP="00E6739E">
            <w:pPr>
              <w:pStyle w:val="TableBullet"/>
            </w:pPr>
            <w:r w:rsidRPr="00C978B9">
              <w:t>Examine and reflect on own performance</w:t>
            </w:r>
          </w:p>
          <w:p w:rsidR="00B345B2" w:rsidRPr="00C978B9" w:rsidRDefault="00B345B2" w:rsidP="00E6739E">
            <w:pPr>
              <w:pStyle w:val="TableBullet"/>
            </w:pPr>
            <w:r w:rsidRPr="00C978B9">
              <w:t>Seek and respond positively to constructive feedback and guidance</w:t>
            </w:r>
          </w:p>
          <w:p w:rsidR="00B345B2" w:rsidRPr="00C978B9" w:rsidRDefault="00B345B2" w:rsidP="00E6739E">
            <w:pPr>
              <w:pStyle w:val="TableBullet"/>
            </w:pPr>
            <w:r w:rsidRPr="00C978B9">
              <w:t>Demonstrate a high level of personal motivation</w:t>
            </w:r>
          </w:p>
        </w:tc>
      </w:tr>
      <w:tr w:rsidR="00B345B2" w:rsidTr="00867060">
        <w:trPr>
          <w:gridAfter w:val="1"/>
          <w:wAfter w:w="1128" w:type="dxa"/>
        </w:trPr>
        <w:tc>
          <w:tcPr>
            <w:tcW w:w="2167" w:type="dxa"/>
            <w:gridSpan w:val="5"/>
            <w:tcBorders>
              <w:left w:val="nil"/>
              <w:right w:val="nil"/>
            </w:tcBorders>
            <w:hideMark/>
          </w:tcPr>
          <w:p w:rsidR="00B345B2" w:rsidRPr="00C978B9" w:rsidRDefault="00B345B2" w:rsidP="00E6739E">
            <w:pPr>
              <w:pStyle w:val="TableText"/>
              <w:rPr>
                <w:b/>
              </w:rPr>
            </w:pPr>
            <w:r w:rsidRPr="00C978B9">
              <w:rPr>
                <w:b/>
              </w:rPr>
              <w:t>Relationships</w:t>
            </w:r>
          </w:p>
          <w:p w:rsidR="00B345B2" w:rsidRPr="00C978B9" w:rsidRDefault="00B345B2" w:rsidP="00E6739E">
            <w:pPr>
              <w:pStyle w:val="TableText"/>
            </w:pPr>
            <w:r>
              <w:t>Communicate</w:t>
            </w:r>
            <w:r>
              <w:br/>
            </w:r>
            <w:r w:rsidRPr="00C978B9">
              <w:t>Effectively</w:t>
            </w:r>
          </w:p>
        </w:tc>
        <w:tc>
          <w:tcPr>
            <w:tcW w:w="1697" w:type="dxa"/>
            <w:gridSpan w:val="5"/>
            <w:tcBorders>
              <w:left w:val="nil"/>
              <w:right w:val="nil"/>
            </w:tcBorders>
            <w:hideMark/>
          </w:tcPr>
          <w:p w:rsidR="00B345B2" w:rsidRPr="00C978B9" w:rsidRDefault="00B345B2" w:rsidP="00E6739E">
            <w:pPr>
              <w:pStyle w:val="TableText"/>
              <w:rPr>
                <w:rFonts w:cs="Arial"/>
                <w:color w:val="000000"/>
              </w:rPr>
            </w:pPr>
            <w:r w:rsidRPr="00C978B9">
              <w:rPr>
                <w:rFonts w:cs="Arial"/>
                <w:color w:val="000000"/>
              </w:rPr>
              <w:t>Adept</w:t>
            </w:r>
          </w:p>
        </w:tc>
        <w:tc>
          <w:tcPr>
            <w:tcW w:w="5553" w:type="dxa"/>
            <w:gridSpan w:val="3"/>
            <w:tcBorders>
              <w:left w:val="nil"/>
              <w:right w:val="nil"/>
            </w:tcBorders>
            <w:hideMark/>
          </w:tcPr>
          <w:p w:rsidR="00B345B2" w:rsidRPr="00C978B9" w:rsidRDefault="00B345B2" w:rsidP="00E6739E">
            <w:pPr>
              <w:pStyle w:val="TableBullet"/>
            </w:pPr>
            <w:r w:rsidRPr="00C978B9">
              <w:t xml:space="preserve">Tailor communication to the audience </w:t>
            </w:r>
          </w:p>
          <w:p w:rsidR="00B345B2" w:rsidRPr="00C978B9" w:rsidRDefault="00B345B2" w:rsidP="00E6739E">
            <w:pPr>
              <w:pStyle w:val="TableBullet"/>
            </w:pPr>
            <w:r w:rsidRPr="00C978B9">
              <w:t>Clearly explain complex concepts and arguments to individuals and groups</w:t>
            </w:r>
          </w:p>
          <w:p w:rsidR="00B345B2" w:rsidRPr="00C978B9" w:rsidRDefault="00B345B2" w:rsidP="00E6739E">
            <w:pPr>
              <w:pStyle w:val="TableBullet"/>
            </w:pPr>
            <w:r w:rsidRPr="00C978B9">
              <w:t>Monitor own and others' non-verbal cues and adapt where necessary</w:t>
            </w:r>
          </w:p>
          <w:p w:rsidR="00B345B2" w:rsidRPr="00C978B9" w:rsidRDefault="00B345B2" w:rsidP="00E6739E">
            <w:pPr>
              <w:pStyle w:val="TableBullet"/>
            </w:pPr>
            <w:r w:rsidRPr="00C978B9">
              <w:t>Create opportunities for others to be heard</w:t>
            </w:r>
          </w:p>
          <w:p w:rsidR="00B345B2" w:rsidRPr="00C978B9" w:rsidRDefault="00B345B2" w:rsidP="00E6739E">
            <w:pPr>
              <w:pStyle w:val="TableBullet"/>
            </w:pPr>
            <w:r w:rsidRPr="00C978B9">
              <w:t>Actively listen to others and clarify own understanding</w:t>
            </w:r>
          </w:p>
          <w:p w:rsidR="00B345B2" w:rsidRPr="00C978B9" w:rsidRDefault="00B345B2" w:rsidP="00E6739E">
            <w:pPr>
              <w:pStyle w:val="TableBullet"/>
            </w:pPr>
            <w:r w:rsidRPr="00C978B9">
              <w:t>Write fluently in a range of styles and formats</w:t>
            </w:r>
          </w:p>
        </w:tc>
      </w:tr>
      <w:tr w:rsidR="00F336D8" w:rsidTr="00867060">
        <w:trPr>
          <w:gridAfter w:val="1"/>
          <w:wAfter w:w="1128" w:type="dxa"/>
        </w:trPr>
        <w:tc>
          <w:tcPr>
            <w:tcW w:w="2110" w:type="dxa"/>
            <w:tcBorders>
              <w:left w:val="nil"/>
              <w:right w:val="nil"/>
            </w:tcBorders>
            <w:hideMark/>
          </w:tcPr>
          <w:p w:rsidR="00F336D8" w:rsidRPr="00C978B9" w:rsidRDefault="00F336D8" w:rsidP="0067196E">
            <w:pPr>
              <w:pStyle w:val="TableText"/>
              <w:rPr>
                <w:b/>
              </w:rPr>
            </w:pPr>
            <w:r w:rsidRPr="00C978B9">
              <w:rPr>
                <w:b/>
              </w:rPr>
              <w:t>Results</w:t>
            </w:r>
          </w:p>
          <w:p w:rsidR="00F336D8" w:rsidRPr="00C978B9" w:rsidRDefault="00F336D8" w:rsidP="0067196E">
            <w:pPr>
              <w:pStyle w:val="TableText"/>
            </w:pPr>
            <w:r w:rsidRPr="00C978B9">
              <w:t>Think and Solve Problems</w:t>
            </w:r>
          </w:p>
        </w:tc>
        <w:tc>
          <w:tcPr>
            <w:tcW w:w="1706" w:type="dxa"/>
            <w:gridSpan w:val="7"/>
            <w:tcBorders>
              <w:left w:val="nil"/>
              <w:right w:val="nil"/>
            </w:tcBorders>
            <w:hideMark/>
          </w:tcPr>
          <w:p w:rsidR="00F336D8" w:rsidRPr="00C978B9" w:rsidRDefault="00F336D8" w:rsidP="0067196E">
            <w:pPr>
              <w:pStyle w:val="TableText"/>
              <w:rPr>
                <w:rFonts w:cs="Arial"/>
                <w:color w:val="000000"/>
              </w:rPr>
            </w:pPr>
            <w:r w:rsidRPr="00C978B9">
              <w:rPr>
                <w:rFonts w:cs="Arial"/>
                <w:color w:val="000000"/>
              </w:rPr>
              <w:t>Adept</w:t>
            </w:r>
          </w:p>
        </w:tc>
        <w:tc>
          <w:tcPr>
            <w:tcW w:w="5601" w:type="dxa"/>
            <w:gridSpan w:val="5"/>
            <w:tcBorders>
              <w:left w:val="nil"/>
              <w:right w:val="nil"/>
            </w:tcBorders>
            <w:hideMark/>
          </w:tcPr>
          <w:p w:rsidR="00F336D8" w:rsidRPr="00C978B9" w:rsidRDefault="00F336D8" w:rsidP="0067196E">
            <w:pPr>
              <w:pStyle w:val="TableBullet"/>
            </w:pPr>
            <w:r w:rsidRPr="00C978B9">
              <w:t>Research and analyse information, identify interrelationships and make recommendations based on relevant evidence</w:t>
            </w:r>
          </w:p>
          <w:p w:rsidR="00F336D8" w:rsidRPr="00C978B9" w:rsidRDefault="00F336D8" w:rsidP="0067196E">
            <w:pPr>
              <w:pStyle w:val="TableBullet"/>
            </w:pPr>
            <w:r w:rsidRPr="00C978B9">
              <w:lastRenderedPageBreak/>
              <w:t xml:space="preserve">Anticipate, identify and address issues and potential problems and select the most effective solutions from a range of options </w:t>
            </w:r>
          </w:p>
          <w:p w:rsidR="00F336D8" w:rsidRPr="00C978B9" w:rsidRDefault="00F336D8" w:rsidP="0067196E">
            <w:pPr>
              <w:pStyle w:val="TableBullet"/>
            </w:pPr>
            <w:r w:rsidRPr="00C978B9">
              <w:t>Participate in and contribute to team/unit initiatives to resolve common issues or barriers to effectiveness</w:t>
            </w:r>
          </w:p>
          <w:p w:rsidR="00F336D8" w:rsidRPr="00C978B9" w:rsidRDefault="00F336D8" w:rsidP="0067196E">
            <w:pPr>
              <w:pStyle w:val="TableBullet"/>
            </w:pPr>
            <w:r w:rsidRPr="00C978B9">
              <w:t>Identify and share business process improvements to enhance effectiveness</w:t>
            </w:r>
          </w:p>
        </w:tc>
      </w:tr>
      <w:tr w:rsidR="00F336D8" w:rsidTr="00867060">
        <w:trPr>
          <w:gridAfter w:val="1"/>
          <w:wAfter w:w="1128" w:type="dxa"/>
        </w:trPr>
        <w:tc>
          <w:tcPr>
            <w:tcW w:w="2110" w:type="dxa"/>
            <w:tcBorders>
              <w:left w:val="nil"/>
              <w:right w:val="nil"/>
            </w:tcBorders>
            <w:hideMark/>
          </w:tcPr>
          <w:p w:rsidR="00F336D8" w:rsidRPr="00C978B9" w:rsidRDefault="00F336D8" w:rsidP="0067196E">
            <w:pPr>
              <w:pStyle w:val="TableText"/>
              <w:rPr>
                <w:b/>
              </w:rPr>
            </w:pPr>
            <w:r w:rsidRPr="00C978B9">
              <w:rPr>
                <w:b/>
              </w:rPr>
              <w:lastRenderedPageBreak/>
              <w:t>Business Enablers</w:t>
            </w:r>
          </w:p>
          <w:p w:rsidR="00F336D8" w:rsidRPr="00C978B9" w:rsidRDefault="00F336D8" w:rsidP="0067196E">
            <w:pPr>
              <w:pStyle w:val="TableText"/>
            </w:pPr>
            <w:r w:rsidRPr="00C978B9">
              <w:t>Finance</w:t>
            </w:r>
          </w:p>
        </w:tc>
        <w:tc>
          <w:tcPr>
            <w:tcW w:w="1706" w:type="dxa"/>
            <w:gridSpan w:val="7"/>
            <w:tcBorders>
              <w:left w:val="nil"/>
              <w:right w:val="nil"/>
            </w:tcBorders>
            <w:hideMark/>
          </w:tcPr>
          <w:p w:rsidR="00F336D8" w:rsidRPr="00C978B9" w:rsidRDefault="00F336D8" w:rsidP="0067196E">
            <w:pPr>
              <w:pStyle w:val="TableText"/>
              <w:rPr>
                <w:rFonts w:cs="Arial"/>
                <w:color w:val="000000"/>
              </w:rPr>
            </w:pPr>
            <w:r w:rsidRPr="00C978B9">
              <w:rPr>
                <w:rFonts w:cs="Arial"/>
                <w:color w:val="000000"/>
              </w:rPr>
              <w:t>Adept</w:t>
            </w:r>
          </w:p>
        </w:tc>
        <w:tc>
          <w:tcPr>
            <w:tcW w:w="5601" w:type="dxa"/>
            <w:gridSpan w:val="5"/>
            <w:tcBorders>
              <w:left w:val="nil"/>
              <w:right w:val="nil"/>
            </w:tcBorders>
            <w:hideMark/>
          </w:tcPr>
          <w:p w:rsidR="00F336D8" w:rsidRPr="00C978B9" w:rsidRDefault="00F336D8" w:rsidP="0067196E">
            <w:pPr>
              <w:pStyle w:val="TableBullet"/>
            </w:pPr>
            <w:r w:rsidRPr="00C978B9">
              <w:t>Understand core financial terminology, policies and processes, and display a knowledge of relevant recurrent and capital financial measures</w:t>
            </w:r>
          </w:p>
          <w:p w:rsidR="00F336D8" w:rsidRPr="00C978B9" w:rsidRDefault="00F336D8" w:rsidP="0067196E">
            <w:pPr>
              <w:pStyle w:val="TableBullet"/>
            </w:pPr>
            <w:r w:rsidRPr="00C978B9">
              <w:t>Understand impacts of funding allocations on business planning and budgets, including value for money, choice between direct provision and purchase of services, and financial implications of decisions</w:t>
            </w:r>
          </w:p>
          <w:p w:rsidR="00F336D8" w:rsidRPr="00C978B9" w:rsidRDefault="00F336D8" w:rsidP="0067196E">
            <w:pPr>
              <w:pStyle w:val="TableBullet"/>
            </w:pPr>
            <w:r w:rsidRPr="00C978B9">
              <w:t>Understand and apply financial audit, reporting and compliance obligations</w:t>
            </w:r>
          </w:p>
          <w:p w:rsidR="00F336D8" w:rsidRPr="00C978B9" w:rsidRDefault="00F336D8" w:rsidP="0067196E">
            <w:pPr>
              <w:pStyle w:val="TableBullet"/>
            </w:pPr>
            <w:r w:rsidRPr="00C978B9">
              <w:t>Identify discrepancies or variances in financial and budget reports, and take corrective action where appropriate</w:t>
            </w:r>
          </w:p>
          <w:p w:rsidR="00F336D8" w:rsidRPr="00C978B9" w:rsidRDefault="00F336D8" w:rsidP="0067196E">
            <w:pPr>
              <w:pStyle w:val="TableBullet"/>
            </w:pPr>
            <w:r w:rsidRPr="00C978B9">
              <w:t>Seek specialist advice and support where required</w:t>
            </w:r>
          </w:p>
          <w:p w:rsidR="00F336D8" w:rsidRPr="00C978B9" w:rsidRDefault="00F336D8" w:rsidP="0067196E">
            <w:pPr>
              <w:pStyle w:val="TableBullet"/>
            </w:pPr>
            <w:r w:rsidRPr="00C978B9">
              <w:t>Make decisions and prepare business cases paying due regard to financial considerations</w:t>
            </w:r>
          </w:p>
        </w:tc>
      </w:tr>
      <w:tr w:rsidR="00B345B2" w:rsidTr="00867060">
        <w:trPr>
          <w:gridAfter w:val="1"/>
          <w:wAfter w:w="1128" w:type="dxa"/>
        </w:trPr>
        <w:tc>
          <w:tcPr>
            <w:tcW w:w="2135" w:type="dxa"/>
            <w:gridSpan w:val="3"/>
            <w:tcBorders>
              <w:left w:val="nil"/>
              <w:right w:val="nil"/>
            </w:tcBorders>
            <w:hideMark/>
          </w:tcPr>
          <w:p w:rsidR="00B345B2" w:rsidRPr="00C978B9" w:rsidRDefault="00B345B2" w:rsidP="00E6739E">
            <w:pPr>
              <w:pStyle w:val="TableText"/>
              <w:rPr>
                <w:b/>
              </w:rPr>
            </w:pPr>
            <w:r w:rsidRPr="00C978B9">
              <w:rPr>
                <w:b/>
              </w:rPr>
              <w:t>Business Enablers</w:t>
            </w:r>
          </w:p>
          <w:p w:rsidR="00B345B2" w:rsidRPr="00C978B9" w:rsidRDefault="00B345B2" w:rsidP="00E6739E">
            <w:pPr>
              <w:pStyle w:val="TableText"/>
            </w:pPr>
            <w:r w:rsidRPr="00C978B9">
              <w:t>Technology</w:t>
            </w:r>
          </w:p>
        </w:tc>
        <w:tc>
          <w:tcPr>
            <w:tcW w:w="1650" w:type="dxa"/>
            <w:gridSpan w:val="4"/>
            <w:tcBorders>
              <w:left w:val="nil"/>
              <w:right w:val="nil"/>
            </w:tcBorders>
            <w:hideMark/>
          </w:tcPr>
          <w:p w:rsidR="00B345B2" w:rsidRPr="00C978B9" w:rsidRDefault="00B345B2" w:rsidP="00E6739E">
            <w:pPr>
              <w:pStyle w:val="TableText"/>
              <w:rPr>
                <w:rFonts w:cs="Arial"/>
                <w:color w:val="000000"/>
              </w:rPr>
            </w:pPr>
            <w:r w:rsidRPr="00C978B9">
              <w:rPr>
                <w:rFonts w:cs="Arial"/>
                <w:color w:val="000000"/>
              </w:rPr>
              <w:t>Adept</w:t>
            </w:r>
          </w:p>
        </w:tc>
        <w:tc>
          <w:tcPr>
            <w:tcW w:w="5632" w:type="dxa"/>
            <w:gridSpan w:val="6"/>
            <w:tcBorders>
              <w:left w:val="nil"/>
              <w:right w:val="nil"/>
            </w:tcBorders>
            <w:hideMark/>
          </w:tcPr>
          <w:p w:rsidR="00B345B2" w:rsidRPr="00C978B9" w:rsidRDefault="00B345B2" w:rsidP="00E6739E">
            <w:pPr>
              <w:pStyle w:val="TableBullet"/>
            </w:pPr>
            <w:r w:rsidRPr="00C978B9">
              <w:t>Demonstrate a sound understanding of technology relevant to the work unit, and identify and select the most appropriate technology for assigned tasks</w:t>
            </w:r>
          </w:p>
          <w:p w:rsidR="00B345B2" w:rsidRPr="00C978B9" w:rsidRDefault="00B345B2" w:rsidP="00E6739E">
            <w:pPr>
              <w:pStyle w:val="TableBullet"/>
            </w:pPr>
            <w:r w:rsidRPr="00C978B9">
              <w:t>Identify opportunities to use a broad range of communications technologies to deliver effective messages</w:t>
            </w:r>
          </w:p>
          <w:p w:rsidR="00B345B2" w:rsidRPr="00C978B9" w:rsidRDefault="00B345B2" w:rsidP="00E6739E">
            <w:pPr>
              <w:pStyle w:val="TableBullet"/>
            </w:pPr>
            <w:r w:rsidRPr="00C978B9">
              <w:t>Understand, act on and monitor compliance with information and communications security and use policies</w:t>
            </w:r>
          </w:p>
          <w:p w:rsidR="00B345B2" w:rsidRPr="00C978B9" w:rsidRDefault="00B345B2" w:rsidP="00E6739E">
            <w:pPr>
              <w:pStyle w:val="TableBullet"/>
            </w:pPr>
            <w:r w:rsidRPr="00C978B9">
              <w:t>Identify ways to leverage the value of technology to achieve team/unit outcomes, using the existing technology of the business</w:t>
            </w:r>
          </w:p>
          <w:p w:rsidR="00B345B2" w:rsidRPr="00C978B9" w:rsidRDefault="00B345B2" w:rsidP="00E6739E">
            <w:pPr>
              <w:pStyle w:val="TableBullet"/>
            </w:pPr>
            <w:r w:rsidRPr="00C978B9">
              <w:t>Support compliance with the records, information and knowledge management requirements of the organisation</w:t>
            </w:r>
          </w:p>
        </w:tc>
      </w:tr>
      <w:tr w:rsidR="00B345B2" w:rsidTr="00D235DB">
        <w:trPr>
          <w:gridAfter w:val="1"/>
          <w:wAfter w:w="1128" w:type="dxa"/>
        </w:trPr>
        <w:tc>
          <w:tcPr>
            <w:tcW w:w="2150" w:type="dxa"/>
            <w:gridSpan w:val="4"/>
            <w:tcBorders>
              <w:left w:val="nil"/>
              <w:right w:val="nil"/>
            </w:tcBorders>
            <w:hideMark/>
          </w:tcPr>
          <w:p w:rsidR="00B345B2" w:rsidRDefault="00B345B2">
            <w:pPr>
              <w:pStyle w:val="TableText"/>
              <w:rPr>
                <w:b/>
              </w:rPr>
            </w:pPr>
            <w:r>
              <w:rPr>
                <w:b/>
              </w:rPr>
              <w:t>People Management</w:t>
            </w:r>
          </w:p>
          <w:p w:rsidR="00B345B2" w:rsidRDefault="00B345B2">
            <w:pPr>
              <w:pStyle w:val="TableText"/>
            </w:pPr>
            <w:r>
              <w:t>Optimise Business Outcomes</w:t>
            </w:r>
          </w:p>
        </w:tc>
        <w:tc>
          <w:tcPr>
            <w:tcW w:w="1731" w:type="dxa"/>
            <w:gridSpan w:val="7"/>
            <w:tcBorders>
              <w:left w:val="nil"/>
              <w:right w:val="nil"/>
            </w:tcBorders>
            <w:hideMark/>
          </w:tcPr>
          <w:p w:rsidR="00B345B2" w:rsidRPr="003500FB" w:rsidRDefault="00B345B2">
            <w:pPr>
              <w:pStyle w:val="TableText"/>
              <w:rPr>
                <w:rFonts w:cs="Arial"/>
                <w:color w:val="000000"/>
              </w:rPr>
            </w:pPr>
            <w:r w:rsidRPr="003500FB">
              <w:rPr>
                <w:rFonts w:cs="Arial"/>
                <w:color w:val="000000"/>
              </w:rPr>
              <w:t>Intermediate</w:t>
            </w:r>
          </w:p>
        </w:tc>
        <w:tc>
          <w:tcPr>
            <w:tcW w:w="5536" w:type="dxa"/>
            <w:gridSpan w:val="2"/>
            <w:tcBorders>
              <w:left w:val="nil"/>
              <w:right w:val="nil"/>
            </w:tcBorders>
            <w:hideMark/>
          </w:tcPr>
          <w:p w:rsidR="00B345B2" w:rsidRPr="003500FB" w:rsidRDefault="00B345B2" w:rsidP="00D235DB">
            <w:pPr>
              <w:pStyle w:val="TableBullet"/>
              <w:numPr>
                <w:ilvl w:val="0"/>
                <w:numId w:val="32"/>
              </w:numPr>
              <w:tabs>
                <w:tab w:val="num" w:pos="284"/>
              </w:tabs>
              <w:ind w:left="284" w:hanging="284"/>
            </w:pPr>
            <w:r w:rsidRPr="003500FB">
              <w:t>Develop team/unit plans that take into account team capability and strengths</w:t>
            </w:r>
          </w:p>
          <w:p w:rsidR="00B345B2" w:rsidRPr="003500FB" w:rsidRDefault="00B345B2" w:rsidP="00D235DB">
            <w:pPr>
              <w:pStyle w:val="TableBullet"/>
              <w:numPr>
                <w:ilvl w:val="0"/>
                <w:numId w:val="32"/>
              </w:numPr>
              <w:tabs>
                <w:tab w:val="num" w:pos="284"/>
              </w:tabs>
              <w:ind w:left="284" w:hanging="284"/>
            </w:pPr>
            <w:r w:rsidRPr="003500FB">
              <w:t>Plan and monitor resource allocation effectively to achieve team/unit objectives</w:t>
            </w:r>
          </w:p>
          <w:p w:rsidR="00B345B2" w:rsidRPr="003500FB" w:rsidRDefault="00B345B2" w:rsidP="00D235DB">
            <w:pPr>
              <w:pStyle w:val="TableBullet"/>
              <w:numPr>
                <w:ilvl w:val="0"/>
                <w:numId w:val="32"/>
              </w:numPr>
              <w:tabs>
                <w:tab w:val="num" w:pos="284"/>
              </w:tabs>
              <w:ind w:left="284" w:hanging="284"/>
            </w:pPr>
            <w:r w:rsidRPr="003500FB">
              <w:t>Ensure team members work with a good understanding of business principles as they apply to the public sector context</w:t>
            </w:r>
          </w:p>
          <w:p w:rsidR="00B345B2" w:rsidRPr="003500FB" w:rsidRDefault="00B345B2" w:rsidP="00D235DB">
            <w:pPr>
              <w:pStyle w:val="TableBullet"/>
              <w:numPr>
                <w:ilvl w:val="0"/>
                <w:numId w:val="32"/>
              </w:numPr>
              <w:tabs>
                <w:tab w:val="num" w:pos="284"/>
              </w:tabs>
              <w:ind w:left="284" w:hanging="284"/>
            </w:pPr>
            <w:r w:rsidRPr="003500FB">
              <w:t>Participate in wider organisational workforce planning to ensure the availability of capable resources</w:t>
            </w:r>
          </w:p>
        </w:tc>
      </w:tr>
    </w:tbl>
    <w:p w:rsidR="00C24A20" w:rsidRDefault="00C24A20" w:rsidP="002F705D"/>
    <w:p w:rsidR="00F336D8" w:rsidRDefault="00F336D8" w:rsidP="002F705D"/>
    <w:tbl>
      <w:tblPr>
        <w:tblStyle w:val="PSCPurple"/>
        <w:tblW w:w="0" w:type="auto"/>
        <w:tblLook w:val="04A0" w:firstRow="1" w:lastRow="0" w:firstColumn="1" w:lastColumn="0" w:noHBand="0" w:noVBand="1"/>
      </w:tblPr>
      <w:tblGrid>
        <w:gridCol w:w="2316"/>
        <w:gridCol w:w="1832"/>
        <w:gridCol w:w="6340"/>
      </w:tblGrid>
      <w:tr w:rsidR="00692DD0" w:rsidRPr="00803E47" w:rsidTr="00E6739E">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692DD0" w:rsidRPr="00803E47" w:rsidRDefault="00692DD0" w:rsidP="00E6739E">
            <w:pPr>
              <w:pStyle w:val="TableTextWhite0"/>
              <w:jc w:val="both"/>
            </w:pPr>
            <w:r w:rsidRPr="00803E47">
              <w:lastRenderedPageBreak/>
              <w:t xml:space="preserve">Occupation </w:t>
            </w:r>
            <w:r>
              <w:t xml:space="preserve">Specific </w:t>
            </w:r>
            <w:r w:rsidRPr="00803E47">
              <w:t>/</w:t>
            </w:r>
            <w:r>
              <w:t xml:space="preserve"> Finance</w:t>
            </w:r>
          </w:p>
        </w:tc>
      </w:tr>
      <w:tr w:rsidR="00692DD0" w:rsidRPr="0003077E" w:rsidTr="00E6739E">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692DD0" w:rsidRPr="0003077E" w:rsidRDefault="00692DD0" w:rsidP="00E6739E">
            <w:pPr>
              <w:pStyle w:val="TableText"/>
              <w:jc w:val="both"/>
              <w:rPr>
                <w:b/>
              </w:rPr>
            </w:pPr>
            <w:r w:rsidRPr="00C267D4">
              <w:rPr>
                <w:b/>
              </w:rPr>
              <w:t>Capability Set</w:t>
            </w:r>
          </w:p>
        </w:tc>
        <w:tc>
          <w:tcPr>
            <w:tcW w:w="1843" w:type="dxa"/>
            <w:tcBorders>
              <w:top w:val="single" w:sz="8" w:space="0" w:color="BCBEC0"/>
              <w:bottom w:val="single" w:sz="8" w:space="0" w:color="BCBEC0"/>
            </w:tcBorders>
            <w:shd w:val="clear" w:color="auto" w:fill="BCBEC0"/>
          </w:tcPr>
          <w:p w:rsidR="00692DD0" w:rsidRPr="0003077E" w:rsidRDefault="00692DD0" w:rsidP="00E6739E">
            <w:pPr>
              <w:pStyle w:val="TableText"/>
              <w:jc w:val="both"/>
              <w:rPr>
                <w:b/>
              </w:rPr>
            </w:pPr>
          </w:p>
        </w:tc>
        <w:tc>
          <w:tcPr>
            <w:tcW w:w="6378" w:type="dxa"/>
            <w:tcBorders>
              <w:top w:val="single" w:sz="8" w:space="0" w:color="BCBEC0"/>
              <w:bottom w:val="single" w:sz="8" w:space="0" w:color="BCBEC0"/>
            </w:tcBorders>
            <w:shd w:val="clear" w:color="auto" w:fill="BCBEC0"/>
          </w:tcPr>
          <w:p w:rsidR="00692DD0" w:rsidRPr="0003077E" w:rsidRDefault="00692DD0" w:rsidP="00E6739E">
            <w:pPr>
              <w:pStyle w:val="TableText"/>
              <w:jc w:val="both"/>
              <w:rPr>
                <w:b/>
              </w:rPr>
            </w:pPr>
          </w:p>
        </w:tc>
      </w:tr>
      <w:tr w:rsidR="00692DD0" w:rsidRPr="00FD0EC3" w:rsidTr="00E6739E">
        <w:trPr>
          <w:cantSplit/>
        </w:trPr>
        <w:tc>
          <w:tcPr>
            <w:tcW w:w="2324" w:type="dxa"/>
          </w:tcPr>
          <w:p w:rsidR="00692DD0" w:rsidRPr="00C978B9" w:rsidRDefault="00692DD0" w:rsidP="00E6739E">
            <w:pPr>
              <w:pStyle w:val="TableText"/>
            </w:pPr>
            <w:r>
              <w:t>Management Accounting</w:t>
            </w:r>
          </w:p>
        </w:tc>
        <w:tc>
          <w:tcPr>
            <w:tcW w:w="1843" w:type="dxa"/>
          </w:tcPr>
          <w:p w:rsidR="00692DD0" w:rsidRPr="00C978B9" w:rsidRDefault="00692DD0" w:rsidP="00E6739E">
            <w:pPr>
              <w:pStyle w:val="TableText"/>
              <w:jc w:val="both"/>
            </w:pPr>
            <w:r>
              <w:t>Level 4</w:t>
            </w:r>
          </w:p>
        </w:tc>
        <w:tc>
          <w:tcPr>
            <w:tcW w:w="6378" w:type="dxa"/>
          </w:tcPr>
          <w:p w:rsidR="00692DD0" w:rsidRDefault="00692DD0" w:rsidP="000E61ED">
            <w:pPr>
              <w:pStyle w:val="ListParagraph"/>
              <w:numPr>
                <w:ilvl w:val="0"/>
                <w:numId w:val="35"/>
              </w:numPr>
              <w:spacing w:before="40" w:after="40" w:line="280" w:lineRule="atLeast"/>
              <w:ind w:left="369" w:hanging="369"/>
              <w:jc w:val="both"/>
              <w:rPr>
                <w:rFonts w:eastAsia="Times New Roman" w:cs="Arial"/>
                <w:sz w:val="20"/>
                <w:lang w:eastAsia="en-AU"/>
              </w:rPr>
            </w:pPr>
            <w:r>
              <w:rPr>
                <w:rFonts w:eastAsia="Times New Roman" w:cs="Arial"/>
                <w:sz w:val="20"/>
                <w:lang w:eastAsia="en-AU"/>
              </w:rPr>
              <w:t xml:space="preserve">Identify internal and relevant external data sources, providing appropriate inputs, financial and </w:t>
            </w:r>
            <w:proofErr w:type="spellStart"/>
            <w:r>
              <w:rPr>
                <w:rFonts w:eastAsia="Times New Roman" w:cs="Arial"/>
                <w:sz w:val="20"/>
                <w:lang w:eastAsia="en-AU"/>
              </w:rPr>
              <w:t>non financial</w:t>
            </w:r>
            <w:proofErr w:type="spellEnd"/>
            <w:r>
              <w:rPr>
                <w:rFonts w:eastAsia="Times New Roman" w:cs="Arial"/>
                <w:sz w:val="20"/>
                <w:lang w:eastAsia="en-AU"/>
              </w:rPr>
              <w:t>, to assist strategy formation.</w:t>
            </w:r>
          </w:p>
          <w:p w:rsidR="00692DD0" w:rsidRDefault="00692DD0" w:rsidP="000E61ED">
            <w:pPr>
              <w:pStyle w:val="ListParagraph"/>
              <w:numPr>
                <w:ilvl w:val="0"/>
                <w:numId w:val="35"/>
              </w:numPr>
              <w:spacing w:before="40" w:after="40" w:line="280" w:lineRule="atLeast"/>
              <w:ind w:left="369" w:hanging="369"/>
              <w:jc w:val="both"/>
              <w:rPr>
                <w:rFonts w:eastAsia="Times New Roman" w:cs="Arial"/>
                <w:sz w:val="20"/>
                <w:lang w:eastAsia="en-AU"/>
              </w:rPr>
            </w:pPr>
            <w:r>
              <w:rPr>
                <w:rFonts w:eastAsia="Times New Roman" w:cs="Arial"/>
                <w:sz w:val="20"/>
                <w:lang w:eastAsia="en-AU"/>
              </w:rPr>
              <w:t>Assess the impact of funding allocations on budget management and organisational capability.</w:t>
            </w:r>
          </w:p>
          <w:p w:rsidR="00692DD0" w:rsidRDefault="00692DD0" w:rsidP="000E61ED">
            <w:pPr>
              <w:pStyle w:val="ListParagraph"/>
              <w:numPr>
                <w:ilvl w:val="0"/>
                <w:numId w:val="35"/>
              </w:numPr>
              <w:spacing w:before="40" w:after="40" w:line="280" w:lineRule="atLeast"/>
              <w:ind w:left="369" w:hanging="369"/>
              <w:jc w:val="both"/>
              <w:rPr>
                <w:rFonts w:eastAsia="Times New Roman" w:cs="Arial"/>
                <w:sz w:val="20"/>
                <w:lang w:eastAsia="en-AU"/>
              </w:rPr>
            </w:pPr>
            <w:r>
              <w:rPr>
                <w:rFonts w:eastAsia="Times New Roman" w:cs="Arial"/>
                <w:sz w:val="20"/>
                <w:lang w:eastAsia="en-AU"/>
              </w:rPr>
              <w:t>Monitor, analyse and evaluate trends and financial implications of alternative business strategies, and cash flow, working capital and financing implications of specific projects.</w:t>
            </w:r>
          </w:p>
          <w:p w:rsidR="00692DD0" w:rsidRDefault="00692DD0" w:rsidP="000E61ED">
            <w:pPr>
              <w:pStyle w:val="ListParagraph"/>
              <w:numPr>
                <w:ilvl w:val="0"/>
                <w:numId w:val="35"/>
              </w:numPr>
              <w:spacing w:before="40" w:after="40" w:line="280" w:lineRule="atLeast"/>
              <w:ind w:left="369" w:hanging="369"/>
              <w:jc w:val="both"/>
              <w:rPr>
                <w:rFonts w:eastAsia="Times New Roman" w:cs="Arial"/>
                <w:sz w:val="20"/>
                <w:lang w:eastAsia="en-AU"/>
              </w:rPr>
            </w:pPr>
            <w:r>
              <w:rPr>
                <w:rFonts w:eastAsia="Times New Roman" w:cs="Arial"/>
                <w:sz w:val="20"/>
                <w:lang w:eastAsia="en-AU"/>
              </w:rPr>
              <w:t>Monitor, evaluate and report on environmental factors that impact corporate decision making processes.</w:t>
            </w:r>
          </w:p>
          <w:p w:rsidR="00692DD0" w:rsidRDefault="00692DD0" w:rsidP="000E61ED">
            <w:pPr>
              <w:pStyle w:val="ListParagraph"/>
              <w:numPr>
                <w:ilvl w:val="0"/>
                <w:numId w:val="35"/>
              </w:numPr>
              <w:spacing w:before="40" w:after="40" w:line="280" w:lineRule="atLeast"/>
              <w:ind w:left="369" w:hanging="369"/>
              <w:jc w:val="both"/>
              <w:rPr>
                <w:rFonts w:eastAsia="Times New Roman" w:cs="Arial"/>
                <w:sz w:val="20"/>
                <w:lang w:eastAsia="en-AU"/>
              </w:rPr>
            </w:pPr>
            <w:r>
              <w:rPr>
                <w:rFonts w:eastAsia="Times New Roman" w:cs="Arial"/>
                <w:sz w:val="20"/>
                <w:lang w:eastAsia="en-AU"/>
              </w:rPr>
              <w:t>Analyse overall organisational financial information, deviations from plan and trends to inform strategic business planning activities.</w:t>
            </w:r>
          </w:p>
          <w:p w:rsidR="00692DD0" w:rsidRPr="00FD0EC3" w:rsidRDefault="00692DD0" w:rsidP="000E61ED">
            <w:pPr>
              <w:pStyle w:val="ListParagraph"/>
              <w:numPr>
                <w:ilvl w:val="0"/>
                <w:numId w:val="35"/>
              </w:numPr>
              <w:spacing w:before="40" w:after="40" w:line="280" w:lineRule="atLeast"/>
              <w:ind w:left="369" w:hanging="369"/>
              <w:jc w:val="both"/>
              <w:rPr>
                <w:rFonts w:eastAsia="Times New Roman" w:cs="Arial"/>
                <w:sz w:val="20"/>
                <w:lang w:eastAsia="en-AU"/>
              </w:rPr>
            </w:pPr>
            <w:r>
              <w:rPr>
                <w:rFonts w:eastAsia="Times New Roman" w:cs="Arial"/>
                <w:sz w:val="20"/>
                <w:lang w:eastAsia="en-AU"/>
              </w:rPr>
              <w:t>Guide budget formation and use strategic financial information and analysis to test and support internal and external stakeholders.</w:t>
            </w:r>
          </w:p>
        </w:tc>
      </w:tr>
      <w:tr w:rsidR="00692DD0" w:rsidRPr="00673E9B" w:rsidTr="00E6739E">
        <w:trPr>
          <w:cantSplit/>
        </w:trPr>
        <w:tc>
          <w:tcPr>
            <w:tcW w:w="2324" w:type="dxa"/>
          </w:tcPr>
          <w:p w:rsidR="00692DD0" w:rsidRPr="00A8492D" w:rsidRDefault="00692DD0" w:rsidP="00E6739E">
            <w:pPr>
              <w:pStyle w:val="TableText"/>
            </w:pPr>
            <w:r>
              <w:t>Finance Operations and Systems</w:t>
            </w:r>
          </w:p>
        </w:tc>
        <w:tc>
          <w:tcPr>
            <w:tcW w:w="1843" w:type="dxa"/>
          </w:tcPr>
          <w:p w:rsidR="00692DD0" w:rsidRPr="00A8492D" w:rsidRDefault="00692DD0" w:rsidP="00E6739E">
            <w:pPr>
              <w:pStyle w:val="TableText"/>
              <w:jc w:val="both"/>
            </w:pPr>
            <w:r>
              <w:t xml:space="preserve">Level </w:t>
            </w:r>
            <w:r w:rsidR="000E61ED">
              <w:t>3</w:t>
            </w:r>
          </w:p>
        </w:tc>
        <w:tc>
          <w:tcPr>
            <w:tcW w:w="6378" w:type="dxa"/>
          </w:tcPr>
          <w:p w:rsidR="000E61ED" w:rsidRDefault="000E61ED" w:rsidP="000E61ED">
            <w:pPr>
              <w:pStyle w:val="TableText"/>
              <w:numPr>
                <w:ilvl w:val="0"/>
                <w:numId w:val="34"/>
              </w:numPr>
              <w:jc w:val="both"/>
            </w:pPr>
            <w:r>
              <w:t>Evaluate finance information systems, processes and user operating documentation for reliability, clarity and efficiency</w:t>
            </w:r>
          </w:p>
          <w:p w:rsidR="000E61ED" w:rsidRDefault="000E61ED" w:rsidP="000E61ED">
            <w:pPr>
              <w:pStyle w:val="TableText"/>
              <w:numPr>
                <w:ilvl w:val="0"/>
                <w:numId w:val="34"/>
              </w:numPr>
              <w:jc w:val="both"/>
            </w:pPr>
            <w:r>
              <w:t>Provide technical review and reliable advice relating to financial terminology and processes, AAS and NSW Treasury Accounting policies and key financial measures</w:t>
            </w:r>
          </w:p>
          <w:p w:rsidR="000E61ED" w:rsidRDefault="000E61ED" w:rsidP="000E61ED">
            <w:pPr>
              <w:pStyle w:val="TableText"/>
              <w:numPr>
                <w:ilvl w:val="0"/>
                <w:numId w:val="34"/>
              </w:numPr>
              <w:jc w:val="both"/>
            </w:pPr>
            <w:r>
              <w:t>Establish and manage general ledger and account management processes and perform financial system checks, testing for compliance with control and related requirements</w:t>
            </w:r>
          </w:p>
          <w:p w:rsidR="000E61ED" w:rsidRDefault="000E61ED" w:rsidP="000E61ED">
            <w:pPr>
              <w:pStyle w:val="TableText"/>
              <w:numPr>
                <w:ilvl w:val="0"/>
                <w:numId w:val="34"/>
              </w:numPr>
              <w:jc w:val="both"/>
            </w:pPr>
            <w:r>
              <w:t>Assure the timely and accurate operation of the finance system to capture data and business information</w:t>
            </w:r>
          </w:p>
          <w:p w:rsidR="000E61ED" w:rsidRDefault="000E61ED" w:rsidP="000E61ED">
            <w:pPr>
              <w:pStyle w:val="TableText"/>
              <w:numPr>
                <w:ilvl w:val="0"/>
                <w:numId w:val="34"/>
              </w:numPr>
              <w:jc w:val="both"/>
            </w:pPr>
            <w:r>
              <w:t>Interpret and determine user requirements to assist development of financial systems and processes to satisfy AAS and meet business needs</w:t>
            </w:r>
          </w:p>
          <w:p w:rsidR="002806E5" w:rsidRPr="00673E9B" w:rsidRDefault="000E61ED" w:rsidP="000E61ED">
            <w:pPr>
              <w:pStyle w:val="TableText"/>
              <w:numPr>
                <w:ilvl w:val="0"/>
                <w:numId w:val="34"/>
              </w:numPr>
              <w:jc w:val="both"/>
            </w:pPr>
            <w:r>
              <w:t>Develop cash forecasting models to support long term cash requirements</w:t>
            </w:r>
          </w:p>
        </w:tc>
      </w:tr>
      <w:tr w:rsidR="002806E5" w:rsidRPr="00673E9B" w:rsidTr="00E6739E">
        <w:trPr>
          <w:cantSplit/>
        </w:trPr>
        <w:tc>
          <w:tcPr>
            <w:tcW w:w="2324" w:type="dxa"/>
          </w:tcPr>
          <w:p w:rsidR="002806E5" w:rsidRDefault="002806E5" w:rsidP="00E6739E">
            <w:pPr>
              <w:pStyle w:val="TableText"/>
            </w:pPr>
            <w:r>
              <w:t>Finance Business Partnering</w:t>
            </w:r>
          </w:p>
        </w:tc>
        <w:tc>
          <w:tcPr>
            <w:tcW w:w="1843" w:type="dxa"/>
          </w:tcPr>
          <w:p w:rsidR="002806E5" w:rsidRDefault="002806E5" w:rsidP="00E6739E">
            <w:pPr>
              <w:pStyle w:val="TableText"/>
              <w:jc w:val="both"/>
            </w:pPr>
            <w:r>
              <w:t>Level 3</w:t>
            </w:r>
          </w:p>
        </w:tc>
        <w:tc>
          <w:tcPr>
            <w:tcW w:w="6378" w:type="dxa"/>
          </w:tcPr>
          <w:p w:rsidR="002806E5" w:rsidRDefault="003412E6" w:rsidP="00692DD0">
            <w:pPr>
              <w:pStyle w:val="TableText"/>
              <w:numPr>
                <w:ilvl w:val="0"/>
                <w:numId w:val="34"/>
              </w:numPr>
              <w:ind w:left="369" w:hanging="369"/>
              <w:jc w:val="both"/>
            </w:pPr>
            <w:r>
              <w:t>Provide quality technical support to business leaders in preparation of budget submissions, capital investment business cases, program evaluation and cost modelling activities.</w:t>
            </w:r>
          </w:p>
          <w:p w:rsidR="003412E6" w:rsidRDefault="003412E6" w:rsidP="00692DD0">
            <w:pPr>
              <w:pStyle w:val="TableText"/>
              <w:numPr>
                <w:ilvl w:val="0"/>
                <w:numId w:val="34"/>
              </w:numPr>
              <w:ind w:left="369" w:hanging="369"/>
              <w:jc w:val="both"/>
            </w:pPr>
            <w:r>
              <w:t>Broker finance function resources and expertise to meet the expectations of senior business and organisational stakeholders.</w:t>
            </w:r>
          </w:p>
          <w:p w:rsidR="003412E6" w:rsidRPr="00673E9B" w:rsidRDefault="003412E6" w:rsidP="00692DD0">
            <w:pPr>
              <w:pStyle w:val="TableText"/>
              <w:numPr>
                <w:ilvl w:val="0"/>
                <w:numId w:val="34"/>
              </w:numPr>
              <w:ind w:left="369" w:hanging="369"/>
              <w:jc w:val="both"/>
            </w:pPr>
            <w:r>
              <w:t xml:space="preserve">Provide appropriate, high quality, reliable </w:t>
            </w:r>
          </w:p>
        </w:tc>
      </w:tr>
    </w:tbl>
    <w:p w:rsidR="009328AC" w:rsidRDefault="009328AC" w:rsidP="002F705D"/>
    <w:sectPr w:rsidR="009328AC" w:rsidSect="003A342B">
      <w:headerReference w:type="default" r:id="rId16"/>
      <w:footerReference w:type="default" r:id="rId17"/>
      <w:headerReference w:type="first" r:id="rId18"/>
      <w:footerReference w:type="first" r:id="rId19"/>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9E" w:rsidRDefault="00E6739E" w:rsidP="00AC273D">
      <w:pPr>
        <w:spacing w:after="0" w:line="240" w:lineRule="auto"/>
      </w:pPr>
      <w:r>
        <w:separator/>
      </w:r>
    </w:p>
  </w:endnote>
  <w:endnote w:type="continuationSeparator" w:id="0">
    <w:p w:rsidR="00E6739E" w:rsidRDefault="00E6739E"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6739E" w:rsidTr="00CD6BA6">
      <w:tc>
        <w:tcPr>
          <w:tcW w:w="9709" w:type="dxa"/>
          <w:vAlign w:val="bottom"/>
        </w:tcPr>
        <w:p w:rsidR="00E6739E" w:rsidRPr="00051237" w:rsidRDefault="00E6739E" w:rsidP="00AE5FD1">
          <w:pPr>
            <w:pStyle w:val="Footer"/>
            <w:tabs>
              <w:tab w:val="clear" w:pos="4513"/>
              <w:tab w:val="center" w:pos="5315"/>
            </w:tabs>
          </w:pPr>
          <w:r w:rsidRPr="00C856AA">
            <w:rPr>
              <w:color w:val="808080" w:themeColor="background1" w:themeShade="80"/>
              <w:sz w:val="16"/>
              <w:szCs w:val="16"/>
            </w:rPr>
            <w:t xml:space="preserve">Role Description – </w:t>
          </w:r>
          <w:r>
            <w:rPr>
              <w:color w:val="808080" w:themeColor="background1" w:themeShade="80"/>
              <w:sz w:val="16"/>
              <w:szCs w:val="16"/>
            </w:rPr>
            <w:t>M</w:t>
          </w:r>
          <w:r w:rsidR="008E4619">
            <w:rPr>
              <w:color w:val="808080" w:themeColor="background1" w:themeShade="80"/>
              <w:sz w:val="16"/>
              <w:szCs w:val="16"/>
            </w:rPr>
            <w:t>anagement Accountant (RFS1047</w:t>
          </w:r>
          <w:r>
            <w:rPr>
              <w:color w:val="808080" w:themeColor="background1" w:themeShade="80"/>
              <w:sz w:val="16"/>
              <w:szCs w:val="16"/>
            </w:rPr>
            <w:t>)</w:t>
          </w:r>
          <w:r>
            <w:rPr>
              <w:color w:val="000000" w:themeColor="text1"/>
            </w:rPr>
            <w:tab/>
          </w:r>
          <w:r w:rsidR="00BF76C6">
            <w:rPr>
              <w:noProof/>
              <w:lang w:eastAsia="en-AU"/>
            </w:rPr>
            <w:fldChar w:fldCharType="begin"/>
          </w:r>
          <w:r>
            <w:rPr>
              <w:noProof/>
              <w:lang w:eastAsia="en-AU"/>
            </w:rPr>
            <w:instrText xml:space="preserve"> PAGE  \* Arabic </w:instrText>
          </w:r>
          <w:r w:rsidR="00BF76C6">
            <w:rPr>
              <w:noProof/>
              <w:lang w:eastAsia="en-AU"/>
            </w:rPr>
            <w:fldChar w:fldCharType="separate"/>
          </w:r>
          <w:r w:rsidR="00FF540B">
            <w:rPr>
              <w:noProof/>
              <w:lang w:eastAsia="en-AU"/>
            </w:rPr>
            <w:t>4</w:t>
          </w:r>
          <w:r w:rsidR="00BF76C6">
            <w:rPr>
              <w:noProof/>
              <w:lang w:eastAsia="en-AU"/>
            </w:rPr>
            <w:fldChar w:fldCharType="end"/>
          </w:r>
        </w:p>
      </w:tc>
      <w:tc>
        <w:tcPr>
          <w:tcW w:w="851" w:type="dxa"/>
        </w:tcPr>
        <w:p w:rsidR="00E6739E" w:rsidRDefault="00E6739E" w:rsidP="00CD6BA6">
          <w:pPr>
            <w:pStyle w:val="Footer"/>
            <w:jc w:val="right"/>
          </w:pPr>
          <w:r>
            <w:rPr>
              <w:noProof/>
              <w:lang w:eastAsia="en-AU"/>
            </w:rPr>
            <w:drawing>
              <wp:inline distT="0" distB="0" distL="0" distR="0">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E6739E" w:rsidRPr="001E2B26" w:rsidRDefault="00E6739E"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6739E" w:rsidTr="00732229">
      <w:tc>
        <w:tcPr>
          <w:tcW w:w="9709" w:type="dxa"/>
          <w:vAlign w:val="bottom"/>
        </w:tcPr>
        <w:p w:rsidR="00E6739E" w:rsidRPr="00051237" w:rsidRDefault="00E6739E" w:rsidP="00AE5FD1">
          <w:pPr>
            <w:pStyle w:val="Footer"/>
            <w:tabs>
              <w:tab w:val="left" w:pos="5145"/>
            </w:tabs>
          </w:pPr>
          <w:r w:rsidRPr="00C856AA">
            <w:rPr>
              <w:color w:val="808080" w:themeColor="background1" w:themeShade="80"/>
              <w:sz w:val="16"/>
              <w:szCs w:val="16"/>
            </w:rPr>
            <w:t xml:space="preserve">Role Description – </w:t>
          </w:r>
          <w:r>
            <w:rPr>
              <w:color w:val="808080" w:themeColor="background1" w:themeShade="80"/>
              <w:sz w:val="16"/>
              <w:szCs w:val="16"/>
            </w:rPr>
            <w:t>M</w:t>
          </w:r>
          <w:r w:rsidR="008E4619">
            <w:rPr>
              <w:color w:val="808080" w:themeColor="background1" w:themeShade="80"/>
              <w:sz w:val="16"/>
              <w:szCs w:val="16"/>
            </w:rPr>
            <w:t>anagement Accountant (RFS 1047</w:t>
          </w:r>
          <w:r>
            <w:rPr>
              <w:color w:val="808080" w:themeColor="background1" w:themeShade="80"/>
              <w:sz w:val="16"/>
              <w:szCs w:val="16"/>
            </w:rPr>
            <w:t>)</w:t>
          </w:r>
          <w:r>
            <w:rPr>
              <w:color w:val="000000" w:themeColor="text1"/>
            </w:rPr>
            <w:tab/>
          </w:r>
          <w:r w:rsidR="00BF76C6">
            <w:rPr>
              <w:noProof/>
              <w:lang w:eastAsia="en-AU"/>
            </w:rPr>
            <w:fldChar w:fldCharType="begin"/>
          </w:r>
          <w:r>
            <w:rPr>
              <w:noProof/>
              <w:lang w:eastAsia="en-AU"/>
            </w:rPr>
            <w:instrText xml:space="preserve"> PAGE  \* Arabic </w:instrText>
          </w:r>
          <w:r w:rsidR="00BF76C6">
            <w:rPr>
              <w:noProof/>
              <w:lang w:eastAsia="en-AU"/>
            </w:rPr>
            <w:fldChar w:fldCharType="separate"/>
          </w:r>
          <w:r w:rsidR="00FF540B">
            <w:rPr>
              <w:noProof/>
              <w:lang w:eastAsia="en-AU"/>
            </w:rPr>
            <w:t>1</w:t>
          </w:r>
          <w:r w:rsidR="00BF76C6">
            <w:rPr>
              <w:noProof/>
              <w:lang w:eastAsia="en-AU"/>
            </w:rPr>
            <w:fldChar w:fldCharType="end"/>
          </w:r>
        </w:p>
      </w:tc>
      <w:tc>
        <w:tcPr>
          <w:tcW w:w="851" w:type="dxa"/>
        </w:tcPr>
        <w:p w:rsidR="00E6739E" w:rsidRDefault="00E6739E" w:rsidP="00732229">
          <w:pPr>
            <w:pStyle w:val="Footer"/>
            <w:jc w:val="right"/>
          </w:pPr>
          <w:r>
            <w:rPr>
              <w:noProof/>
              <w:lang w:eastAsia="en-AU"/>
            </w:rPr>
            <w:drawing>
              <wp:inline distT="0" distB="0" distL="0" distR="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E6739E" w:rsidRDefault="00E6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9E" w:rsidRDefault="00E6739E" w:rsidP="00AC273D">
      <w:pPr>
        <w:spacing w:after="0" w:line="240" w:lineRule="auto"/>
      </w:pPr>
      <w:r>
        <w:separator/>
      </w:r>
    </w:p>
  </w:footnote>
  <w:footnote w:type="continuationSeparator" w:id="0">
    <w:p w:rsidR="00E6739E" w:rsidRDefault="00E6739E"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9E" w:rsidRDefault="00E67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3"/>
    </w:tblGrid>
    <w:tr w:rsidR="00E6739E" w:rsidTr="002D26BC">
      <w:trPr>
        <w:cnfStyle w:val="100000000000" w:firstRow="1" w:lastRow="0" w:firstColumn="0" w:lastColumn="0" w:oddVBand="0" w:evenVBand="0" w:oddHBand="0" w:evenHBand="0" w:firstRowFirstColumn="0" w:firstRowLastColumn="0" w:lastRowFirstColumn="0" w:lastRowLastColumn="0"/>
        <w:trHeight w:val="2070"/>
      </w:trPr>
      <w:tc>
        <w:tcPr>
          <w:tcW w:w="5000" w:type="pct"/>
          <w:noWrap/>
        </w:tcPr>
        <w:p w:rsidR="00E6739E" w:rsidRPr="00172A22" w:rsidRDefault="00E6739E" w:rsidP="00C27AAF">
          <w:pPr>
            <w:pStyle w:val="TitleSub"/>
            <w:spacing w:after="0"/>
          </w:pPr>
          <w:r>
            <w:rPr>
              <w:noProof/>
              <w:lang w:eastAsia="en-AU"/>
            </w:rPr>
            <w:drawing>
              <wp:anchor distT="0" distB="0" distL="114300" distR="114300" simplePos="0" relativeHeight="251657216" behindDoc="1" locked="0" layoutInCell="1" allowOverlap="1">
                <wp:simplePos x="0" y="0"/>
                <wp:positionH relativeFrom="column">
                  <wp:posOffset>5645785</wp:posOffset>
                </wp:positionH>
                <wp:positionV relativeFrom="paragraph">
                  <wp:posOffset>-15875</wp:posOffset>
                </wp:positionV>
                <wp:extent cx="866775" cy="1095375"/>
                <wp:effectExtent l="19050" t="0" r="9525" b="0"/>
                <wp:wrapNone/>
                <wp:docPr id="15" name="Picture 37" descr="C:\Users\Jennifer-Jervis\AppData\Local\Microsoft\Windows\Temporary Internet Files\Content.Outlook\DUKJCXA3\NSWRFSCOLrevis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Jervis\AppData\Local\Microsoft\Windows\Temporary Internet Files\Content.Outlook\DUKJCXA3\NSWRFSCOLreviselo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6775" cy="1095375"/>
                        </a:xfrm>
                        <a:prstGeom prst="rect">
                          <a:avLst/>
                        </a:prstGeom>
                        <a:noFill/>
                        <a:ln>
                          <a:noFill/>
                        </a:ln>
                      </pic:spPr>
                    </pic:pic>
                  </a:graphicData>
                </a:graphic>
              </wp:anchor>
            </w:drawing>
          </w:r>
          <w:r w:rsidRPr="00172A22">
            <w:t>Role Description</w:t>
          </w:r>
          <w:r>
            <w:t xml:space="preserve"> </w:t>
          </w:r>
        </w:p>
        <w:p w:rsidR="00E6739E" w:rsidRPr="00E553FE" w:rsidRDefault="00E6739E" w:rsidP="00C27AAF">
          <w:pPr>
            <w:pStyle w:val="Title"/>
            <w:rPr>
              <w:sz w:val="40"/>
              <w:szCs w:val="40"/>
            </w:rPr>
          </w:pPr>
          <w:bookmarkStart w:id="57" w:name="Title"/>
          <w:bookmarkEnd w:id="57"/>
          <w:r w:rsidRPr="00E553FE">
            <w:rPr>
              <w:sz w:val="40"/>
              <w:szCs w:val="40"/>
            </w:rPr>
            <w:t>Management Accountant</w:t>
          </w:r>
        </w:p>
        <w:p w:rsidR="00E6739E" w:rsidRDefault="00E6739E" w:rsidP="002D26BC">
          <w:pPr>
            <w:tabs>
              <w:tab w:val="left" w:pos="8415"/>
            </w:tabs>
          </w:pPr>
        </w:p>
        <w:p w:rsidR="00E6739E" w:rsidRDefault="00E6739E" w:rsidP="002D26BC">
          <w:pPr>
            <w:tabs>
              <w:tab w:val="left" w:pos="8415"/>
            </w:tabs>
          </w:pPr>
        </w:p>
        <w:p w:rsidR="00E6739E" w:rsidRPr="00C856AA" w:rsidRDefault="00E6739E" w:rsidP="002D26BC">
          <w:pPr>
            <w:tabs>
              <w:tab w:val="left" w:pos="8415"/>
            </w:tabs>
            <w:rPr>
              <w:color w:val="BFBFBF" w:themeColor="background1" w:themeShade="BF"/>
            </w:rPr>
          </w:pPr>
          <w:r w:rsidRPr="00C856AA">
            <w:rPr>
              <w:color w:val="BFBFBF" w:themeColor="background1" w:themeShade="BF"/>
            </w:rPr>
            <w:tab/>
          </w:r>
        </w:p>
      </w:tc>
    </w:tr>
  </w:tbl>
  <w:p w:rsidR="00E6739E" w:rsidRPr="00057CB3" w:rsidRDefault="00E6739E"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5.8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1043A"/>
    <w:multiLevelType w:val="hybridMultilevel"/>
    <w:tmpl w:val="B35E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A46B8D"/>
    <w:multiLevelType w:val="hybridMultilevel"/>
    <w:tmpl w:val="9DC06C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349CB"/>
    <w:multiLevelType w:val="hybridMultilevel"/>
    <w:tmpl w:val="56C63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AE1375"/>
    <w:multiLevelType w:val="hybridMultilevel"/>
    <w:tmpl w:val="43CA3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472D2E"/>
    <w:multiLevelType w:val="hybridMultilevel"/>
    <w:tmpl w:val="E458BF2C"/>
    <w:lvl w:ilvl="0" w:tplc="4CFE4276">
      <w:start w:val="1"/>
      <w:numFmt w:val="bullet"/>
      <w:lvlText w:val=""/>
      <w:lvlJc w:val="left"/>
      <w:pPr>
        <w:tabs>
          <w:tab w:val="num" w:pos="284"/>
        </w:tabs>
        <w:ind w:left="284" w:hanging="284"/>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EB6FA2"/>
    <w:multiLevelType w:val="hybridMultilevel"/>
    <w:tmpl w:val="E774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6A2DB4"/>
    <w:multiLevelType w:val="hybridMultilevel"/>
    <w:tmpl w:val="9006DAFE"/>
    <w:lvl w:ilvl="0" w:tplc="F62C91FC">
      <w:start w:val="1"/>
      <w:numFmt w:val="bullet"/>
      <w:pStyle w:val="StyleTableBullet9ptLinespacingsingle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5D5F1D"/>
    <w:multiLevelType w:val="hybridMultilevel"/>
    <w:tmpl w:val="4CD864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23F57"/>
    <w:multiLevelType w:val="hybridMultilevel"/>
    <w:tmpl w:val="6924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6F460FA"/>
    <w:multiLevelType w:val="hybridMultilevel"/>
    <w:tmpl w:val="B33C7E0A"/>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2F5DBE"/>
    <w:multiLevelType w:val="hybridMultilevel"/>
    <w:tmpl w:val="12BCF44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004"/>
        </w:tabs>
        <w:ind w:left="1004" w:hanging="284"/>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404BC3"/>
    <w:multiLevelType w:val="hybridMultilevel"/>
    <w:tmpl w:val="5934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7"/>
  </w:num>
  <w:num w:numId="21">
    <w:abstractNumId w:val="23"/>
  </w:num>
  <w:num w:numId="22">
    <w:abstractNumId w:val="19"/>
  </w:num>
  <w:num w:numId="23">
    <w:abstractNumId w:val="20"/>
  </w:num>
  <w:num w:numId="24">
    <w:abstractNumId w:val="17"/>
  </w:num>
  <w:num w:numId="25">
    <w:abstractNumId w:val="30"/>
  </w:num>
  <w:num w:numId="26">
    <w:abstractNumId w:val="26"/>
  </w:num>
  <w:num w:numId="27">
    <w:abstractNumId w:val="29"/>
  </w:num>
  <w:num w:numId="28">
    <w:abstractNumId w:val="21"/>
  </w:num>
  <w:num w:numId="29">
    <w:abstractNumId w:val="24"/>
  </w:num>
  <w:num w:numId="30">
    <w:abstractNumId w:val="22"/>
  </w:num>
  <w:num w:numId="31">
    <w:abstractNumId w:val="16"/>
  </w:num>
  <w:num w:numId="32">
    <w:abstractNumId w:val="9"/>
  </w:num>
  <w:num w:numId="33">
    <w:abstractNumId w:val="11"/>
  </w:num>
  <w:num w:numId="34">
    <w:abstractNumId w:val="14"/>
  </w:num>
  <w:num w:numId="35">
    <w:abstractNumId w:val="18"/>
  </w:num>
  <w:num w:numId="36">
    <w:abstractNumId w:val="28"/>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CE"/>
    <w:rsid w:val="000004A7"/>
    <w:rsid w:val="0000267F"/>
    <w:rsid w:val="000044A0"/>
    <w:rsid w:val="00006660"/>
    <w:rsid w:val="00010397"/>
    <w:rsid w:val="00014206"/>
    <w:rsid w:val="00014E98"/>
    <w:rsid w:val="000151A9"/>
    <w:rsid w:val="00021C23"/>
    <w:rsid w:val="000227A8"/>
    <w:rsid w:val="0002436B"/>
    <w:rsid w:val="00024941"/>
    <w:rsid w:val="00024EC4"/>
    <w:rsid w:val="0002595E"/>
    <w:rsid w:val="0002637C"/>
    <w:rsid w:val="0003077E"/>
    <w:rsid w:val="00030C9C"/>
    <w:rsid w:val="00031E32"/>
    <w:rsid w:val="0003659D"/>
    <w:rsid w:val="000406CD"/>
    <w:rsid w:val="00042681"/>
    <w:rsid w:val="00043B92"/>
    <w:rsid w:val="000440C3"/>
    <w:rsid w:val="00045975"/>
    <w:rsid w:val="000477E1"/>
    <w:rsid w:val="00050CD8"/>
    <w:rsid w:val="00051237"/>
    <w:rsid w:val="000564AF"/>
    <w:rsid w:val="00057479"/>
    <w:rsid w:val="000575F8"/>
    <w:rsid w:val="00057CB3"/>
    <w:rsid w:val="00057FCB"/>
    <w:rsid w:val="00060B42"/>
    <w:rsid w:val="000618BB"/>
    <w:rsid w:val="00061A44"/>
    <w:rsid w:val="0006207C"/>
    <w:rsid w:val="000626FD"/>
    <w:rsid w:val="00062859"/>
    <w:rsid w:val="0006316C"/>
    <w:rsid w:val="00065A31"/>
    <w:rsid w:val="000673A1"/>
    <w:rsid w:val="00071200"/>
    <w:rsid w:val="00073F1E"/>
    <w:rsid w:val="000748C3"/>
    <w:rsid w:val="000758D0"/>
    <w:rsid w:val="00077B45"/>
    <w:rsid w:val="00077DFF"/>
    <w:rsid w:val="00083CA1"/>
    <w:rsid w:val="0008547B"/>
    <w:rsid w:val="00086B43"/>
    <w:rsid w:val="0009116E"/>
    <w:rsid w:val="000915AA"/>
    <w:rsid w:val="00092A99"/>
    <w:rsid w:val="000931DE"/>
    <w:rsid w:val="00094538"/>
    <w:rsid w:val="0009663A"/>
    <w:rsid w:val="000967EB"/>
    <w:rsid w:val="000975C1"/>
    <w:rsid w:val="00097C7F"/>
    <w:rsid w:val="00097CC6"/>
    <w:rsid w:val="000A16AF"/>
    <w:rsid w:val="000A417B"/>
    <w:rsid w:val="000A4E9E"/>
    <w:rsid w:val="000A75A4"/>
    <w:rsid w:val="000B0D03"/>
    <w:rsid w:val="000B1069"/>
    <w:rsid w:val="000B127E"/>
    <w:rsid w:val="000B370C"/>
    <w:rsid w:val="000B6008"/>
    <w:rsid w:val="000C2AB2"/>
    <w:rsid w:val="000D05E3"/>
    <w:rsid w:val="000E149C"/>
    <w:rsid w:val="000E264B"/>
    <w:rsid w:val="000E2D7E"/>
    <w:rsid w:val="000E326C"/>
    <w:rsid w:val="000E4DC1"/>
    <w:rsid w:val="000E5EE6"/>
    <w:rsid w:val="000E61ED"/>
    <w:rsid w:val="000E7BCD"/>
    <w:rsid w:val="000F21C2"/>
    <w:rsid w:val="000F2309"/>
    <w:rsid w:val="000F2402"/>
    <w:rsid w:val="000F3527"/>
    <w:rsid w:val="000F3CB4"/>
    <w:rsid w:val="000F3F7E"/>
    <w:rsid w:val="000F5C76"/>
    <w:rsid w:val="000F648C"/>
    <w:rsid w:val="000F789E"/>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13FC"/>
    <w:rsid w:val="00136377"/>
    <w:rsid w:val="00142D10"/>
    <w:rsid w:val="0014452C"/>
    <w:rsid w:val="0014725A"/>
    <w:rsid w:val="0015445F"/>
    <w:rsid w:val="00156D4C"/>
    <w:rsid w:val="001612BF"/>
    <w:rsid w:val="00162154"/>
    <w:rsid w:val="00162275"/>
    <w:rsid w:val="00162C99"/>
    <w:rsid w:val="001708F4"/>
    <w:rsid w:val="0017252E"/>
    <w:rsid w:val="00172A22"/>
    <w:rsid w:val="00173FB9"/>
    <w:rsid w:val="00173FD1"/>
    <w:rsid w:val="00174755"/>
    <w:rsid w:val="00176201"/>
    <w:rsid w:val="00176E9A"/>
    <w:rsid w:val="001772A3"/>
    <w:rsid w:val="00186C79"/>
    <w:rsid w:val="00186F6C"/>
    <w:rsid w:val="001875E2"/>
    <w:rsid w:val="00187715"/>
    <w:rsid w:val="00190510"/>
    <w:rsid w:val="00191ACA"/>
    <w:rsid w:val="00191F05"/>
    <w:rsid w:val="00193177"/>
    <w:rsid w:val="001945A8"/>
    <w:rsid w:val="00194E0A"/>
    <w:rsid w:val="00197236"/>
    <w:rsid w:val="001A1637"/>
    <w:rsid w:val="001A1CF1"/>
    <w:rsid w:val="001A55B2"/>
    <w:rsid w:val="001A5B5E"/>
    <w:rsid w:val="001A704A"/>
    <w:rsid w:val="001B0AF4"/>
    <w:rsid w:val="001B7940"/>
    <w:rsid w:val="001C0122"/>
    <w:rsid w:val="001C0E34"/>
    <w:rsid w:val="001C2753"/>
    <w:rsid w:val="001D0E26"/>
    <w:rsid w:val="001D0E78"/>
    <w:rsid w:val="001D133A"/>
    <w:rsid w:val="001D1BB5"/>
    <w:rsid w:val="001D6B1C"/>
    <w:rsid w:val="001D73CA"/>
    <w:rsid w:val="001E0F3B"/>
    <w:rsid w:val="001E1FAD"/>
    <w:rsid w:val="001E2778"/>
    <w:rsid w:val="001E2B26"/>
    <w:rsid w:val="001E4668"/>
    <w:rsid w:val="001E7CA4"/>
    <w:rsid w:val="001F0E79"/>
    <w:rsid w:val="001F1245"/>
    <w:rsid w:val="001F3B8E"/>
    <w:rsid w:val="001F57B6"/>
    <w:rsid w:val="001F5938"/>
    <w:rsid w:val="001F618B"/>
    <w:rsid w:val="00202CD4"/>
    <w:rsid w:val="00203E4E"/>
    <w:rsid w:val="00213783"/>
    <w:rsid w:val="00213ED7"/>
    <w:rsid w:val="00222CC4"/>
    <w:rsid w:val="002256A0"/>
    <w:rsid w:val="002347AA"/>
    <w:rsid w:val="00237136"/>
    <w:rsid w:val="00237CFF"/>
    <w:rsid w:val="00250795"/>
    <w:rsid w:val="002526DA"/>
    <w:rsid w:val="00252BF9"/>
    <w:rsid w:val="00252ED6"/>
    <w:rsid w:val="00261EE6"/>
    <w:rsid w:val="00263B79"/>
    <w:rsid w:val="002647FA"/>
    <w:rsid w:val="00271FAE"/>
    <w:rsid w:val="002735A9"/>
    <w:rsid w:val="00273A87"/>
    <w:rsid w:val="0028049D"/>
    <w:rsid w:val="00280676"/>
    <w:rsid w:val="002806E5"/>
    <w:rsid w:val="00284AB6"/>
    <w:rsid w:val="00284FE6"/>
    <w:rsid w:val="00285393"/>
    <w:rsid w:val="00285EA6"/>
    <w:rsid w:val="00285EF8"/>
    <w:rsid w:val="002863B5"/>
    <w:rsid w:val="00286B47"/>
    <w:rsid w:val="002872F7"/>
    <w:rsid w:val="002901B8"/>
    <w:rsid w:val="002930D2"/>
    <w:rsid w:val="00294E56"/>
    <w:rsid w:val="00297CDF"/>
    <w:rsid w:val="002A18A8"/>
    <w:rsid w:val="002A41AA"/>
    <w:rsid w:val="002A60C2"/>
    <w:rsid w:val="002B27D4"/>
    <w:rsid w:val="002B2FFF"/>
    <w:rsid w:val="002C0572"/>
    <w:rsid w:val="002C1CAB"/>
    <w:rsid w:val="002C458A"/>
    <w:rsid w:val="002D0251"/>
    <w:rsid w:val="002D26BC"/>
    <w:rsid w:val="002D4902"/>
    <w:rsid w:val="002D4927"/>
    <w:rsid w:val="002D4DE0"/>
    <w:rsid w:val="002D5CC7"/>
    <w:rsid w:val="002D6639"/>
    <w:rsid w:val="002E048E"/>
    <w:rsid w:val="002E09D3"/>
    <w:rsid w:val="002E11BF"/>
    <w:rsid w:val="002E26A7"/>
    <w:rsid w:val="002E3146"/>
    <w:rsid w:val="002E3B98"/>
    <w:rsid w:val="002E52B5"/>
    <w:rsid w:val="002F07BE"/>
    <w:rsid w:val="002F2D26"/>
    <w:rsid w:val="002F5361"/>
    <w:rsid w:val="002F586E"/>
    <w:rsid w:val="002F692E"/>
    <w:rsid w:val="002F705D"/>
    <w:rsid w:val="003000E8"/>
    <w:rsid w:val="003008BA"/>
    <w:rsid w:val="0030097A"/>
    <w:rsid w:val="00301B57"/>
    <w:rsid w:val="00302551"/>
    <w:rsid w:val="003109FD"/>
    <w:rsid w:val="00311741"/>
    <w:rsid w:val="00311DBC"/>
    <w:rsid w:val="00313043"/>
    <w:rsid w:val="003224D0"/>
    <w:rsid w:val="00322529"/>
    <w:rsid w:val="003232D0"/>
    <w:rsid w:val="00324761"/>
    <w:rsid w:val="00324F2D"/>
    <w:rsid w:val="00326B2D"/>
    <w:rsid w:val="00327C35"/>
    <w:rsid w:val="00330331"/>
    <w:rsid w:val="00332C46"/>
    <w:rsid w:val="00334ED9"/>
    <w:rsid w:val="0033590A"/>
    <w:rsid w:val="003361AE"/>
    <w:rsid w:val="003412E6"/>
    <w:rsid w:val="0034373A"/>
    <w:rsid w:val="003452C0"/>
    <w:rsid w:val="00347774"/>
    <w:rsid w:val="00347F09"/>
    <w:rsid w:val="003500FB"/>
    <w:rsid w:val="00351685"/>
    <w:rsid w:val="00351878"/>
    <w:rsid w:val="00354809"/>
    <w:rsid w:val="003551DB"/>
    <w:rsid w:val="00355AB8"/>
    <w:rsid w:val="00357A96"/>
    <w:rsid w:val="003605CF"/>
    <w:rsid w:val="003607CE"/>
    <w:rsid w:val="003613F1"/>
    <w:rsid w:val="0036321F"/>
    <w:rsid w:val="00365DAF"/>
    <w:rsid w:val="003669FD"/>
    <w:rsid w:val="0037183B"/>
    <w:rsid w:val="003726BA"/>
    <w:rsid w:val="00375A2D"/>
    <w:rsid w:val="00376812"/>
    <w:rsid w:val="00376972"/>
    <w:rsid w:val="00377486"/>
    <w:rsid w:val="003776D3"/>
    <w:rsid w:val="00385104"/>
    <w:rsid w:val="00385EAF"/>
    <w:rsid w:val="003904D7"/>
    <w:rsid w:val="003923A8"/>
    <w:rsid w:val="00394D28"/>
    <w:rsid w:val="003A0AE2"/>
    <w:rsid w:val="003A1C17"/>
    <w:rsid w:val="003A342B"/>
    <w:rsid w:val="003A5831"/>
    <w:rsid w:val="003B310A"/>
    <w:rsid w:val="003B3620"/>
    <w:rsid w:val="003C0BA4"/>
    <w:rsid w:val="003C410C"/>
    <w:rsid w:val="003C4650"/>
    <w:rsid w:val="003C481F"/>
    <w:rsid w:val="003C5C8D"/>
    <w:rsid w:val="003C64C5"/>
    <w:rsid w:val="003C6579"/>
    <w:rsid w:val="003D0BC8"/>
    <w:rsid w:val="003D0EA6"/>
    <w:rsid w:val="003D0ECA"/>
    <w:rsid w:val="003D10D6"/>
    <w:rsid w:val="003D11C3"/>
    <w:rsid w:val="003D2DDC"/>
    <w:rsid w:val="003D37DB"/>
    <w:rsid w:val="003D44C2"/>
    <w:rsid w:val="003D4508"/>
    <w:rsid w:val="003D4ACC"/>
    <w:rsid w:val="003D77D3"/>
    <w:rsid w:val="003E3F50"/>
    <w:rsid w:val="003E55F7"/>
    <w:rsid w:val="003E5AD6"/>
    <w:rsid w:val="003F0B30"/>
    <w:rsid w:val="003F22BD"/>
    <w:rsid w:val="003F2E7D"/>
    <w:rsid w:val="003F58FA"/>
    <w:rsid w:val="003F667E"/>
    <w:rsid w:val="003F6E2B"/>
    <w:rsid w:val="003F7C59"/>
    <w:rsid w:val="00402E6D"/>
    <w:rsid w:val="00404E64"/>
    <w:rsid w:val="0041221E"/>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4530A"/>
    <w:rsid w:val="004456AB"/>
    <w:rsid w:val="00447426"/>
    <w:rsid w:val="00451821"/>
    <w:rsid w:val="004522D0"/>
    <w:rsid w:val="00453376"/>
    <w:rsid w:val="004536A3"/>
    <w:rsid w:val="00454B08"/>
    <w:rsid w:val="004562EC"/>
    <w:rsid w:val="0045640E"/>
    <w:rsid w:val="00456590"/>
    <w:rsid w:val="00456937"/>
    <w:rsid w:val="0046052F"/>
    <w:rsid w:val="00460C8B"/>
    <w:rsid w:val="004629AB"/>
    <w:rsid w:val="00463B80"/>
    <w:rsid w:val="00466283"/>
    <w:rsid w:val="00470173"/>
    <w:rsid w:val="00470D08"/>
    <w:rsid w:val="0047302C"/>
    <w:rsid w:val="004750B2"/>
    <w:rsid w:val="00475E3E"/>
    <w:rsid w:val="00477577"/>
    <w:rsid w:val="004779F0"/>
    <w:rsid w:val="004809D1"/>
    <w:rsid w:val="0048231F"/>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7CE"/>
    <w:rsid w:val="004B5D0E"/>
    <w:rsid w:val="004C2EF6"/>
    <w:rsid w:val="004C7ED0"/>
    <w:rsid w:val="004D1E56"/>
    <w:rsid w:val="004D306A"/>
    <w:rsid w:val="004D3800"/>
    <w:rsid w:val="004D6797"/>
    <w:rsid w:val="004D751F"/>
    <w:rsid w:val="004E0CEE"/>
    <w:rsid w:val="004E0D46"/>
    <w:rsid w:val="004E3295"/>
    <w:rsid w:val="004E4642"/>
    <w:rsid w:val="004E5FCD"/>
    <w:rsid w:val="004E7C6C"/>
    <w:rsid w:val="004F0E9E"/>
    <w:rsid w:val="004F1DB4"/>
    <w:rsid w:val="004F1FB5"/>
    <w:rsid w:val="004F2513"/>
    <w:rsid w:val="004F2EFB"/>
    <w:rsid w:val="004F4AB0"/>
    <w:rsid w:val="004F6193"/>
    <w:rsid w:val="004F79F4"/>
    <w:rsid w:val="005030FB"/>
    <w:rsid w:val="005037F1"/>
    <w:rsid w:val="00506C0E"/>
    <w:rsid w:val="00506CB5"/>
    <w:rsid w:val="00506DED"/>
    <w:rsid w:val="00507AD5"/>
    <w:rsid w:val="00507F16"/>
    <w:rsid w:val="005122CD"/>
    <w:rsid w:val="005132CB"/>
    <w:rsid w:val="005139A8"/>
    <w:rsid w:val="00513F46"/>
    <w:rsid w:val="00523BAD"/>
    <w:rsid w:val="00524886"/>
    <w:rsid w:val="005252D9"/>
    <w:rsid w:val="00526D8B"/>
    <w:rsid w:val="00530754"/>
    <w:rsid w:val="005312F5"/>
    <w:rsid w:val="00531385"/>
    <w:rsid w:val="0053264A"/>
    <w:rsid w:val="005360FF"/>
    <w:rsid w:val="00540C8A"/>
    <w:rsid w:val="00543FE0"/>
    <w:rsid w:val="00546A7D"/>
    <w:rsid w:val="005472AC"/>
    <w:rsid w:val="00550F81"/>
    <w:rsid w:val="0055213E"/>
    <w:rsid w:val="00552A7A"/>
    <w:rsid w:val="00553980"/>
    <w:rsid w:val="00554A2C"/>
    <w:rsid w:val="00556960"/>
    <w:rsid w:val="0056018B"/>
    <w:rsid w:val="005612AD"/>
    <w:rsid w:val="00566E7B"/>
    <w:rsid w:val="0056725F"/>
    <w:rsid w:val="00570CA1"/>
    <w:rsid w:val="00570E7B"/>
    <w:rsid w:val="005713D4"/>
    <w:rsid w:val="005741B0"/>
    <w:rsid w:val="00575E21"/>
    <w:rsid w:val="00576997"/>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32A4"/>
    <w:rsid w:val="005B4A86"/>
    <w:rsid w:val="005B4FC3"/>
    <w:rsid w:val="005B5229"/>
    <w:rsid w:val="005B740B"/>
    <w:rsid w:val="005C0EBF"/>
    <w:rsid w:val="005C538C"/>
    <w:rsid w:val="005C5862"/>
    <w:rsid w:val="005C6C21"/>
    <w:rsid w:val="005D1775"/>
    <w:rsid w:val="005D240F"/>
    <w:rsid w:val="005D3386"/>
    <w:rsid w:val="005D4442"/>
    <w:rsid w:val="005D5F07"/>
    <w:rsid w:val="005D62DC"/>
    <w:rsid w:val="005D7164"/>
    <w:rsid w:val="005D7A1A"/>
    <w:rsid w:val="005E06FD"/>
    <w:rsid w:val="005E0E52"/>
    <w:rsid w:val="005E2A35"/>
    <w:rsid w:val="005E3DE9"/>
    <w:rsid w:val="005F0E0E"/>
    <w:rsid w:val="005F2CA5"/>
    <w:rsid w:val="005F3D84"/>
    <w:rsid w:val="005F427B"/>
    <w:rsid w:val="005F4EC6"/>
    <w:rsid w:val="005F5991"/>
    <w:rsid w:val="005F7A3D"/>
    <w:rsid w:val="00601353"/>
    <w:rsid w:val="00601477"/>
    <w:rsid w:val="00602728"/>
    <w:rsid w:val="00604DCB"/>
    <w:rsid w:val="00611740"/>
    <w:rsid w:val="00611DD5"/>
    <w:rsid w:val="00620CA4"/>
    <w:rsid w:val="00624400"/>
    <w:rsid w:val="00624E03"/>
    <w:rsid w:val="00632BC3"/>
    <w:rsid w:val="0063412F"/>
    <w:rsid w:val="00634506"/>
    <w:rsid w:val="00635BBB"/>
    <w:rsid w:val="006367AD"/>
    <w:rsid w:val="00640B15"/>
    <w:rsid w:val="0064395B"/>
    <w:rsid w:val="00645196"/>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2DD0"/>
    <w:rsid w:val="00694BF2"/>
    <w:rsid w:val="00695C95"/>
    <w:rsid w:val="00696D00"/>
    <w:rsid w:val="00697193"/>
    <w:rsid w:val="00697DF2"/>
    <w:rsid w:val="006A38B2"/>
    <w:rsid w:val="006A6D25"/>
    <w:rsid w:val="006B3398"/>
    <w:rsid w:val="006B4035"/>
    <w:rsid w:val="006B5D72"/>
    <w:rsid w:val="006B72DE"/>
    <w:rsid w:val="006B7D52"/>
    <w:rsid w:val="006C1B5E"/>
    <w:rsid w:val="006C1CEC"/>
    <w:rsid w:val="006C1FBD"/>
    <w:rsid w:val="006C3E53"/>
    <w:rsid w:val="006C748A"/>
    <w:rsid w:val="006D2AC4"/>
    <w:rsid w:val="006D485B"/>
    <w:rsid w:val="006E0883"/>
    <w:rsid w:val="006E41E5"/>
    <w:rsid w:val="006F2A07"/>
    <w:rsid w:val="006F481B"/>
    <w:rsid w:val="006F6540"/>
    <w:rsid w:val="006F7045"/>
    <w:rsid w:val="006F79E9"/>
    <w:rsid w:val="00700589"/>
    <w:rsid w:val="0070281C"/>
    <w:rsid w:val="00702B5C"/>
    <w:rsid w:val="00707A7B"/>
    <w:rsid w:val="00713AE8"/>
    <w:rsid w:val="00713D4E"/>
    <w:rsid w:val="0071562A"/>
    <w:rsid w:val="0071565E"/>
    <w:rsid w:val="0071682A"/>
    <w:rsid w:val="00716FD1"/>
    <w:rsid w:val="00720A00"/>
    <w:rsid w:val="00720F93"/>
    <w:rsid w:val="00721496"/>
    <w:rsid w:val="00721689"/>
    <w:rsid w:val="00723D21"/>
    <w:rsid w:val="007265DF"/>
    <w:rsid w:val="00731754"/>
    <w:rsid w:val="00732229"/>
    <w:rsid w:val="00732498"/>
    <w:rsid w:val="00732D8A"/>
    <w:rsid w:val="00733D92"/>
    <w:rsid w:val="00734C34"/>
    <w:rsid w:val="00735790"/>
    <w:rsid w:val="00737792"/>
    <w:rsid w:val="00741462"/>
    <w:rsid w:val="00741726"/>
    <w:rsid w:val="00746AFD"/>
    <w:rsid w:val="0075112D"/>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1ADD"/>
    <w:rsid w:val="0079471C"/>
    <w:rsid w:val="00796201"/>
    <w:rsid w:val="0079771E"/>
    <w:rsid w:val="007A3E74"/>
    <w:rsid w:val="007A5E76"/>
    <w:rsid w:val="007A5FE0"/>
    <w:rsid w:val="007A6CC6"/>
    <w:rsid w:val="007B05B2"/>
    <w:rsid w:val="007B3114"/>
    <w:rsid w:val="007B3EDD"/>
    <w:rsid w:val="007B5A7A"/>
    <w:rsid w:val="007B7176"/>
    <w:rsid w:val="007B735B"/>
    <w:rsid w:val="007B77DD"/>
    <w:rsid w:val="007C47A9"/>
    <w:rsid w:val="007C5C38"/>
    <w:rsid w:val="007C76D0"/>
    <w:rsid w:val="007C7AE1"/>
    <w:rsid w:val="007D0E9F"/>
    <w:rsid w:val="007D0EFD"/>
    <w:rsid w:val="007D5B9F"/>
    <w:rsid w:val="007D6C1C"/>
    <w:rsid w:val="007D6D30"/>
    <w:rsid w:val="007E3E39"/>
    <w:rsid w:val="007E730D"/>
    <w:rsid w:val="007F1AE2"/>
    <w:rsid w:val="007F1C9B"/>
    <w:rsid w:val="007F366D"/>
    <w:rsid w:val="007F3905"/>
    <w:rsid w:val="007F4BAB"/>
    <w:rsid w:val="007F5884"/>
    <w:rsid w:val="0080079A"/>
    <w:rsid w:val="00801142"/>
    <w:rsid w:val="00803E47"/>
    <w:rsid w:val="0080529D"/>
    <w:rsid w:val="008151FF"/>
    <w:rsid w:val="0081582E"/>
    <w:rsid w:val="00821C4C"/>
    <w:rsid w:val="00822DC8"/>
    <w:rsid w:val="008245C3"/>
    <w:rsid w:val="00824DB4"/>
    <w:rsid w:val="00825325"/>
    <w:rsid w:val="0082615A"/>
    <w:rsid w:val="008325D5"/>
    <w:rsid w:val="008327A5"/>
    <w:rsid w:val="00835D24"/>
    <w:rsid w:val="008365F5"/>
    <w:rsid w:val="00842FBF"/>
    <w:rsid w:val="00844228"/>
    <w:rsid w:val="008478DA"/>
    <w:rsid w:val="008526DE"/>
    <w:rsid w:val="0085463A"/>
    <w:rsid w:val="008616D5"/>
    <w:rsid w:val="008634A3"/>
    <w:rsid w:val="00863AF9"/>
    <w:rsid w:val="00865372"/>
    <w:rsid w:val="00866A99"/>
    <w:rsid w:val="00867060"/>
    <w:rsid w:val="00867136"/>
    <w:rsid w:val="00867E89"/>
    <w:rsid w:val="0087247B"/>
    <w:rsid w:val="00873E3D"/>
    <w:rsid w:val="008744CA"/>
    <w:rsid w:val="00874DE9"/>
    <w:rsid w:val="00876FF3"/>
    <w:rsid w:val="00881B17"/>
    <w:rsid w:val="00883378"/>
    <w:rsid w:val="00884050"/>
    <w:rsid w:val="008913F9"/>
    <w:rsid w:val="008913FE"/>
    <w:rsid w:val="0089412A"/>
    <w:rsid w:val="0089495D"/>
    <w:rsid w:val="008978C5"/>
    <w:rsid w:val="008A043A"/>
    <w:rsid w:val="008A09CE"/>
    <w:rsid w:val="008A33F0"/>
    <w:rsid w:val="008A5136"/>
    <w:rsid w:val="008A77FC"/>
    <w:rsid w:val="008B1D03"/>
    <w:rsid w:val="008B201D"/>
    <w:rsid w:val="008B243C"/>
    <w:rsid w:val="008B4B57"/>
    <w:rsid w:val="008B5322"/>
    <w:rsid w:val="008B5495"/>
    <w:rsid w:val="008B79A8"/>
    <w:rsid w:val="008D21B4"/>
    <w:rsid w:val="008D774C"/>
    <w:rsid w:val="008E0207"/>
    <w:rsid w:val="008E2FD9"/>
    <w:rsid w:val="008E37EB"/>
    <w:rsid w:val="008E4619"/>
    <w:rsid w:val="008E525F"/>
    <w:rsid w:val="008E52B8"/>
    <w:rsid w:val="008E562C"/>
    <w:rsid w:val="008E65A3"/>
    <w:rsid w:val="008E6C44"/>
    <w:rsid w:val="008F0368"/>
    <w:rsid w:val="008F0E0C"/>
    <w:rsid w:val="008F12FD"/>
    <w:rsid w:val="008F52FC"/>
    <w:rsid w:val="00901B0A"/>
    <w:rsid w:val="009027BE"/>
    <w:rsid w:val="009076AC"/>
    <w:rsid w:val="00911600"/>
    <w:rsid w:val="0091160E"/>
    <w:rsid w:val="00913641"/>
    <w:rsid w:val="00913836"/>
    <w:rsid w:val="00914D86"/>
    <w:rsid w:val="009178FD"/>
    <w:rsid w:val="0092000E"/>
    <w:rsid w:val="00922FFB"/>
    <w:rsid w:val="00927124"/>
    <w:rsid w:val="00927BEC"/>
    <w:rsid w:val="00930255"/>
    <w:rsid w:val="009302D1"/>
    <w:rsid w:val="00930BFE"/>
    <w:rsid w:val="00930DD8"/>
    <w:rsid w:val="00931E80"/>
    <w:rsid w:val="009328AC"/>
    <w:rsid w:val="0093429D"/>
    <w:rsid w:val="00945108"/>
    <w:rsid w:val="00945CBA"/>
    <w:rsid w:val="0095037D"/>
    <w:rsid w:val="00951702"/>
    <w:rsid w:val="00953CDE"/>
    <w:rsid w:val="009562E4"/>
    <w:rsid w:val="009565EF"/>
    <w:rsid w:val="0095776A"/>
    <w:rsid w:val="0095786C"/>
    <w:rsid w:val="00957887"/>
    <w:rsid w:val="00957A8E"/>
    <w:rsid w:val="009609A1"/>
    <w:rsid w:val="0096289B"/>
    <w:rsid w:val="00965664"/>
    <w:rsid w:val="00967090"/>
    <w:rsid w:val="00970F86"/>
    <w:rsid w:val="00972AE0"/>
    <w:rsid w:val="00972C0F"/>
    <w:rsid w:val="00972D2F"/>
    <w:rsid w:val="00973219"/>
    <w:rsid w:val="00974FBE"/>
    <w:rsid w:val="0097549F"/>
    <w:rsid w:val="00975C70"/>
    <w:rsid w:val="009868FD"/>
    <w:rsid w:val="009933C0"/>
    <w:rsid w:val="00993AC0"/>
    <w:rsid w:val="00994854"/>
    <w:rsid w:val="009977B3"/>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4CC1"/>
    <w:rsid w:val="00A15CDB"/>
    <w:rsid w:val="00A24571"/>
    <w:rsid w:val="00A266ED"/>
    <w:rsid w:val="00A34E17"/>
    <w:rsid w:val="00A35AA5"/>
    <w:rsid w:val="00A362D2"/>
    <w:rsid w:val="00A37C23"/>
    <w:rsid w:val="00A41B95"/>
    <w:rsid w:val="00A43CE0"/>
    <w:rsid w:val="00A44667"/>
    <w:rsid w:val="00A4526C"/>
    <w:rsid w:val="00A45F50"/>
    <w:rsid w:val="00A51871"/>
    <w:rsid w:val="00A51ECE"/>
    <w:rsid w:val="00A522D3"/>
    <w:rsid w:val="00A525E0"/>
    <w:rsid w:val="00A527FC"/>
    <w:rsid w:val="00A61EA7"/>
    <w:rsid w:val="00A64134"/>
    <w:rsid w:val="00A6693F"/>
    <w:rsid w:val="00A67BC8"/>
    <w:rsid w:val="00A71CEF"/>
    <w:rsid w:val="00A755A5"/>
    <w:rsid w:val="00A756A7"/>
    <w:rsid w:val="00A76532"/>
    <w:rsid w:val="00A76845"/>
    <w:rsid w:val="00A76BF2"/>
    <w:rsid w:val="00A77C45"/>
    <w:rsid w:val="00A77FCF"/>
    <w:rsid w:val="00A80EA2"/>
    <w:rsid w:val="00A82152"/>
    <w:rsid w:val="00A8245E"/>
    <w:rsid w:val="00A82CC7"/>
    <w:rsid w:val="00A83DEC"/>
    <w:rsid w:val="00A84761"/>
    <w:rsid w:val="00A85561"/>
    <w:rsid w:val="00A85ACD"/>
    <w:rsid w:val="00A86EA3"/>
    <w:rsid w:val="00A870F6"/>
    <w:rsid w:val="00A90F97"/>
    <w:rsid w:val="00A91E70"/>
    <w:rsid w:val="00A92F35"/>
    <w:rsid w:val="00A93EB9"/>
    <w:rsid w:val="00A956C3"/>
    <w:rsid w:val="00A96277"/>
    <w:rsid w:val="00AA00CD"/>
    <w:rsid w:val="00AA05B6"/>
    <w:rsid w:val="00AA231C"/>
    <w:rsid w:val="00AA3A8F"/>
    <w:rsid w:val="00AA548D"/>
    <w:rsid w:val="00AA65F1"/>
    <w:rsid w:val="00AB096C"/>
    <w:rsid w:val="00AB0B56"/>
    <w:rsid w:val="00AB3171"/>
    <w:rsid w:val="00AB4256"/>
    <w:rsid w:val="00AB5AB8"/>
    <w:rsid w:val="00AB5DEE"/>
    <w:rsid w:val="00AB767C"/>
    <w:rsid w:val="00AB793F"/>
    <w:rsid w:val="00AC273D"/>
    <w:rsid w:val="00AC3AB1"/>
    <w:rsid w:val="00AC3EE2"/>
    <w:rsid w:val="00AC56BF"/>
    <w:rsid w:val="00AC7D9E"/>
    <w:rsid w:val="00AD4152"/>
    <w:rsid w:val="00AD4847"/>
    <w:rsid w:val="00AD5945"/>
    <w:rsid w:val="00AD62BD"/>
    <w:rsid w:val="00AD7CDE"/>
    <w:rsid w:val="00AE2222"/>
    <w:rsid w:val="00AE5FD1"/>
    <w:rsid w:val="00AE75EA"/>
    <w:rsid w:val="00AF0507"/>
    <w:rsid w:val="00AF4C5C"/>
    <w:rsid w:val="00AF6C3D"/>
    <w:rsid w:val="00AF6C63"/>
    <w:rsid w:val="00B0402F"/>
    <w:rsid w:val="00B04165"/>
    <w:rsid w:val="00B048EA"/>
    <w:rsid w:val="00B04E23"/>
    <w:rsid w:val="00B0703F"/>
    <w:rsid w:val="00B07555"/>
    <w:rsid w:val="00B1410C"/>
    <w:rsid w:val="00B2131F"/>
    <w:rsid w:val="00B223FE"/>
    <w:rsid w:val="00B229B3"/>
    <w:rsid w:val="00B24067"/>
    <w:rsid w:val="00B2603F"/>
    <w:rsid w:val="00B3444D"/>
    <w:rsid w:val="00B345B2"/>
    <w:rsid w:val="00B3664D"/>
    <w:rsid w:val="00B36ADB"/>
    <w:rsid w:val="00B37EC4"/>
    <w:rsid w:val="00B40DC6"/>
    <w:rsid w:val="00B40ED0"/>
    <w:rsid w:val="00B40F02"/>
    <w:rsid w:val="00B43C9C"/>
    <w:rsid w:val="00B44FA0"/>
    <w:rsid w:val="00B46439"/>
    <w:rsid w:val="00B4653B"/>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851E8"/>
    <w:rsid w:val="00B877FB"/>
    <w:rsid w:val="00B92BA2"/>
    <w:rsid w:val="00B92D96"/>
    <w:rsid w:val="00B932E1"/>
    <w:rsid w:val="00B93976"/>
    <w:rsid w:val="00B93AF5"/>
    <w:rsid w:val="00B947C6"/>
    <w:rsid w:val="00BA2FCB"/>
    <w:rsid w:val="00BA36ED"/>
    <w:rsid w:val="00BA3815"/>
    <w:rsid w:val="00BA5174"/>
    <w:rsid w:val="00BA6905"/>
    <w:rsid w:val="00BA7AC9"/>
    <w:rsid w:val="00BB0726"/>
    <w:rsid w:val="00BB20E0"/>
    <w:rsid w:val="00BB4589"/>
    <w:rsid w:val="00BC3F78"/>
    <w:rsid w:val="00BC543C"/>
    <w:rsid w:val="00BC78A9"/>
    <w:rsid w:val="00BD1219"/>
    <w:rsid w:val="00BD4313"/>
    <w:rsid w:val="00BD4F35"/>
    <w:rsid w:val="00BD7111"/>
    <w:rsid w:val="00BD79F4"/>
    <w:rsid w:val="00BE57E8"/>
    <w:rsid w:val="00BF3DFD"/>
    <w:rsid w:val="00BF5AC8"/>
    <w:rsid w:val="00BF76C6"/>
    <w:rsid w:val="00C002B4"/>
    <w:rsid w:val="00C01FA7"/>
    <w:rsid w:val="00C0229E"/>
    <w:rsid w:val="00C026B0"/>
    <w:rsid w:val="00C041AA"/>
    <w:rsid w:val="00C0626A"/>
    <w:rsid w:val="00C07262"/>
    <w:rsid w:val="00C07EBD"/>
    <w:rsid w:val="00C138D1"/>
    <w:rsid w:val="00C13977"/>
    <w:rsid w:val="00C14928"/>
    <w:rsid w:val="00C150D2"/>
    <w:rsid w:val="00C15DAD"/>
    <w:rsid w:val="00C17097"/>
    <w:rsid w:val="00C20CE7"/>
    <w:rsid w:val="00C21918"/>
    <w:rsid w:val="00C223B9"/>
    <w:rsid w:val="00C22BDB"/>
    <w:rsid w:val="00C22FA8"/>
    <w:rsid w:val="00C23420"/>
    <w:rsid w:val="00C24A20"/>
    <w:rsid w:val="00C264F7"/>
    <w:rsid w:val="00C267D4"/>
    <w:rsid w:val="00C272EE"/>
    <w:rsid w:val="00C27AAF"/>
    <w:rsid w:val="00C362C0"/>
    <w:rsid w:val="00C37C6D"/>
    <w:rsid w:val="00C443BB"/>
    <w:rsid w:val="00C45998"/>
    <w:rsid w:val="00C45AEA"/>
    <w:rsid w:val="00C45B8E"/>
    <w:rsid w:val="00C47F9B"/>
    <w:rsid w:val="00C550B9"/>
    <w:rsid w:val="00C5547A"/>
    <w:rsid w:val="00C5778D"/>
    <w:rsid w:val="00C57959"/>
    <w:rsid w:val="00C60A92"/>
    <w:rsid w:val="00C61154"/>
    <w:rsid w:val="00C64392"/>
    <w:rsid w:val="00C64BAF"/>
    <w:rsid w:val="00C67638"/>
    <w:rsid w:val="00C677C0"/>
    <w:rsid w:val="00C71ECA"/>
    <w:rsid w:val="00C75830"/>
    <w:rsid w:val="00C76A0C"/>
    <w:rsid w:val="00C76E4D"/>
    <w:rsid w:val="00C774D1"/>
    <w:rsid w:val="00C801E1"/>
    <w:rsid w:val="00C84019"/>
    <w:rsid w:val="00C856AA"/>
    <w:rsid w:val="00C85EB2"/>
    <w:rsid w:val="00C91D7E"/>
    <w:rsid w:val="00C92D66"/>
    <w:rsid w:val="00C92F15"/>
    <w:rsid w:val="00C932BD"/>
    <w:rsid w:val="00C9331B"/>
    <w:rsid w:val="00C9380D"/>
    <w:rsid w:val="00C9515B"/>
    <w:rsid w:val="00C956CC"/>
    <w:rsid w:val="00C95A08"/>
    <w:rsid w:val="00C965B4"/>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1577"/>
    <w:rsid w:val="00CC2CD9"/>
    <w:rsid w:val="00CC2CE8"/>
    <w:rsid w:val="00CC47BF"/>
    <w:rsid w:val="00CC7C17"/>
    <w:rsid w:val="00CD12B4"/>
    <w:rsid w:val="00CD3717"/>
    <w:rsid w:val="00CD3ACF"/>
    <w:rsid w:val="00CD5CA8"/>
    <w:rsid w:val="00CD6BA6"/>
    <w:rsid w:val="00CE17D7"/>
    <w:rsid w:val="00CE5B1D"/>
    <w:rsid w:val="00CE73E3"/>
    <w:rsid w:val="00CF008C"/>
    <w:rsid w:val="00CF0299"/>
    <w:rsid w:val="00CF15AA"/>
    <w:rsid w:val="00CF41D9"/>
    <w:rsid w:val="00CF496C"/>
    <w:rsid w:val="00CF4997"/>
    <w:rsid w:val="00D009F6"/>
    <w:rsid w:val="00D01DB5"/>
    <w:rsid w:val="00D01DE9"/>
    <w:rsid w:val="00D03021"/>
    <w:rsid w:val="00D116C7"/>
    <w:rsid w:val="00D145C0"/>
    <w:rsid w:val="00D201B3"/>
    <w:rsid w:val="00D21514"/>
    <w:rsid w:val="00D235DB"/>
    <w:rsid w:val="00D248B7"/>
    <w:rsid w:val="00D24DAF"/>
    <w:rsid w:val="00D24E35"/>
    <w:rsid w:val="00D2560A"/>
    <w:rsid w:val="00D25C96"/>
    <w:rsid w:val="00D27145"/>
    <w:rsid w:val="00D2725D"/>
    <w:rsid w:val="00D30028"/>
    <w:rsid w:val="00D31E55"/>
    <w:rsid w:val="00D34DFE"/>
    <w:rsid w:val="00D35E99"/>
    <w:rsid w:val="00D41B3C"/>
    <w:rsid w:val="00D50088"/>
    <w:rsid w:val="00D57BD0"/>
    <w:rsid w:val="00D60597"/>
    <w:rsid w:val="00D6122E"/>
    <w:rsid w:val="00D61316"/>
    <w:rsid w:val="00D6282F"/>
    <w:rsid w:val="00D64C06"/>
    <w:rsid w:val="00D64DCD"/>
    <w:rsid w:val="00D66802"/>
    <w:rsid w:val="00D67A8B"/>
    <w:rsid w:val="00D70138"/>
    <w:rsid w:val="00D710EC"/>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819"/>
    <w:rsid w:val="00DD3989"/>
    <w:rsid w:val="00DD7CAD"/>
    <w:rsid w:val="00DE405D"/>
    <w:rsid w:val="00DE54F9"/>
    <w:rsid w:val="00DE6241"/>
    <w:rsid w:val="00DE6AF8"/>
    <w:rsid w:val="00DF1083"/>
    <w:rsid w:val="00DF3DC9"/>
    <w:rsid w:val="00DF3F93"/>
    <w:rsid w:val="00DF42A4"/>
    <w:rsid w:val="00DF59CB"/>
    <w:rsid w:val="00E01075"/>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0F74"/>
    <w:rsid w:val="00E42376"/>
    <w:rsid w:val="00E4329E"/>
    <w:rsid w:val="00E43C5B"/>
    <w:rsid w:val="00E471CA"/>
    <w:rsid w:val="00E47997"/>
    <w:rsid w:val="00E5168D"/>
    <w:rsid w:val="00E51FE9"/>
    <w:rsid w:val="00E52902"/>
    <w:rsid w:val="00E531A9"/>
    <w:rsid w:val="00E553FE"/>
    <w:rsid w:val="00E565D0"/>
    <w:rsid w:val="00E62C1F"/>
    <w:rsid w:val="00E62FC0"/>
    <w:rsid w:val="00E6495E"/>
    <w:rsid w:val="00E6739E"/>
    <w:rsid w:val="00E71EAD"/>
    <w:rsid w:val="00E720F5"/>
    <w:rsid w:val="00E721BA"/>
    <w:rsid w:val="00E74F63"/>
    <w:rsid w:val="00E752E9"/>
    <w:rsid w:val="00E76E90"/>
    <w:rsid w:val="00E77313"/>
    <w:rsid w:val="00E80B45"/>
    <w:rsid w:val="00E8208B"/>
    <w:rsid w:val="00E827B0"/>
    <w:rsid w:val="00E86271"/>
    <w:rsid w:val="00E87403"/>
    <w:rsid w:val="00E877C1"/>
    <w:rsid w:val="00E87940"/>
    <w:rsid w:val="00E87CAB"/>
    <w:rsid w:val="00E903AC"/>
    <w:rsid w:val="00E908B6"/>
    <w:rsid w:val="00E91AE0"/>
    <w:rsid w:val="00EA0BC5"/>
    <w:rsid w:val="00EA2ACF"/>
    <w:rsid w:val="00EA2DF3"/>
    <w:rsid w:val="00EA5D0F"/>
    <w:rsid w:val="00EB277F"/>
    <w:rsid w:val="00EB431F"/>
    <w:rsid w:val="00EB6419"/>
    <w:rsid w:val="00EB64B8"/>
    <w:rsid w:val="00EB76CB"/>
    <w:rsid w:val="00EB7F9D"/>
    <w:rsid w:val="00EC0544"/>
    <w:rsid w:val="00EC1254"/>
    <w:rsid w:val="00EC20DC"/>
    <w:rsid w:val="00EC237B"/>
    <w:rsid w:val="00ED00C2"/>
    <w:rsid w:val="00ED118C"/>
    <w:rsid w:val="00ED368F"/>
    <w:rsid w:val="00ED472C"/>
    <w:rsid w:val="00ED649D"/>
    <w:rsid w:val="00EE119D"/>
    <w:rsid w:val="00EE34A8"/>
    <w:rsid w:val="00EE35DA"/>
    <w:rsid w:val="00EE75EC"/>
    <w:rsid w:val="00EF0BF3"/>
    <w:rsid w:val="00EF2792"/>
    <w:rsid w:val="00EF4821"/>
    <w:rsid w:val="00EF5BA6"/>
    <w:rsid w:val="00EF6A76"/>
    <w:rsid w:val="00F035CC"/>
    <w:rsid w:val="00F06811"/>
    <w:rsid w:val="00F06934"/>
    <w:rsid w:val="00F1011F"/>
    <w:rsid w:val="00F1031C"/>
    <w:rsid w:val="00F12900"/>
    <w:rsid w:val="00F12E9D"/>
    <w:rsid w:val="00F14555"/>
    <w:rsid w:val="00F1584F"/>
    <w:rsid w:val="00F15E5E"/>
    <w:rsid w:val="00F1636B"/>
    <w:rsid w:val="00F20E3A"/>
    <w:rsid w:val="00F2621E"/>
    <w:rsid w:val="00F26622"/>
    <w:rsid w:val="00F26A4D"/>
    <w:rsid w:val="00F26F92"/>
    <w:rsid w:val="00F310FD"/>
    <w:rsid w:val="00F336D8"/>
    <w:rsid w:val="00F34477"/>
    <w:rsid w:val="00F34781"/>
    <w:rsid w:val="00F34B25"/>
    <w:rsid w:val="00F34CD7"/>
    <w:rsid w:val="00F359FF"/>
    <w:rsid w:val="00F37DDA"/>
    <w:rsid w:val="00F37E4A"/>
    <w:rsid w:val="00F410B1"/>
    <w:rsid w:val="00F4142A"/>
    <w:rsid w:val="00F41DC7"/>
    <w:rsid w:val="00F4354F"/>
    <w:rsid w:val="00F444BA"/>
    <w:rsid w:val="00F4708C"/>
    <w:rsid w:val="00F47559"/>
    <w:rsid w:val="00F51FA3"/>
    <w:rsid w:val="00F53A24"/>
    <w:rsid w:val="00F548BF"/>
    <w:rsid w:val="00F554AB"/>
    <w:rsid w:val="00F555D8"/>
    <w:rsid w:val="00F617C7"/>
    <w:rsid w:val="00F63E26"/>
    <w:rsid w:val="00F66266"/>
    <w:rsid w:val="00F66D56"/>
    <w:rsid w:val="00F67852"/>
    <w:rsid w:val="00F720F9"/>
    <w:rsid w:val="00F72BA5"/>
    <w:rsid w:val="00F749A4"/>
    <w:rsid w:val="00F74BFF"/>
    <w:rsid w:val="00F75EF9"/>
    <w:rsid w:val="00F82237"/>
    <w:rsid w:val="00F83022"/>
    <w:rsid w:val="00F83A7A"/>
    <w:rsid w:val="00F84946"/>
    <w:rsid w:val="00F84AE8"/>
    <w:rsid w:val="00F84D18"/>
    <w:rsid w:val="00F8592D"/>
    <w:rsid w:val="00F90E7A"/>
    <w:rsid w:val="00F92DD1"/>
    <w:rsid w:val="00F943D7"/>
    <w:rsid w:val="00F9774A"/>
    <w:rsid w:val="00FA1399"/>
    <w:rsid w:val="00FA3A77"/>
    <w:rsid w:val="00FA7304"/>
    <w:rsid w:val="00FB0070"/>
    <w:rsid w:val="00FB048D"/>
    <w:rsid w:val="00FB1347"/>
    <w:rsid w:val="00FB2B85"/>
    <w:rsid w:val="00FC01B9"/>
    <w:rsid w:val="00FC17F6"/>
    <w:rsid w:val="00FC1BDC"/>
    <w:rsid w:val="00FC1D6A"/>
    <w:rsid w:val="00FC2FCD"/>
    <w:rsid w:val="00FC3181"/>
    <w:rsid w:val="00FC41C4"/>
    <w:rsid w:val="00FC45D4"/>
    <w:rsid w:val="00FD197C"/>
    <w:rsid w:val="00FD4D1A"/>
    <w:rsid w:val="00FE270A"/>
    <w:rsid w:val="00FE5C48"/>
    <w:rsid w:val="00FE6656"/>
    <w:rsid w:val="00FF191E"/>
    <w:rsid w:val="00FF1C52"/>
    <w:rsid w:val="00FF540B"/>
    <w:rsid w:val="00FF54E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776F2"/>
  <w15:docId w15:val="{108932C6-643A-4496-9DDC-DB8B58E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0"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customStyle="1" w:styleId="ColorfulGrid1">
    <w:name w:val="Colorful Grid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customStyle="1" w:styleId="DarkList1">
    <w:name w:val="Dark List1"/>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customStyle="1" w:styleId="LightGrid1">
    <w:name w:val="Light Grid1"/>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customStyle="1" w:styleId="MediumGrid11">
    <w:name w:val="Medium Grid 1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StyleTableBullet9ptLinespacingsingle1">
    <w:name w:val="Style Table Bullet + 9 pt Line spacing:  single1"/>
    <w:basedOn w:val="TableBullet"/>
    <w:autoRedefine/>
    <w:rsid w:val="00E471CA"/>
    <w:pPr>
      <w:numPr>
        <w:numId w:val="28"/>
      </w:numPr>
      <w:tabs>
        <w:tab w:val="left" w:pos="284"/>
      </w:tabs>
      <w:spacing w:before="40" w:after="40" w:line="240" w:lineRule="auto"/>
    </w:pPr>
    <w:rPr>
      <w:rFonts w:eastAsia="Times New Roman"/>
      <w:sz w:val="18"/>
      <w:szCs w:val="18"/>
      <w:lang w:eastAsia="en-AU"/>
    </w:rPr>
  </w:style>
  <w:style w:type="paragraph" w:customStyle="1" w:styleId="StyleTableText9pt">
    <w:name w:val="Style Table Text + 9 pt"/>
    <w:basedOn w:val="TableText"/>
    <w:link w:val="StyleTableText9ptChar"/>
    <w:rsid w:val="00E471CA"/>
    <w:pPr>
      <w:spacing w:line="240" w:lineRule="auto"/>
    </w:pPr>
    <w:rPr>
      <w:rFonts w:eastAsia="Times New Roman" w:cs="Arial"/>
      <w:sz w:val="17"/>
      <w:lang w:val="en-GB"/>
    </w:rPr>
  </w:style>
  <w:style w:type="character" w:customStyle="1" w:styleId="StyleTableText9ptChar">
    <w:name w:val="Style Table Text + 9 pt Char"/>
    <w:basedOn w:val="DefaultParagraphFont"/>
    <w:link w:val="StyleTableText9pt"/>
    <w:rsid w:val="00E471CA"/>
    <w:rPr>
      <w:rFonts w:ascii="Arial" w:eastAsia="Times New Roman" w:hAnsi="Arial" w:cs="Arial"/>
      <w:sz w:val="17"/>
      <w:lang w:val="en-GB"/>
    </w:rPr>
  </w:style>
  <w:style w:type="character" w:customStyle="1" w:styleId="TableTextChar">
    <w:name w:val="Table Text Char"/>
    <w:link w:val="TableText"/>
    <w:locked/>
    <w:rsid w:val="004E0D46"/>
    <w:rPr>
      <w:rFonts w:ascii="Arial" w:hAnsi="Arial"/>
    </w:rPr>
  </w:style>
  <w:style w:type="paragraph" w:customStyle="1" w:styleId="Bultable">
    <w:name w:val="Bul table"/>
    <w:rsid w:val="006C1CEC"/>
    <w:rPr>
      <w:rFonts w:ascii="Arial" w:eastAsia="Times New Roman" w:hAnsi="Arial"/>
      <w:color w:val="000000"/>
      <w:lang w:val="en-US" w:eastAsia="en-AU"/>
    </w:rPr>
  </w:style>
  <w:style w:type="table" w:customStyle="1" w:styleId="PSCPurple2">
    <w:name w:val="PSC_Purple2"/>
    <w:basedOn w:val="TableNormal"/>
    <w:uiPriority w:val="99"/>
    <w:rsid w:val="009328AC"/>
    <w:rPr>
      <w:rFonts w:ascii="Arial" w:eastAsia="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918">
      <w:bodyDiv w:val="1"/>
      <w:marLeft w:val="0"/>
      <w:marRight w:val="0"/>
      <w:marTop w:val="0"/>
      <w:marBottom w:val="0"/>
      <w:divBdr>
        <w:top w:val="none" w:sz="0" w:space="0" w:color="auto"/>
        <w:left w:val="none" w:sz="0" w:space="0" w:color="auto"/>
        <w:bottom w:val="none" w:sz="0" w:space="0" w:color="auto"/>
        <w:right w:val="none" w:sz="0" w:space="0" w:color="auto"/>
      </w:divBdr>
    </w:div>
    <w:div w:id="298416228">
      <w:bodyDiv w:val="1"/>
      <w:marLeft w:val="0"/>
      <w:marRight w:val="0"/>
      <w:marTop w:val="0"/>
      <w:marBottom w:val="0"/>
      <w:divBdr>
        <w:top w:val="none" w:sz="0" w:space="0" w:color="auto"/>
        <w:left w:val="none" w:sz="0" w:space="0" w:color="auto"/>
        <w:bottom w:val="none" w:sz="0" w:space="0" w:color="auto"/>
        <w:right w:val="none" w:sz="0" w:space="0" w:color="auto"/>
      </w:divBdr>
    </w:div>
    <w:div w:id="395398446">
      <w:bodyDiv w:val="1"/>
      <w:marLeft w:val="0"/>
      <w:marRight w:val="0"/>
      <w:marTop w:val="0"/>
      <w:marBottom w:val="0"/>
      <w:divBdr>
        <w:top w:val="none" w:sz="0" w:space="0" w:color="auto"/>
        <w:left w:val="none" w:sz="0" w:space="0" w:color="auto"/>
        <w:bottom w:val="none" w:sz="0" w:space="0" w:color="auto"/>
        <w:right w:val="none" w:sz="0" w:space="0" w:color="auto"/>
      </w:divBdr>
    </w:div>
    <w:div w:id="400761268">
      <w:bodyDiv w:val="1"/>
      <w:marLeft w:val="0"/>
      <w:marRight w:val="0"/>
      <w:marTop w:val="0"/>
      <w:marBottom w:val="0"/>
      <w:divBdr>
        <w:top w:val="none" w:sz="0" w:space="0" w:color="auto"/>
        <w:left w:val="none" w:sz="0" w:space="0" w:color="auto"/>
        <w:bottom w:val="none" w:sz="0" w:space="0" w:color="auto"/>
        <w:right w:val="none" w:sz="0" w:space="0" w:color="auto"/>
      </w:divBdr>
    </w:div>
    <w:div w:id="459961207">
      <w:bodyDiv w:val="1"/>
      <w:marLeft w:val="0"/>
      <w:marRight w:val="0"/>
      <w:marTop w:val="0"/>
      <w:marBottom w:val="0"/>
      <w:divBdr>
        <w:top w:val="none" w:sz="0" w:space="0" w:color="auto"/>
        <w:left w:val="none" w:sz="0" w:space="0" w:color="auto"/>
        <w:bottom w:val="none" w:sz="0" w:space="0" w:color="auto"/>
        <w:right w:val="none" w:sz="0" w:space="0" w:color="auto"/>
      </w:divBdr>
    </w:div>
    <w:div w:id="48308579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599944123">
      <w:bodyDiv w:val="1"/>
      <w:marLeft w:val="0"/>
      <w:marRight w:val="0"/>
      <w:marTop w:val="0"/>
      <w:marBottom w:val="0"/>
      <w:divBdr>
        <w:top w:val="none" w:sz="0" w:space="0" w:color="auto"/>
        <w:left w:val="none" w:sz="0" w:space="0" w:color="auto"/>
        <w:bottom w:val="none" w:sz="0" w:space="0" w:color="auto"/>
        <w:right w:val="none" w:sz="0" w:space="0" w:color="auto"/>
      </w:divBdr>
    </w:div>
    <w:div w:id="2066096425">
      <w:bodyDiv w:val="1"/>
      <w:marLeft w:val="0"/>
      <w:marRight w:val="0"/>
      <w:marTop w:val="0"/>
      <w:marBottom w:val="0"/>
      <w:divBdr>
        <w:top w:val="none" w:sz="0" w:space="0" w:color="auto"/>
        <w:left w:val="none" w:sz="0" w:space="0" w:color="auto"/>
        <w:bottom w:val="none" w:sz="0" w:space="0" w:color="auto"/>
        <w:right w:val="none" w:sz="0" w:space="0" w:color="auto"/>
      </w:divBdr>
    </w:div>
    <w:div w:id="20691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sc.nsw.gov.au/workforce-management/capability-framework/access-the-capability-framework/occupation-specific"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llek\AppData\Local\Microsoft\Windows\Temporary%20Internet%20Files\Content.IE5\BL5QOLE4\20140822_Role_Description_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6486-0702-4D3E-8415-C5730D13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20140822_Role_Description_Template[1].DOTM</Template>
  <TotalTime>6</TotalTime>
  <Pages>6</Pages>
  <Words>1653</Words>
  <Characters>10851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NarelleK</dc:creator>
  <cp:lastModifiedBy>Selena Marretta</cp:lastModifiedBy>
  <cp:revision>14</cp:revision>
  <cp:lastPrinted>2015-01-16T03:03:00Z</cp:lastPrinted>
  <dcterms:created xsi:type="dcterms:W3CDTF">2017-10-31T02:56:00Z</dcterms:created>
  <dcterms:modified xsi:type="dcterms:W3CDTF">2019-04-12T04:20:00Z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